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18, 2010 (May 17, 2010)</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TapImmune Inc.</w:t>
      </w:r>
    </w:p>
    <w:p>
      <w:pPr>
        <w:sectPr>
          <w:pgSz w:w="11900" w:h="16838" w:orient="portrait"/>
          <w:cols w:equalWidth="0" w:num="1">
            <w:col w:w="11420"/>
          </w:cols>
          <w:pgMar w:left="240" w:top="10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Nevada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9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 w:lineRule="exact"/>
        <w:rPr>
          <w:sz w:val="24"/>
          <w:szCs w:val="24"/>
          <w:color w:val="auto"/>
        </w:rPr>
      </w:pPr>
    </w:p>
    <w:p>
      <w:pPr>
        <w:ind w:left="1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left="1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000-27239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1443355</wp:posOffset>
            </wp:positionH>
            <wp:positionV relativeFrom="paragraph">
              <wp:posOffset>17145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800 Bellevue Way NE, Suite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6"/>
              </w:rPr>
              <w:t>400</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V6N 3E6</w:t>
            </w:r>
          </w:p>
        </w:tc>
        <w:tc>
          <w:tcPr>
            <w:tcW w:w="0" w:type="dxa"/>
            <w:vAlign w:val="bottom"/>
          </w:tcPr>
          <w:p>
            <w:pPr>
              <w:spacing w:after="0"/>
              <w:rPr>
                <w:sz w:val="1"/>
                <w:szCs w:val="1"/>
                <w:color w:val="auto"/>
              </w:rPr>
            </w:pPr>
          </w:p>
        </w:tc>
      </w:tr>
      <w:tr>
        <w:trPr>
          <w:trHeight w:val="126"/>
        </w:trPr>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Bellevue, WA 98004</w:t>
            </w: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3"/>
              </w:rPr>
              <w:t>(Address of principal</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12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2"/>
              </w:rPr>
              <w:t>executive offices)</w:t>
            </w: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9"/>
        </w:trPr>
        <w:tc>
          <w:tcPr>
            <w:tcW w:w="2280" w:type="dxa"/>
            <w:vAlign w:val="bottom"/>
          </w:tcPr>
          <w:p>
            <w:pPr>
              <w:spacing w:after="0"/>
              <w:rPr>
                <w:sz w:val="24"/>
                <w:szCs w:val="24"/>
                <w:color w:val="auto"/>
              </w:rPr>
            </w:pPr>
          </w:p>
        </w:tc>
        <w:tc>
          <w:tcPr>
            <w:tcW w:w="2160" w:type="dxa"/>
            <w:vAlign w:val="bottom"/>
            <w:gridSpan w:val="2"/>
          </w:tcPr>
          <w:p>
            <w:pPr>
              <w:jc w:val="right"/>
              <w:ind w:right="430"/>
              <w:spacing w:after="0"/>
              <w:rPr>
                <w:sz w:val="20"/>
                <w:szCs w:val="20"/>
                <w:color w:val="auto"/>
              </w:rPr>
            </w:pPr>
            <w:r>
              <w:rPr>
                <w:rFonts w:ascii="Arial" w:cs="Arial" w:eastAsia="Arial" w:hAnsi="Arial"/>
                <w:sz w:val="18"/>
                <w:szCs w:val="18"/>
                <w:color w:val="auto"/>
              </w:rPr>
              <w:t>425-462-2556</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Registrant's telephone</w:t>
            </w:r>
          </w:p>
        </w:tc>
        <w:tc>
          <w:tcPr>
            <w:tcW w:w="2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560" w:type="dxa"/>
            <w:vAlign w:val="bottom"/>
            <w:gridSpan w:val="4"/>
          </w:tcPr>
          <w:p>
            <w:pPr>
              <w:jc w:val="center"/>
              <w:ind w:right="2230"/>
              <w:spacing w:after="0"/>
              <w:rPr>
                <w:sz w:val="20"/>
                <w:szCs w:val="20"/>
                <w:color w:val="auto"/>
              </w:rPr>
            </w:pPr>
            <w:r>
              <w:rPr>
                <w:rFonts w:ascii="Arial" w:cs="Arial" w:eastAsia="Arial" w:hAnsi="Arial"/>
                <w:sz w:val="18"/>
                <w:szCs w:val="18"/>
                <w:color w:val="auto"/>
                <w:w w:val="89"/>
              </w:rPr>
              <w:t>number, including area code</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88-0277072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-51435</wp:posOffset>
            </wp:positionH>
            <wp:positionV relativeFrom="paragraph">
              <wp:posOffset>17145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w:t>
      </w:r>
    </w:p>
    <w:p>
      <w:pPr>
        <w:spacing w:after="0" w:line="35"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No.)</w:t>
      </w:r>
    </w:p>
    <w:p>
      <w:pPr>
        <w:spacing w:after="0" w:line="3318" w:lineRule="exact"/>
        <w:rPr>
          <w:sz w:val="24"/>
          <w:szCs w:val="24"/>
          <w:color w:val="auto"/>
        </w:rPr>
      </w:pPr>
    </w:p>
    <w:p>
      <w:pPr>
        <w:sectPr>
          <w:pgSz w:w="11900" w:h="16838" w:orient="portrait"/>
          <w:cols w:equalWidth="0" w:num="3">
            <w:col w:w="2200" w:space="100"/>
            <w:col w:w="6840" w:space="80"/>
            <w:col w:w="2200"/>
          </w:cols>
          <w:pgMar w:left="240" w:top="1040" w:right="239" w:bottom="1440" w:gutter="0" w:footer="0" w:header="0"/>
          <w:type w:val="continuous"/>
        </w:sectPr>
      </w:pPr>
    </w:p>
    <w:p>
      <w:pPr>
        <w:spacing w:after="0" w:line="52" w:lineRule="exact"/>
        <w:rPr>
          <w:sz w:val="24"/>
          <w:szCs w:val="24"/>
          <w:color w:val="auto"/>
        </w:rPr>
      </w:pPr>
    </w:p>
    <w:p>
      <w:pPr>
        <w:ind w:right="500" w:firstLine="45"/>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580" w:type="dxa"/>
            <w:vAlign w:val="bottom"/>
          </w:tcPr>
          <w:p>
            <w:pPr>
              <w:ind w:left="54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580" w:type="dxa"/>
            <w:vAlign w:val="bottom"/>
          </w:tcPr>
          <w:p>
            <w:pPr>
              <w:ind w:left="54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580" w:type="dxa"/>
            <w:vAlign w:val="bottom"/>
          </w:tcPr>
          <w:p>
            <w:pPr>
              <w:ind w:left="5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580" w:type="dxa"/>
            <w:vAlign w:val="bottom"/>
          </w:tcPr>
          <w:p>
            <w:pPr>
              <w:ind w:left="5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902"/>
        </w:trPr>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type w:val="continuous"/>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17, 2010, we entered into a securities purchase agreement with accredited investors to place Senior Secured Convertible Notes (the “</w:t>
      </w:r>
      <w:r>
        <w:rPr>
          <w:rFonts w:ascii="Arial" w:cs="Arial" w:eastAsia="Arial" w:hAnsi="Arial"/>
          <w:sz w:val="18"/>
          <w:szCs w:val="18"/>
          <w:u w:val="single" w:color="auto"/>
          <w:color w:val="auto"/>
        </w:rPr>
        <w:t>Notes</w:t>
      </w:r>
      <w:r>
        <w:rPr>
          <w:rFonts w:ascii="Arial" w:cs="Arial" w:eastAsia="Arial" w:hAnsi="Arial"/>
          <w:sz w:val="18"/>
          <w:szCs w:val="18"/>
          <w:color w:val="auto"/>
        </w:rPr>
        <w:t>”) with a maturity date of one year after the issuance thereof in the aggregate principal amount of $1,530,000 in exchange for $925,000 in cash and the conversion of an outstanding and due debenture in the amount of $350,000 (the “</w:t>
      </w:r>
      <w:r>
        <w:rPr>
          <w:rFonts w:ascii="Arial" w:cs="Arial" w:eastAsia="Arial" w:hAnsi="Arial"/>
          <w:sz w:val="18"/>
          <w:szCs w:val="18"/>
          <w:u w:val="single" w:color="auto"/>
          <w:color w:val="auto"/>
        </w:rPr>
        <w:t>Transaction</w:t>
      </w:r>
      <w:r>
        <w:rPr>
          <w:rFonts w:ascii="Arial" w:cs="Arial" w:eastAsia="Arial" w:hAnsi="Arial"/>
          <w:sz w:val="18"/>
          <w:szCs w:val="18"/>
          <w:color w:val="auto"/>
        </w:rPr>
        <w:t>”). We expect the Transaction to close no later than May 19, 2010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subject to the satisfaction of customary closing conditions. The net proceeds of the financing will be used to fund research and devel opment, for general corporate matters and for other expenses.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Notes bear no interest except in a case of an event of default in which case they bear interest at the rate of 18% per annum. The principal and any interest due on the Notes are due in 9 equal monthly installment dates starting in September 2010. Subject to the satisfaction of certain customary conditions (including the effectiveness of a registration statement and certain minimums on the amount and value of the shares of our common stock traded on the Over-the-Counter Bulletin Board), we may elect to pay amounts due on any installment date in either cash or shares of our common stock. Any shares of our common stock that we issue as payment on an installment date will be issued at a price which is equal to the lesser of $0.30 per share or 85% of the average of the volume-weighted average prices of our common stock on the Over-the-Counter Bulletin Board on each of the twenty trading days immediately preceding the applicable installment date. The holders may convert the Notes into shares of our common stock at a conversion price of $0.30 per share at any time, which upon full conversion of the Notes would result in the issuance of 5,100,000 shares of our common stock.</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issuance of the Notes, we issued Series A Warrants, Series B Warrantsand Series C Warrants, in each case, to purchase fully-paid and nonassessable shares of our common stock (together, the “</w:t>
      </w:r>
      <w:r>
        <w:rPr>
          <w:rFonts w:ascii="Arial" w:cs="Arial" w:eastAsia="Arial" w:hAnsi="Arial"/>
          <w:sz w:val="17"/>
          <w:szCs w:val="17"/>
          <w:u w:val="single" w:color="auto"/>
          <w:color w:val="auto"/>
        </w:rPr>
        <w:t>Warrants</w:t>
      </w:r>
      <w:r>
        <w:rPr>
          <w:rFonts w:ascii="Arial" w:cs="Arial" w:eastAsia="Arial" w:hAnsi="Arial"/>
          <w:sz w:val="17"/>
          <w:szCs w:val="17"/>
          <w:color w:val="auto"/>
        </w:rPr>
        <w:t>”).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$0.30 per share, and such warrants are exercisable into 6,375,000 shares of common stock. The investors and the placement agent 0;shall receive an aggregate of 18,970,000 warrant shares, 6,775,000 of which will only be issued on a pro-rata basis with the exercise of the Series B Warrants. The Notes and each series of the Warrants contain full-ratchet and other customary anti-dilution protections.</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entered into a Security Agreement to secure payment and performance of our obligations under the Transaction Documents pursuant to which we granted the investors a security interest in all of our assets. Each of our subsidiaries also guaranteed all amounts owed by the Company under the Transaction Documents, and such guaranties were secured by all of the assets of each subsidiary.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also executed a Registration Rights Agreement pursuant to which we are required to file a registration statement within 30 days of the Closing Date, and we are required to use our best efforts to cause such registration statement to be declared effective within 90 days of the Closing Date (or 120 days of the Closing Date if reviewed by the SEC).</w:t>
      </w:r>
    </w:p>
    <w:p>
      <w:pPr>
        <w:spacing w:after="0" w:line="2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we engaged a placement agent with respect to the Transaction. Accordingly, as consideration for the placement agent’s services, the placement agent received compensation equal to $64,000 and 400,000 Series A Warrants, 320,000 Series B Warrants and 400,000 Series C Warrants,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tabs>
          <w:tab w:leader="none" w:pos="11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information set forth in Item 1.01 hereof is incorporated by reference into this Item 3.02. The Notes and the Warrants were issued in reliance on exemptions from registration under Section 4(2) of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Rule 506 of Regulation D promulgated under the Act. These transactions qualified for exemption from registration because among other things, the transactions did not involve a public offering, each investor was an accredited investor and/or qualified institutional buyer, each investor had access to information about our company and their investment, each investor took the securities for investment and not resale, and we took appropriate measures to restrict the transfer of the securities.&lt; /font&gt;</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May 18, 2010, we issued a press release entitled “TapImmune Inc. Executes a Securities Purchase Agreement for the Issuance of $1.53 million in Convertible Debt”. A copy of the press release is furnished herewith as Exhibit 99.1.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7.01 of this Form 8-K is being furnished and shall not be deemed “filed” for the purposes of Section 18 of the Securities Exchange Act of 1934, or otherwise subject to the liabilities of that section. The information in this Item 7.01 of this Form 8-K also shall not be deemed to be incorporated by reference into any filing under the Act or the Securities Exchange Act of 1934, except to the extent that we specifically incorporate it by reference.</w:t>
      </w:r>
    </w:p>
    <w:p>
      <w:pPr>
        <w:spacing w:after="0" w:line="18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Securities Purchase Agreement, dated May 17, 2010</w:t>
      </w:r>
    </w:p>
    <w:p>
      <w:pPr>
        <w:spacing w:after="0" w:line="23"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Senior Secured Convertible Note</w:t>
      </w:r>
    </w:p>
    <w:p>
      <w:pPr>
        <w:spacing w:after="0" w:line="9"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Security Agreement</w:t>
      </w:r>
    </w:p>
    <w:p>
      <w:pPr>
        <w:spacing w:after="0" w:line="9"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Registration Rights Agreement</w:t>
      </w:r>
    </w:p>
    <w:p>
      <w:pPr>
        <w:spacing w:after="0" w:line="9"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Series A Warrant</w:t>
      </w:r>
    </w:p>
    <w:p>
      <w:pPr>
        <w:spacing w:after="0" w:line="9"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Series B Warrant</w:t>
      </w:r>
    </w:p>
    <w:p>
      <w:pPr>
        <w:spacing w:after="0" w:line="9"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Series C Warrant</w:t>
      </w:r>
    </w:p>
    <w:p>
      <w:pPr>
        <w:spacing w:after="0" w:line="9" w:lineRule="exact"/>
        <w:rPr>
          <w:sz w:val="20"/>
          <w:szCs w:val="20"/>
          <w:color w:val="auto"/>
        </w:rPr>
      </w:pPr>
    </w:p>
    <w:p>
      <w:pPr>
        <w:ind w:left="880" w:right="80" w:hanging="589"/>
        <w:spacing w:after="0" w:line="261"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entitled “TapImmune Inc. Executes a Securities Purchase Agreement for the Issuance of $1.53 Million in Convertible Debt”, dated May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Denis Corin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8477250</wp:posOffset>
            </wp:positionV>
            <wp:extent cx="72504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220"/>
          </w:cols>
          <w:pgMar w:left="240" w:top="486"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17, 2010, is by and among TapImmune Inc., a Nevada corporation with offices located at 800 Bellevue Way, NE, Suite 400, Bellevue, WA 98004 (the “</w:t>
      </w:r>
      <w:r>
        <w:rPr>
          <w:rFonts w:ascii="Arial" w:cs="Arial" w:eastAsia="Arial" w:hAnsi="Arial"/>
          <w:sz w:val="18"/>
          <w:szCs w:val="18"/>
          <w:b w:val="1"/>
          <w:bCs w:val="1"/>
          <w:color w:val="auto"/>
        </w:rPr>
        <w:t>Company</w:t>
      </w:r>
      <w:r>
        <w:rPr>
          <w:rFonts w:ascii="Arial" w:cs="Arial" w:eastAsia="Arial" w:hAnsi="Arial"/>
          <w:sz w:val="18"/>
          <w:szCs w:val="18"/>
          <w:color w:val="auto"/>
        </w:rPr>
        <w:t>”), and the investors listed on the Schedule of Buyers attached hereto (individually, a “</w:t>
      </w:r>
      <w:r>
        <w:rPr>
          <w:rFonts w:ascii="Arial" w:cs="Arial" w:eastAsia="Arial" w:hAnsi="Arial"/>
          <w:sz w:val="18"/>
          <w:szCs w:val="18"/>
          <w:b w:val="1"/>
          <w:b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64" w:lineRule="auto"/>
        <w:tabs>
          <w:tab w:leader="none" w:pos="150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and each Buyer is executing and delivering this Agreement in reliance upon the exemption from securities registration afforded by Section 4(2) of the Securities Act of 1933, as amended (the “</w:t>
      </w:r>
      <w:r>
        <w:rPr>
          <w:rFonts w:ascii="Arial" w:cs="Arial" w:eastAsia="Arial" w:hAnsi="Arial"/>
          <w:sz w:val="18"/>
          <w:szCs w:val="18"/>
          <w:b w:val="1"/>
          <w:bCs w:val="1"/>
          <w:color w:val="auto"/>
        </w:rPr>
        <w:t>1933 Act</w:t>
      </w:r>
      <w:r>
        <w:rPr>
          <w:rFonts w:ascii="Arial" w:cs="Arial" w:eastAsia="Arial" w:hAnsi="Arial"/>
          <w:sz w:val="18"/>
          <w:szCs w:val="18"/>
          <w:color w:val="auto"/>
        </w:rPr>
        <w:t>”), and Rule 506 of Regulation D (“</w:t>
      </w:r>
      <w:r>
        <w:rPr>
          <w:rFonts w:ascii="Arial" w:cs="Arial" w:eastAsia="Arial" w:hAnsi="Arial"/>
          <w:sz w:val="18"/>
          <w:szCs w:val="18"/>
          <w:b w:val="1"/>
          <w:bCs w:val="1"/>
          <w:color w:val="auto"/>
        </w:rPr>
        <w:t>Regulation D</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1933 Act.</w:t>
      </w:r>
    </w:p>
    <w:p>
      <w:pPr>
        <w:spacing w:after="0" w:line="177" w:lineRule="exact"/>
        <w:rPr>
          <w:rFonts w:ascii="Arial" w:cs="Arial" w:eastAsia="Arial" w:hAnsi="Arial"/>
          <w:sz w:val="18"/>
          <w:szCs w:val="18"/>
          <w:color w:val="auto"/>
        </w:rPr>
      </w:pPr>
    </w:p>
    <w:p>
      <w:pPr>
        <w:jc w:val="both"/>
        <w:ind w:firstLine="656"/>
        <w:spacing w:after="0" w:line="266" w:lineRule="auto"/>
        <w:tabs>
          <w:tab w:leader="none" w:pos="1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 has authorized senior secured convertible notes,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Notes</w:t>
      </w:r>
      <w:r>
        <w:rPr>
          <w:rFonts w:ascii="Arial" w:cs="Arial" w:eastAsia="Arial" w:hAnsi="Arial"/>
          <w:sz w:val="18"/>
          <w:szCs w:val="18"/>
          <w:color w:val="auto"/>
        </w:rPr>
        <w:t>”), which Notes shall be convertible into shares of the Company’s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(as converted, collectively, the “</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in accordance with the terms of the Notes.</w:t>
      </w:r>
    </w:p>
    <w:p>
      <w:pPr>
        <w:spacing w:after="0" w:line="180" w:lineRule="exact"/>
        <w:rPr>
          <w:rFonts w:ascii="Arial" w:cs="Arial" w:eastAsia="Arial" w:hAnsi="Arial"/>
          <w:sz w:val="18"/>
          <w:szCs w:val="18"/>
          <w:color w:val="auto"/>
        </w:rPr>
      </w:pPr>
    </w:p>
    <w:p>
      <w:pPr>
        <w:jc w:val="both"/>
        <w:ind w:firstLine="656"/>
        <w:spacing w:after="0" w:line="270" w:lineRule="auto"/>
        <w:tabs>
          <w:tab w:leader="none" w:pos="1358"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Each Buyer wishes to purchase, and the Company wishes to sell, upon the terms and conditions stated in this Agreement, (i) the aggregate original principal amount of the Notes set forth opposite such Buyer’s name in column (3) on the Schedule of Buyers, (ii) a warrant to acquire up to that number of additional shares of Common Stock set forth opposite such Buyer’s name in column (4) on the Schedule of Buyers,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Series A Warrants</w:t>
      </w:r>
      <w:r>
        <w:rPr>
          <w:rFonts w:ascii="Arial" w:cs="Arial" w:eastAsia="Arial" w:hAnsi="Arial"/>
          <w:sz w:val="17"/>
          <w:szCs w:val="17"/>
          <w:color w:val="auto"/>
        </w:rPr>
        <w:t>”) (as exercised, collectively, the “</w:t>
      </w:r>
      <w:r>
        <w:rPr>
          <w:rFonts w:ascii="Arial" w:cs="Arial" w:eastAsia="Arial" w:hAnsi="Arial"/>
          <w:sz w:val="17"/>
          <w:szCs w:val="17"/>
          <w:b w:val="1"/>
          <w:bCs w:val="1"/>
          <w:color w:val="auto"/>
        </w:rPr>
        <w:t>Series A Warrant Shares</w:t>
      </w:r>
      <w:r>
        <w:rPr>
          <w:rFonts w:ascii="Arial" w:cs="Arial" w:eastAsia="Arial" w:hAnsi="Arial"/>
          <w:sz w:val="17"/>
          <w:szCs w:val="17"/>
          <w:color w:val="auto"/>
        </w:rPr>
        <w:t>”), (iii) a warrant to acquire up to that number of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Common Stock set forth opposite such Buyer’s name in column (5) on the Schedule of Buyers, in the form attached hereto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color w:val="auto"/>
        </w:rPr>
        <w:t>Series B Warrants</w:t>
      </w:r>
      <w:r>
        <w:rPr>
          <w:rFonts w:ascii="Arial" w:cs="Arial" w:eastAsia="Arial" w:hAnsi="Arial"/>
          <w:sz w:val="17"/>
          <w:szCs w:val="17"/>
          <w:color w:val="auto"/>
        </w:rPr>
        <w:t>”) (as exercised, collectively, the “</w:t>
      </w:r>
      <w:r>
        <w:rPr>
          <w:rFonts w:ascii="Arial" w:cs="Arial" w:eastAsia="Arial" w:hAnsi="Arial"/>
          <w:sz w:val="17"/>
          <w:szCs w:val="17"/>
          <w:b w:val="1"/>
          <w:bCs w:val="1"/>
          <w:color w:val="auto"/>
        </w:rPr>
        <w:t>Series B Warrant Shares</w:t>
      </w:r>
      <w:r>
        <w:rPr>
          <w:rFonts w:ascii="Arial" w:cs="Arial" w:eastAsia="Arial" w:hAnsi="Arial"/>
          <w:sz w:val="17"/>
          <w:szCs w:val="17"/>
          <w:color w:val="auto"/>
        </w:rPr>
        <w:t xml:space="preserve">”) and (iv) a warrant to acquire up to that number of additional shares of Common Stock set forth opposite such Buyer’s name in column (6) on the Schedule of Buyers, in the form attached hereto as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(the “</w:t>
      </w:r>
      <w:r>
        <w:rPr>
          <w:rFonts w:ascii="Arial" w:cs="Arial" w:eastAsia="Arial" w:hAnsi="Arial"/>
          <w:sz w:val="17"/>
          <w:szCs w:val="17"/>
          <w:b w:val="1"/>
          <w:bCs w:val="1"/>
          <w:color w:val="auto"/>
        </w:rPr>
        <w:t>Series C</w:t>
      </w:r>
      <w:r>
        <w:rPr>
          <w:rFonts w:ascii="Arial" w:cs="Arial" w:eastAsia="Arial" w:hAnsi="Arial"/>
          <w:sz w:val="17"/>
          <w:szCs w:val="17"/>
          <w:color w:val="auto"/>
        </w:rPr>
        <w:t xml:space="preserve"> </w:t>
      </w:r>
      <w:r>
        <w:rPr>
          <w:rFonts w:ascii="Arial" w:cs="Arial" w:eastAsia="Arial" w:hAnsi="Arial"/>
          <w:sz w:val="17"/>
          <w:szCs w:val="17"/>
          <w:b w:val="1"/>
          <w:bCs w:val="1"/>
          <w:color w:val="auto"/>
        </w:rPr>
        <w:t>Warrants</w:t>
      </w:r>
      <w:r>
        <w:rPr>
          <w:rFonts w:ascii="Arial" w:cs="Arial" w:eastAsia="Arial" w:hAnsi="Arial"/>
          <w:sz w:val="17"/>
          <w:szCs w:val="17"/>
          <w:color w:val="auto"/>
        </w:rPr>
        <w:t>”) (as exercised, collectively, the “</w:t>
      </w:r>
      <w:r>
        <w:rPr>
          <w:rFonts w:ascii="Arial" w:cs="Arial" w:eastAsia="Arial" w:hAnsi="Arial"/>
          <w:sz w:val="17"/>
          <w:szCs w:val="17"/>
          <w:b w:val="1"/>
          <w:bCs w:val="1"/>
          <w:color w:val="auto"/>
        </w:rPr>
        <w:t>Series C Warrant Shares</w:t>
      </w:r>
      <w:r>
        <w:rPr>
          <w:rFonts w:ascii="Arial" w:cs="Arial" w:eastAsia="Arial" w:hAnsi="Arial"/>
          <w:sz w:val="17"/>
          <w:szCs w:val="17"/>
          <w:color w:val="auto"/>
        </w:rPr>
        <w:t>”). The Series A Warrants, the Series B Warrants and the Series C Warrants are</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referred to herein as the “</w:t>
      </w:r>
      <w:r>
        <w:rPr>
          <w:rFonts w:ascii="Arial" w:cs="Arial" w:eastAsia="Arial" w:hAnsi="Arial"/>
          <w:sz w:val="17"/>
          <w:szCs w:val="17"/>
          <w:b w:val="1"/>
          <w:bCs w:val="1"/>
          <w:color w:val="auto"/>
        </w:rPr>
        <w:t>Warrants</w:t>
      </w:r>
      <w:r>
        <w:rPr>
          <w:rFonts w:ascii="Arial" w:cs="Arial" w:eastAsia="Arial" w:hAnsi="Arial"/>
          <w:sz w:val="17"/>
          <w:szCs w:val="17"/>
          <w:color w:val="auto"/>
        </w:rPr>
        <w:t>.” The Series A Warrant Shares, the Series B Warrant Shares and the Series C Warrant Shares are collectively referred to herein as the “</w:t>
      </w:r>
      <w:r>
        <w:rPr>
          <w:rFonts w:ascii="Arial" w:cs="Arial" w:eastAsia="Arial" w:hAnsi="Arial"/>
          <w:sz w:val="17"/>
          <w:szCs w:val="17"/>
          <w:b w:val="1"/>
          <w:bCs w:val="1"/>
          <w:color w:val="auto"/>
        </w:rPr>
        <w:t>Warrant Shares</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firstLine="656"/>
        <w:spacing w:after="0" w:line="261" w:lineRule="auto"/>
        <w:tabs>
          <w:tab w:leader="none" w:pos="135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At the Closing, the parties hereto shall execute and deliver a Registration Rights Agreement, in the form attached hereto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has agreed to provide certain registration rights with respect to the Registrable Securities (as defined in the Registration Rights Agreement), under the 1933 Act and the rules and regulations promulgated thereunder, and applicable state securities laws.</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Notes, the Conversion Shares, the Warrants and the Warrant Shares are collectively referred to herein as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firstLine="656"/>
        <w:spacing w:after="0" w:line="255" w:lineRule="auto"/>
        <w:tabs>
          <w:tab w:leader="none" w:pos="135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Notes will be secured by a first priority perfected security interest in all of the assets of the Company and its Subsidiaries (as defined below) as evidenced by a security agreement as the Buyers shall require in form and substance acceptable to each Buyer (such security agreement, together with the other security documents and agreements entered into in connection with this Agreement and each of such other documents and agreements, as each may be amended or modified from time to time, collectively, the “</w:t>
      </w:r>
      <w:r>
        <w:rPr>
          <w:rFonts w:ascii="Arial" w:cs="Arial" w:eastAsia="Arial" w:hAnsi="Arial"/>
          <w:sz w:val="18"/>
          <w:szCs w:val="18"/>
          <w:b w:val="1"/>
          <w:bCs w:val="1"/>
          <w:color w:val="auto"/>
        </w:rPr>
        <w:t>Security Documents</w:t>
      </w:r>
      <w:r>
        <w:rPr>
          <w:rFonts w:ascii="Arial" w:cs="Arial" w:eastAsia="Arial" w:hAnsi="Arial"/>
          <w:sz w:val="18"/>
          <w:szCs w:val="18"/>
          <w:color w:val="auto"/>
        </w:rPr>
        <w:t>”), and each of its Subsidiaries (as defined below) will execute a guaranty in favor of each Buyer (collectively, the “</w:t>
      </w:r>
      <w:r>
        <w:rPr>
          <w:rFonts w:ascii="Arial" w:cs="Arial" w:eastAsia="Arial" w:hAnsi="Arial"/>
          <w:sz w:val="18"/>
          <w:szCs w:val="18"/>
          <w:b w:val="1"/>
          <w:bCs w:val="1"/>
          <w:color w:val="auto"/>
        </w:rPr>
        <w:t>Gua ranties</w:t>
      </w:r>
      <w:r>
        <w:rPr>
          <w:rFonts w:ascii="Arial" w:cs="Arial" w:eastAsia="Arial" w:hAnsi="Arial"/>
          <w:sz w:val="18"/>
          <w:szCs w:val="18"/>
          <w:color w:val="auto"/>
        </w:rPr>
        <w:t>”) pursuant to which each of them guarantees the obligations of the Company under the Transaction Documents (as defined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NOTES AND WARRANTS.</w:t>
      </w:r>
    </w:p>
    <w:p>
      <w:pPr>
        <w:spacing w:after="0" w:line="229" w:lineRule="exact"/>
        <w:rPr>
          <w:rFonts w:ascii="Arial" w:cs="Arial" w:eastAsia="Arial" w:hAnsi="Arial"/>
          <w:sz w:val="18"/>
          <w:szCs w:val="18"/>
          <w:b w:val="1"/>
          <w:bCs w:val="1"/>
          <w:color w:val="auto"/>
        </w:rPr>
      </w:pPr>
    </w:p>
    <w:p>
      <w:pPr>
        <w:jc w:val="both"/>
        <w:ind w:firstLine="818"/>
        <w:spacing w:after="0" w:line="255" w:lineRule="auto"/>
        <w:tabs>
          <w:tab w:leader="none" w:pos="151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Notes and Warrants.</w:t>
      </w:r>
      <w:r>
        <w:rPr>
          <w:rFonts w:ascii="Arial" w:cs="Arial" w:eastAsia="Arial" w:hAnsi="Arial"/>
          <w:sz w:val="18"/>
          <w:szCs w:val="18"/>
          <w:color w:val="auto"/>
        </w:rPr>
        <w:t xml:space="preserve"> Subject to the satisfaction (or waiver) of the conditions set forth in Sections 6 and 7 below, the Company shall issue and sell to each Buyer, and each Buyer severally, but not jointly, shall purchase from the Company on the Closing Date (as defined below), a Note in the original principal amount as is set forth opposite such Buyer’s name in column (3) on the Schedule of Buyers along with (i) Series A Warrants to acquire up to that aggregate number of Series A Warrant Shares as is set forth opposite such Buyer’s name in column (4) on the Schedule of Buyers, (ii) Series B Warrants to acquire up to that aggregate number of Series B Warrant Shares as is set forth opposite su ch Buyer’s name in column (5) on the Schedule of Buyers and (iii) Series C Warrants to acquire up to that aggregate number of Series C Warrant Shares as is set forth opposite such Buyer’s name in column (6) on the Schedule of Buyers.</w:t>
      </w:r>
    </w:p>
    <w:p>
      <w:pPr>
        <w:spacing w:after="0" w:line="185" w:lineRule="exact"/>
        <w:rPr>
          <w:rFonts w:ascii="Arial" w:cs="Arial" w:eastAsia="Arial" w:hAnsi="Arial"/>
          <w:sz w:val="18"/>
          <w:szCs w:val="18"/>
          <w:color w:val="auto"/>
        </w:rPr>
      </w:pPr>
    </w:p>
    <w:p>
      <w:pPr>
        <w:jc w:val="both"/>
        <w:ind w:firstLine="818"/>
        <w:spacing w:after="0" w:line="251" w:lineRule="auto"/>
        <w:tabs>
          <w:tab w:leader="none" w:pos="1529"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closing (the “</w:t>
      </w:r>
      <w:r>
        <w:rPr>
          <w:rFonts w:ascii="Arial" w:cs="Arial" w:eastAsia="Arial" w:hAnsi="Arial"/>
          <w:sz w:val="17"/>
          <w:szCs w:val="17"/>
          <w:b w:val="1"/>
          <w:bCs w:val="1"/>
          <w:color w:val="auto"/>
        </w:rPr>
        <w:t>Closing</w:t>
      </w:r>
      <w:r>
        <w:rPr>
          <w:rFonts w:ascii="Arial" w:cs="Arial" w:eastAsia="Arial" w:hAnsi="Arial"/>
          <w:sz w:val="17"/>
          <w:szCs w:val="17"/>
          <w:color w:val="auto"/>
        </w:rPr>
        <w:t>”) of the purchase of the Notes and the Warrants by the Buyers shall occur at the offices of Greenberg Traurig, LLP, 77 W. Wacker Drive, Suite 3100, Chicago, Illinois 60601. The date and time of the Closing (the “</w:t>
      </w:r>
      <w:r>
        <w:rPr>
          <w:rFonts w:ascii="Arial" w:cs="Arial" w:eastAsia="Arial" w:hAnsi="Arial"/>
          <w:sz w:val="17"/>
          <w:szCs w:val="17"/>
          <w:b w:val="1"/>
          <w:bCs w:val="1"/>
          <w:color w:val="auto"/>
        </w:rPr>
        <w:t>Closing Date</w:t>
      </w:r>
      <w:r>
        <w:rPr>
          <w:rFonts w:ascii="Arial" w:cs="Arial" w:eastAsia="Arial" w:hAnsi="Arial"/>
          <w:sz w:val="17"/>
          <w:szCs w:val="17"/>
          <w:color w:val="auto"/>
        </w:rPr>
        <w:t>”) shall be 10:00 a.m., New York time, on the first (1</w:t>
      </w:r>
      <w:r>
        <w:rPr>
          <w:rFonts w:ascii="Arial" w:cs="Arial" w:eastAsia="Arial" w:hAnsi="Arial"/>
          <w:sz w:val="24"/>
          <w:szCs w:val="24"/>
          <w:color w:val="auto"/>
          <w:vertAlign w:val="superscript"/>
        </w:rPr>
        <w:t>st</w:t>
      </w:r>
      <w:r>
        <w:rPr>
          <w:rFonts w:ascii="Arial" w:cs="Arial" w:eastAsia="Arial" w:hAnsi="Arial"/>
          <w:sz w:val="17"/>
          <w:szCs w:val="17"/>
          <w:color w:val="auto"/>
        </w:rPr>
        <w:t>) Business Day on which the conditions to the Closing set forth in Sections 6 and 7 below are satisfied or waived (or such later date as is mutually agreed to by the Company and each Buyer). As used herein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Sunday or other day on which commercial banks in New York, New York are authorized or required by law to remain closed.</w:t>
      </w:r>
    </w:p>
    <w:p>
      <w:pPr>
        <w:spacing w:after="0" w:line="190" w:lineRule="exact"/>
        <w:rPr>
          <w:rFonts w:ascii="Arial" w:cs="Arial" w:eastAsia="Arial" w:hAnsi="Arial"/>
          <w:sz w:val="17"/>
          <w:szCs w:val="17"/>
          <w:color w:val="auto"/>
        </w:rPr>
      </w:pPr>
    </w:p>
    <w:p>
      <w:pPr>
        <w:ind w:firstLine="818"/>
        <w:spacing w:after="0" w:line="282" w:lineRule="auto"/>
        <w:tabs>
          <w:tab w:leader="none" w:pos="161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aggregate purchase price for the Notes and the Warrants to be purchased by each Buyer (the “</w:t>
      </w:r>
      <w:r>
        <w:rPr>
          <w:rFonts w:ascii="Arial" w:cs="Arial" w:eastAsia="Arial" w:hAnsi="Arial"/>
          <w:sz w:val="18"/>
          <w:szCs w:val="18"/>
          <w:b w:val="1"/>
          <w:bCs w:val="1"/>
          <w:color w:val="auto"/>
        </w:rPr>
        <w:t>Purchase Price</w:t>
      </w:r>
      <w:r>
        <w:rPr>
          <w:rFonts w:ascii="Arial" w:cs="Arial" w:eastAsia="Arial" w:hAnsi="Arial"/>
          <w:sz w:val="18"/>
          <w:szCs w:val="18"/>
          <w:color w:val="auto"/>
        </w:rPr>
        <w:t>”) shall be the amount set forth opposite such Buyer’s name in column (7) on the Schedule of Buyers.</w:t>
      </w:r>
    </w:p>
    <w:p>
      <w:pPr>
        <w:spacing w:after="0" w:line="165" w:lineRule="exact"/>
        <w:rPr>
          <w:rFonts w:ascii="Arial" w:cs="Arial" w:eastAsia="Arial" w:hAnsi="Arial"/>
          <w:sz w:val="18"/>
          <w:szCs w:val="18"/>
          <w:color w:val="auto"/>
        </w:rPr>
      </w:pPr>
    </w:p>
    <w:p>
      <w:pPr>
        <w:jc w:val="both"/>
        <w:ind w:firstLine="818"/>
        <w:spacing w:after="0" w:line="264" w:lineRule="auto"/>
        <w:tabs>
          <w:tab w:leader="none" w:pos="166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xml:space="preserve"> On the Closing Date, (i) each Buyer shall pay its respective Purchase Price to the Company for the Note and the Warrants to be issued and sold to such Buyer at the Closing, by wire transfer of immediately available funds in accordance with the Company’s written wire instructions and (ii) the Company shall deliver to each Buyer (A) a Note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17"/>
          <w:szCs w:val="17"/>
          <w:color w:val="auto"/>
        </w:rPr>
        <w:t>(in such amount as is set forth opposite such Buyer’s name in column (3) of the Schedule of Buyers), (B) a Series A Warrant pursuant to which such Buyer shall have the right to acquire up to such number of Series A Warrant Shares as is set forth opposite such Buyer’s name in column (4) of the Schedule of Buyers, (C) a Series B Warrant pursuant to which such Buyer shall have the right to acquire up to such number of Series B Warrant Shares as is set forth opposite such Buyer’s name in column (5) of the Schedule of Buyers and (D) a Series C Warrant pursuant to which such Buyer shall have the right to acquire up to such number of Series C Warrant Shares as is set forth opposite such Buyer’s name in column (6) of the Schedule of Buyers, in all cases, duly executed on behalf of the Company and registered in the name of such Buyer or its designee.</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Buyer, severally and not jointly, represents and warrants to the Company with respect to only itself that:</w:t>
      </w:r>
    </w:p>
    <w:p>
      <w:pPr>
        <w:spacing w:after="0" w:line="225" w:lineRule="exact"/>
        <w:rPr>
          <w:rFonts w:ascii="Arial" w:cs="Arial" w:eastAsia="Arial" w:hAnsi="Arial"/>
          <w:sz w:val="18"/>
          <w:szCs w:val="18"/>
          <w:b w:val="1"/>
          <w:bCs w:val="1"/>
          <w:color w:val="auto"/>
        </w:rPr>
      </w:pPr>
    </w:p>
    <w:p>
      <w:pPr>
        <w:jc w:val="both"/>
        <w:ind w:firstLine="656"/>
        <w:spacing w:after="0" w:line="264" w:lineRule="auto"/>
        <w:tabs>
          <w:tab w:leader="none" w:pos="137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xml:space="preserve">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181" w:lineRule="exact"/>
        <w:rPr>
          <w:rFonts w:ascii="Arial" w:cs="Arial" w:eastAsia="Arial" w:hAnsi="Arial"/>
          <w:sz w:val="18"/>
          <w:szCs w:val="18"/>
          <w:color w:val="auto"/>
        </w:rPr>
      </w:pPr>
    </w:p>
    <w:p>
      <w:pPr>
        <w:jc w:val="both"/>
        <w:ind w:firstLine="656"/>
        <w:spacing w:after="0" w:line="271" w:lineRule="auto"/>
        <w:tabs>
          <w:tab w:leader="none" w:pos="1583"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No Public Sale or Distribution.</w:t>
      </w:r>
      <w:r>
        <w:rPr>
          <w:rFonts w:ascii="Arial" w:cs="Arial" w:eastAsia="Arial" w:hAnsi="Arial"/>
          <w:sz w:val="17"/>
          <w:szCs w:val="17"/>
          <w:color w:val="auto"/>
        </w:rPr>
        <w:t xml:space="preserve"> Such Buyer is (i) acquiring its Note and Warrants, (ii) upon conversion of its Note will acquire the Conversion Shares issuable upon conversion thereof, and (iii) upon exercise of its Warrants will acquire the Warrant Shares issuable upon exercise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 tation or warranty, to hold any of the Securities for any minimum or other specific term and reserves the right to dispose of the Securities at any time in accordance with or pursuant to a registration statement or an exemption under the 1933 Act. Such Buyer is acquiring the Securities hereunder in the ordinary course of its business. Such Buyer does not presently have any agreement or understanding, directly or indirectly, with any Person to distribute any of the Securities in violation of applicable securities laws.</w:t>
      </w:r>
    </w:p>
    <w:p>
      <w:pPr>
        <w:spacing w:after="0" w:line="178" w:lineRule="exact"/>
        <w:rPr>
          <w:rFonts w:ascii="Arial" w:cs="Arial" w:eastAsia="Arial" w:hAnsi="Arial"/>
          <w:sz w:val="17"/>
          <w:szCs w:val="17"/>
          <w:color w:val="auto"/>
        </w:rPr>
      </w:pPr>
    </w:p>
    <w:p>
      <w:pPr>
        <w:ind w:left="1360" w:hanging="704"/>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xml:space="preserve"> Such Buyer is an “accredited investor” as that term is defined in Rule 501(a) of Regulation D.</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475"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Reliance on Exemptions.</w:t>
      </w:r>
      <w:r>
        <w:rPr>
          <w:rFonts w:ascii="Arial" w:cs="Arial" w:eastAsia="Arial" w:hAnsi="Arial"/>
          <w:sz w:val="17"/>
          <w:szCs w:val="17"/>
          <w:color w:val="auto"/>
        </w:rPr>
        <w:t xml:space="preserve">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jc w:val="both"/>
        <w:ind w:firstLine="656"/>
        <w:spacing w:after="0" w:line="271" w:lineRule="auto"/>
        <w:tabs>
          <w:tab w:leader="none" w:pos="137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Such Buyer and its advisors, if any, have been furnished with all materials relating to the business, finances and operations of the Company and materials relating to the offer and sale of the Securities which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or any repre sentations and warranties contained in any other Transaction Document or any other document or instrument executed and/or delivered in connection with this Agreement or the consummation of the transaction contemplated hereby. Such Buyer understands that its investment in the Securities involves a high degree of risk. Such Buyer has sought such accounting, legal and tax advice as it has considered necessary to make an informed investment decision with respect to its acquisition of the Securities.</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33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xml:space="preserve">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81" w:lineRule="exact"/>
        <w:rPr>
          <w:rFonts w:ascii="Arial" w:cs="Arial" w:eastAsia="Arial" w:hAnsi="Arial"/>
          <w:sz w:val="18"/>
          <w:szCs w:val="18"/>
          <w:color w:val="auto"/>
        </w:rPr>
      </w:pPr>
    </w:p>
    <w:p>
      <w:pPr>
        <w:jc w:val="both"/>
        <w:ind w:firstLine="656"/>
        <w:spacing w:after="0" w:line="287" w:lineRule="auto"/>
        <w:tabs>
          <w:tab w:leader="none" w:pos="1407"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Transfer or Resale.</w:t>
      </w:r>
      <w:r>
        <w:rPr>
          <w:rFonts w:ascii="Arial" w:cs="Arial" w:eastAsia="Arial" w:hAnsi="Arial"/>
          <w:sz w:val="16"/>
          <w:szCs w:val="16"/>
          <w:color w:val="auto"/>
        </w:rPr>
        <w:t xml:space="preserve"> Such Buyer understands that except as provided in the Registration Rights Agreement and Section 4(h) hereof: (i) the Securities have not been and are not being registered under the 1933 Act or any state securities laws, and may not be offered for sale, sold, assigned or transferred unless (A) subsequently registered thereunder, (B) such Buyer shall have delivered to the Company (if requested by the Company) an opinion of counsel to such Buyer, in a form reasonably acceptable to the Company, to the effect that such Securities to be sold, assigned or transferred may be sold, assigned or transferred pursuant to an exemptio n from such registration, or (C) such Buyer provides the Company with reasonable assurance that such Securities can be sold, assigned or transferred pursuant to Rule 144 or Rule 144A promulgated under the 1933 Act (or a successor rule thereto) (collectively, “</w:t>
      </w:r>
      <w:r>
        <w:rPr>
          <w:rFonts w:ascii="Arial" w:cs="Arial" w:eastAsia="Arial" w:hAnsi="Arial"/>
          <w:sz w:val="16"/>
          <w:szCs w:val="16"/>
          <w:b w:val="1"/>
          <w:bCs w:val="1"/>
          <w:color w:val="auto"/>
        </w:rPr>
        <w:t>Rule 144</w:t>
      </w:r>
      <w:r>
        <w:rPr>
          <w:rFonts w:ascii="Arial" w:cs="Arial" w:eastAsia="Arial" w:hAnsi="Arial"/>
          <w:sz w:val="16"/>
          <w:szCs w:val="16"/>
          <w:color w:val="auto"/>
        </w:rPr>
        <w:t>”); (ii) any sale of the Securities made in reliance on Rule 144 may be made only in accordance with the terms of Rule 144, and further, if Rule 144 is not applicable, any resale of the Securities under circumstances in which the seller (or the Person (as defined below)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 s and conditions of any exemption thereunder.</w:t>
      </w:r>
    </w:p>
    <w:p>
      <w:pPr>
        <w:spacing w:after="0" w:line="172" w:lineRule="exact"/>
        <w:rPr>
          <w:rFonts w:ascii="Arial" w:cs="Arial" w:eastAsia="Arial" w:hAnsi="Arial"/>
          <w:sz w:val="16"/>
          <w:szCs w:val="16"/>
          <w:color w:val="auto"/>
        </w:rPr>
      </w:pPr>
    </w:p>
    <w:p>
      <w:pPr>
        <w:jc w:val="both"/>
        <w:ind w:firstLine="656"/>
        <w:spacing w:after="0" w:line="259" w:lineRule="auto"/>
        <w:tabs>
          <w:tab w:leader="none" w:pos="161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such Buyer and constitutes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jc w:val="both"/>
        <w:ind w:firstLine="656"/>
        <w:spacing w:after="0" w:line="272" w:lineRule="auto"/>
        <w:tabs>
          <w:tab w:leader="none" w:pos="1381"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such Buyer of this Agreement and the Registration Rights Agreement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 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Such Buyer is a resident of that jurisdiction specified below its address on the Schedule of Buyers.</w:t>
      </w:r>
    </w:p>
    <w:p>
      <w:pPr>
        <w:spacing w:after="0" w:line="225" w:lineRule="exact"/>
        <w:rPr>
          <w:rFonts w:ascii="Arial" w:cs="Arial" w:eastAsia="Arial" w:hAnsi="Arial"/>
          <w:sz w:val="18"/>
          <w:szCs w:val="18"/>
          <w:color w:val="auto"/>
        </w:rPr>
      </w:pPr>
    </w:p>
    <w:p>
      <w:pPr>
        <w:jc w:val="both"/>
        <w:ind w:firstLine="656"/>
        <w:spacing w:after="0" w:line="273" w:lineRule="auto"/>
        <w:tabs>
          <w:tab w:leader="none" w:pos="1650"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Certain Trading Activities</w:t>
      </w:r>
      <w:r>
        <w:rPr>
          <w:rFonts w:ascii="Arial" w:cs="Arial" w:eastAsia="Arial" w:hAnsi="Arial"/>
          <w:sz w:val="17"/>
          <w:szCs w:val="17"/>
          <w:color w:val="auto"/>
        </w:rPr>
        <w:t>. Such Buyer has not directly or indirectly, nor has any Person acting on behalf of or pursuant to any understanding with such Buyer, engaged in any transactions in the securities of the Company (including, without limitation, any Short Sales (as defined below) involving the Company’s securities) during the period commencing as of the time that such Buyer was first contacted by the Placement Agent (as defined below) regarding the specific investment in the Company contemplated by this Agreement and ending immediately prior to the execution of this Agreement by such Buyer. “</w:t>
      </w:r>
      <w:r>
        <w:rPr>
          <w:rFonts w:ascii="Arial" w:cs="Arial" w:eastAsia="Arial" w:hAnsi="Arial"/>
          <w:sz w:val="17"/>
          <w:szCs w:val="17"/>
          <w:b w:val="1"/>
          <w:bCs w:val="1"/>
          <w:color w:val="auto"/>
        </w:rPr>
        <w:t>Short Sales</w:t>
      </w:r>
      <w:r>
        <w:rPr>
          <w:rFonts w:ascii="Arial" w:cs="Arial" w:eastAsia="Arial" w:hAnsi="Arial"/>
          <w:sz w:val="17"/>
          <w:szCs w:val="17"/>
          <w:color w:val="auto"/>
        </w:rPr>
        <w:t>” means al l “short sales” as defined in Rule 200 promulgated under Regulation SHO under the 1934 Act (as defined below) (but shall not be deemed to include the location and/or reservation of borrowable shares of Common Stock).</w:t>
      </w:r>
    </w:p>
    <w:p>
      <w:pPr>
        <w:spacing w:after="0" w:line="174" w:lineRule="exact"/>
        <w:rPr>
          <w:rFonts w:ascii="Arial" w:cs="Arial" w:eastAsia="Arial" w:hAnsi="Arial"/>
          <w:sz w:val="17"/>
          <w:szCs w:val="17"/>
          <w:color w:val="auto"/>
        </w:rPr>
      </w:pPr>
    </w:p>
    <w:p>
      <w:pPr>
        <w:ind w:left="660" w:right="5600" w:hanging="652"/>
        <w:spacing w:after="0" w:line="533"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AND WARRANTIES OF THE COMPANY. </w:t>
      </w:r>
      <w:r>
        <w:rPr>
          <w:rFonts w:ascii="Arial" w:cs="Arial" w:eastAsia="Arial" w:hAnsi="Arial"/>
          <w:sz w:val="17"/>
          <w:szCs w:val="17"/>
          <w:color w:val="auto"/>
        </w:rPr>
        <w:t>The Company represents and warrants to each of the Buyers that:</w:t>
      </w:r>
    </w:p>
    <w:p>
      <w:pPr>
        <w:jc w:val="both"/>
        <w:ind w:firstLine="656"/>
        <w:spacing w:after="0" w:line="269" w:lineRule="auto"/>
        <w:tabs>
          <w:tab w:leader="none" w:pos="1424"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xml:space="preserve"> Each of the Company and each of its Subsidiaries are entities duly organized and validly existing and in good standing under the laws of the jurisdiction in which they are formed, and have the requisite power and authorization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 cept to the extent that the failure to be so qualified or be in good standing would not have a Material Adverse Effect. As used in this Agreement, “</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(iii) the authority or ability of the Company or any of its Subsidiaries to perform any of their respective obligations under any of the Transaction Documents (as defined below). Other than the Persons (as defined below) set forth on Schedule 3(a), the Company has no Subsidiaries. “</w:t>
      </w:r>
      <w:r>
        <w:rPr>
          <w:rFonts w:ascii="Arial" w:cs="Arial" w:eastAsia="Arial" w:hAnsi="Arial"/>
          <w:sz w:val="17"/>
          <w:szCs w:val="17"/>
          <w:b w:val="1"/>
          <w:bCs w:val="1"/>
          <w:color w:val="auto"/>
        </w:rPr>
        <w:t>Subsidiaries</w:t>
      </w:r>
      <w:r>
        <w:rPr>
          <w:rFonts w:ascii="Arial" w:cs="Arial" w:eastAsia="Arial" w:hAnsi="Arial"/>
          <w:sz w:val="17"/>
          <w:szCs w:val="17"/>
          <w:color w:val="auto"/>
        </w:rPr>
        <w:t>” means any Person in which the Company, directly or indirectly, (I) owns any of the outstanding capital stock or holds any equity or similar interest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of such Person or (II) controls or operates all or any part of the business, operations or administration of such Person, and each of the foregoing, is individually referred to herein as a “</w:t>
      </w:r>
      <w:r>
        <w:rPr>
          <w:rFonts w:ascii="Arial" w:cs="Arial" w:eastAsia="Arial" w:hAnsi="Arial"/>
          <w:sz w:val="18"/>
          <w:szCs w:val="18"/>
          <w:b w:val="1"/>
          <w:bCs w:val="1"/>
          <w:color w:val="auto"/>
        </w:rPr>
        <w:t>Subsidiary</w:t>
      </w:r>
      <w:r>
        <w:rPr>
          <w:rFonts w:ascii="Arial" w:cs="Arial" w:eastAsia="Arial" w:hAnsi="Arial"/>
          <w:sz w:val="18"/>
          <w:szCs w:val="18"/>
          <w:color w:val="auto"/>
        </w:rPr>
        <w:t>.”</w:t>
      </w:r>
    </w:p>
    <w:p>
      <w:pPr>
        <w:spacing w:after="0" w:line="387" w:lineRule="exact"/>
        <w:rPr>
          <w:sz w:val="20"/>
          <w:szCs w:val="20"/>
          <w:color w:val="auto"/>
        </w:rPr>
      </w:pPr>
    </w:p>
    <w:p>
      <w:pPr>
        <w:jc w:val="both"/>
        <w:ind w:firstLine="656"/>
        <w:spacing w:after="0" w:line="284" w:lineRule="auto"/>
        <w:tabs>
          <w:tab w:leader="none" w:pos="142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xml:space="preserve">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its Subsidiaries, and the consummation by the Company and its Subsidiaries of the transactions contemplated hereby and thereby (inc luding, without limitation, the issuance of the Notes and the reservation for issuance and issuance of the Conversion Shares issuable upon conversion of the Notes and the issuance of the Warrants and the reservation for issuance and issuance of the Warrant Shares issuable upon exercise of the Warrants) have been duly authorized by the Company’s board of directors and each of its Subsidiaries’ board of directors or other governing body, as applicable, and (other than the filing with the SEC of one or more Registration Statements in accordance with the requirements of the Registration Rights Agreement, a Form D with the SEC and any other filings as may be required by any state securities agencies) no further filing, consent or authorization is required by the Company, its Subsidiaries, their respective boards of directors or their stockholders or other governing body. This Agreement has been, and the other Transaction Documents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 to the Closing, the Transaction Documents to which each Subsidiary is a party will be duly executed and delivered by each such Subsidiary, and shall constitute the legal, valid and binding obligations of each such Subsidiary, enforceable against each such Subsidiary in accordance with their respective terms, except as such enforceability may be limited by general principles of equity or applicable bankruptcy, insolvency, reorganization, moratorium, li quidation or similar laws relating to, or affecting generally, the enforcement of applicable creditors’ rights and remedies and except as rights to indemnification and to contribution may be limited by federal or state securities law. “</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collectively, this Agreement, the Notes, the Warrants, the Security Documents, the Guaranties, the Registration Rights Agreement,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180" w:lineRule="exact"/>
        <w:rPr>
          <w:rFonts w:ascii="Arial" w:cs="Arial" w:eastAsia="Arial" w:hAnsi="Arial"/>
          <w:sz w:val="16"/>
          <w:szCs w:val="16"/>
          <w:color w:val="auto"/>
        </w:rPr>
      </w:pPr>
    </w:p>
    <w:p>
      <w:pPr>
        <w:jc w:val="both"/>
        <w:ind w:firstLine="656"/>
        <w:spacing w:after="0" w:line="259" w:lineRule="auto"/>
        <w:tabs>
          <w:tab w:leader="none" w:pos="139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Issuance of Securities.</w:t>
      </w:r>
      <w:r>
        <w:rPr>
          <w:rFonts w:ascii="Arial" w:cs="Arial" w:eastAsia="Arial" w:hAnsi="Arial"/>
          <w:sz w:val="18"/>
          <w:szCs w:val="18"/>
          <w:color w:val="auto"/>
        </w:rPr>
        <w:t xml:space="preserve"> The issuance of the Notes and the Warrants are duly authorized and upon issuance in accordance with the terms of the Transaction Documents shall be validly issued, fully paid and non-assessable and free from all preemptive or similar rights, taxes, liens, charges and other encumbrances with respect to the issue thereof. As of the Closing, the Company shall have reserved from its duly authorized capital stock not less than 133% of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sum of (i) the maximum number of Conversion Shares issuable upon conversion of the Notes (assuming for purposes hereof that the Notes are convertible at the initial Conversion Price (as defined in the Notes) and without taking into account any limitations on the conversion of the Notes set forth therein) and (ii) the maximum number of Warrant Shares issuable upon exercise of the Warrants (without taking into account any limitations on the exercise of the Warrants set forth therein). Upon conversion in accordance with the Notes or exercise in accordance with the Warrants (as the case may be), the Conversion Shares and the Warrant Shares, respectively, when issued, will be validly issued, fully paid and nonassessable and free from all preemptive or similar rights, taxes, liens, charges and other encumbrances with respect to the issue the reof, with the holders being entitled to all rights accorded to a holder of Common Stock. Subject to the accuracy of the representations and warranties of the Buyers in this Agreement, the offer and issuance by the Company of the Securities is exempt from registration under the 1933 Act.</w:t>
      </w:r>
    </w:p>
    <w:p>
      <w:pPr>
        <w:spacing w:after="0" w:line="179" w:lineRule="exact"/>
        <w:rPr>
          <w:sz w:val="20"/>
          <w:szCs w:val="20"/>
          <w:color w:val="auto"/>
        </w:rPr>
      </w:pPr>
    </w:p>
    <w:p>
      <w:pPr>
        <w:jc w:val="both"/>
        <w:ind w:firstLine="656"/>
        <w:spacing w:after="0" w:line="283" w:lineRule="auto"/>
        <w:tabs>
          <w:tab w:leader="none" w:pos="1583"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The execution, delivery and performance of the Transaction Documents by the Company and its Subsidiaries and the consummation by the Company and its Subsidiaries of the transactions contemplated hereby and thereby (including, without limitation, the issuance of the Notes, the Warrants, the Conversion Shares and Warrant Shares and the reservation for issuance of the Conversion Shares and Warrant Shares) will not (i) result in a violation of the Articles of Incorporation (as defined below) or other organizational documents of the Company or any of its Subsidiaries, any capital stock of the Company or any of its Subsidiaries or Bylaws (as defined below) of the Company or any of its Subsidiari es,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foreign, federal and state securities laws and regulations and the rules and regulations of the OTC Bulletin Board (the “</w:t>
      </w:r>
      <w:r>
        <w:rPr>
          <w:rFonts w:ascii="Arial" w:cs="Arial" w:eastAsia="Arial" w:hAnsi="Arial"/>
          <w:sz w:val="16"/>
          <w:szCs w:val="16"/>
          <w:b w:val="1"/>
          <w:bCs w:val="1"/>
          <w:color w:val="auto"/>
        </w:rPr>
        <w:t>Principal Market</w:t>
      </w:r>
      <w:r>
        <w:rPr>
          <w:rFonts w:ascii="Arial" w:cs="Arial" w:eastAsia="Arial" w:hAnsi="Arial"/>
          <w:sz w:val="16"/>
          <w:szCs w:val="16"/>
          <w:color w:val="auto"/>
        </w:rPr>
        <w:t>”) and including all applicable federal laws, rules and regulations) applicable to the Company or any of its Subsidiaries or by which any property or asset of the Company or any of its Subsidiaries is bound or affected except, in the case of clause (ii) or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above, to the extent such violations that could not reasonably be expected to have a Material Adverse Effect.</w:t>
      </w:r>
    </w:p>
    <w:p>
      <w:pPr>
        <w:spacing w:after="0" w:line="210" w:lineRule="exact"/>
        <w:rPr>
          <w:rFonts w:ascii="Arial" w:cs="Arial" w:eastAsia="Arial" w:hAnsi="Arial"/>
          <w:sz w:val="18"/>
          <w:szCs w:val="18"/>
          <w:color w:val="auto"/>
        </w:rPr>
      </w:pPr>
    </w:p>
    <w:p>
      <w:pPr>
        <w:jc w:val="both"/>
        <w:ind w:firstLine="656"/>
        <w:spacing w:after="0" w:line="270" w:lineRule="auto"/>
        <w:tabs>
          <w:tab w:leader="none" w:pos="1356"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Neither the Company nor any Subsidiary is required to obtain any consent from, authorization or order of, or make any filing or registration with (other than the filing with the SEC of one or more Registration Statements in accordance with the requirements of the Registration Rights Agreement, a Form D with the SEC and any other filings as may be required by any state securities agencies), any court, governmental agency or any regulatory or self-regulatory agency or any other Person in order for it to execute, deliver or perform any of its respective obligations under or contemplated by the Transaction Documents, in each case, in accordance with the terms hereof or thereof. 60;All consents, authorizations, orders, filings and registrations which the Company or any Subsidiary is required to obtain pursuant to the preceding sentence have been obtained or effected on or prior to the Closing Date, and neither the Company nor any of its Subsidiaries are aware of any facts or circumstances which might prevent the Company or any Subsidiary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termination or suspension of quotation, of the Common Stock in the foreseeable future.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jc w:val="both"/>
        <w:ind w:firstLine="656"/>
        <w:spacing w:after="0" w:line="291" w:lineRule="auto"/>
        <w:tabs>
          <w:tab w:leader="none" w:pos="1323"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Buyer’s Purchase of Securities</w:t>
      </w:r>
      <w:r>
        <w:rPr>
          <w:rFonts w:ascii="Arial" w:cs="Arial" w:eastAsia="Arial" w:hAnsi="Arial"/>
          <w:sz w:val="16"/>
          <w:szCs w:val="16"/>
          <w:color w:val="auto"/>
        </w:rPr>
        <w:t>. The Company acknowledges and agrees that each Buyer is acting solely in the capacity of an arm’s length purchaser with respect to the Transaction Documents and the transactions contemplated hereby and thereby and that no Buyer is</w:t>
      </w:r>
    </w:p>
    <w:p>
      <w:pPr>
        <w:jc w:val="both"/>
        <w:ind w:firstLine="8"/>
        <w:spacing w:after="0" w:line="268" w:lineRule="auto"/>
        <w:tabs>
          <w:tab w:leader="none" w:pos="221"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officer or director of the Company or any of its Subsidiaries, (ii) to its knowledge, an “affiliate” (as defined in Rule 144) of the Company or any of its Subsidiaries or (iii) to its knowledge, a “beneficial owner” of more than 10% of the shares of Common Stock (as defined for purposes of Rule 13d-3 of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184" w:lineRule="exact"/>
        <w:rPr>
          <w:rFonts w:ascii="Arial" w:cs="Arial" w:eastAsia="Arial" w:hAnsi="Arial"/>
          <w:sz w:val="17"/>
          <w:szCs w:val="17"/>
          <w:color w:val="auto"/>
        </w:rPr>
      </w:pPr>
    </w:p>
    <w:p>
      <w:pPr>
        <w:jc w:val="both"/>
        <w:ind w:firstLine="656"/>
        <w:spacing w:after="0" w:line="255" w:lineRule="auto"/>
        <w:tabs>
          <w:tab w:leader="none" w:pos="140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No General Solicitation; Placement Agent’s Fees.</w:t>
      </w:r>
      <w:r>
        <w:rPr>
          <w:rFonts w:ascii="Arial" w:cs="Arial" w:eastAsia="Arial" w:hAnsi="Arial"/>
          <w:sz w:val="18"/>
          <w:szCs w:val="18"/>
          <w:color w:val="auto"/>
        </w:rPr>
        <w:t xml:space="preserve">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relating to or arising out of the transactions contemplated hereby. Other than Olympus Securities, LLC (the “</w:t>
      </w:r>
      <w:r>
        <w:rPr>
          <w:rFonts w:ascii="Arial" w:cs="Arial" w:eastAsia="Arial" w:hAnsi="Arial"/>
          <w:sz w:val="18"/>
          <w:szCs w:val="18"/>
          <w:b w:val="1"/>
          <w:bCs w:val="1"/>
          <w:color w:val="auto"/>
        </w:rPr>
        <w:t>Placem ent Agent</w:t>
      </w:r>
      <w:r>
        <w:rPr>
          <w:rFonts w:ascii="Arial" w:cs="Arial" w:eastAsia="Arial" w:hAnsi="Arial"/>
          <w:sz w:val="18"/>
          <w:szCs w:val="18"/>
          <w:color w:val="auto"/>
        </w:rPr>
        <w:t>”), neither the Company nor any of its Subsidiaries has engaged any placement agent or other agent in connection with the sale of the Securities.</w:t>
      </w:r>
    </w:p>
    <w:p>
      <w:pPr>
        <w:spacing w:after="0" w:line="193" w:lineRule="exact"/>
        <w:rPr>
          <w:rFonts w:ascii="Arial" w:cs="Arial" w:eastAsia="Arial" w:hAnsi="Arial"/>
          <w:sz w:val="18"/>
          <w:szCs w:val="18"/>
          <w:color w:val="auto"/>
        </w:rPr>
      </w:pPr>
    </w:p>
    <w:p>
      <w:pPr>
        <w:jc w:val="both"/>
        <w:ind w:firstLine="656"/>
        <w:spacing w:after="0" w:line="291" w:lineRule="auto"/>
        <w:tabs>
          <w:tab w:leader="none" w:pos="1394"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under any applicable stockholder approval provisions, including, without limitation, under the rules and regulations of any exchange or automated quotation system on which any of the securities of the Company are listed or designated.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w:t>
      </w:r>
    </w:p>
    <w:p>
      <w:pPr>
        <w:spacing w:after="0" w:line="167" w:lineRule="exact"/>
        <w:rPr>
          <w:rFonts w:ascii="Arial" w:cs="Arial" w:eastAsia="Arial" w:hAnsi="Arial"/>
          <w:sz w:val="16"/>
          <w:szCs w:val="16"/>
          <w:color w:val="auto"/>
        </w:rPr>
      </w:pPr>
    </w:p>
    <w:p>
      <w:pPr>
        <w:jc w:val="both"/>
        <w:ind w:firstLine="656"/>
        <w:spacing w:after="0" w:line="279" w:lineRule="auto"/>
        <w:tabs>
          <w:tab w:leader="none" w:pos="1408"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Dilutive Effect</w:t>
      </w:r>
      <w:r>
        <w:rPr>
          <w:rFonts w:ascii="Arial" w:cs="Arial" w:eastAsia="Arial" w:hAnsi="Arial"/>
          <w:sz w:val="17"/>
          <w:szCs w:val="17"/>
          <w:color w:val="auto"/>
        </w:rPr>
        <w:t>. The Company understands and acknowledges that the number of Conversion Shares and Warrant Shares will increase in certain circumstances. The Company further acknowledges that its obligation to issue the Conversion Shares upon conversion of the Notes and the Warrant Shares upon exercise of the Warrants in accordance with this Agreement, the Notes and the Warrants is, absolute and unconditional regardless of the dilutive effect that such issuance may have on the ownership interests of other stockholders of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both"/>
        <w:ind w:firstLine="656"/>
        <w:spacing w:after="0" w:line="272" w:lineRule="auto"/>
        <w:tabs>
          <w:tab w:leader="none" w:pos="135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Application of Takeover Protections; Rights Agreement.</w:t>
      </w:r>
      <w:r>
        <w:rPr>
          <w:rFonts w:ascii="Arial" w:cs="Arial" w:eastAsia="Arial" w:hAnsi="Arial"/>
          <w:sz w:val="17"/>
          <w:szCs w:val="17"/>
          <w:color w:val="auto"/>
        </w:rPr>
        <w:t xml:space="preserve"> The Company and its board of directors have taken all necessary action, if any, in order to render inapplicable any control share acquisition, interested stockholder, business combination, poison pill (including any distribution under a rights agreement) or other similar anti-takeover provision under the Articles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 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177" w:lineRule="exact"/>
        <w:rPr>
          <w:rFonts w:ascii="Arial" w:cs="Arial" w:eastAsia="Arial" w:hAnsi="Arial"/>
          <w:sz w:val="17"/>
          <w:szCs w:val="17"/>
          <w:color w:val="auto"/>
        </w:rPr>
      </w:pPr>
    </w:p>
    <w:p>
      <w:pPr>
        <w:jc w:val="both"/>
        <w:ind w:firstLine="656"/>
        <w:spacing w:after="0" w:line="285" w:lineRule="auto"/>
        <w:tabs>
          <w:tab w:leader="none" w:pos="158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xml:space="preserve"> During the two (2) years prior to the date hereof, the Company has timely filed all reports, schedules, forms, statements and other documents required to be filed by it with the SEC pursuant to the reporting requirements of the 1934 Act (all of the foregoing filed prior to the date hereof and all exhibits included therein and financial statements, notes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The Company has delivered to the Buyers or their respective r epresentatives true, correct and complete copies of each of the SEC Documents not available on the EDGAR system. As of their respective dates, except as set forth on Schedule 3(k), the SEC Documents complied in all material respects with the requirements of the 1934 Act and the rules and regulations of the SEC promulgated thereunder applicable to the SEC Documents.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as in effect as of the time of filing. Such financial statements have been prepar 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the Buyers which is not included in the SEC Documents (including, without limitation, information referred to in Section 2(e) of this Agreement) contains any untrue statement of a material fact or omits to state any material fact necessary in order to make the statements therein not misleading, in the light of the circumstance under which they are or were made.</w:t>
      </w:r>
    </w:p>
    <w:p>
      <w:pPr>
        <w:spacing w:after="0" w:line="172" w:lineRule="exact"/>
        <w:rPr>
          <w:rFonts w:ascii="Arial" w:cs="Arial" w:eastAsia="Arial" w:hAnsi="Arial"/>
          <w:sz w:val="16"/>
          <w:szCs w:val="16"/>
          <w:color w:val="auto"/>
        </w:rPr>
      </w:pPr>
    </w:p>
    <w:p>
      <w:pPr>
        <w:jc w:val="both"/>
        <w:ind w:firstLine="656"/>
        <w:spacing w:after="0" w:line="264" w:lineRule="auto"/>
        <w:tabs>
          <w:tab w:leader="none" w:pos="131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xml:space="preserve"> Since the date of the Company’s most recent audited financial statements contained in a Form 10-K, except as disclosed in the SEC Documents filed subsequent to the date thereof, there has been no material adverse change and no material adverse development in the business, assets, liabilities, properties, operations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jc w:val="both"/>
        <w:spacing w:after="0" w:line="285" w:lineRule="auto"/>
        <w:rPr>
          <w:sz w:val="20"/>
          <w:szCs w:val="20"/>
          <w:color w:val="auto"/>
        </w:rPr>
      </w:pPr>
      <w:r>
        <w:rPr>
          <w:rFonts w:ascii="Arial" w:cs="Arial" w:eastAsia="Arial" w:hAnsi="Arial"/>
          <w:sz w:val="16"/>
          <w:szCs w:val="16"/>
          <w:color w:val="auto"/>
        </w:rPr>
        <w:t>(including results thereof), condition (financial or otherwise) or prospects of the Company or any of its Subsidiaries. Since the date of the Company’s most recent audited financial statements contained in a Form 10-K, neither the Company nor any of its Subsidiaries has (i) declared or paid any dividends, (ii) sold any assets, individually or in the aggregate, outside of the ordinary course of business or (iii) made any material capital expenditures, individually or in the aggregate.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 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3(l), “</w:t>
      </w:r>
      <w:r>
        <w:rPr>
          <w:rFonts w:ascii="Arial" w:cs="Arial" w:eastAsia="Arial" w:hAnsi="Arial"/>
          <w:sz w:val="16"/>
          <w:szCs w:val="16"/>
          <w:b w:val="1"/>
          <w:bCs w:val="1"/>
          <w:color w:val="auto"/>
        </w:rPr>
        <w:t>Insolvent</w:t>
      </w:r>
      <w:r>
        <w:rPr>
          <w:rFonts w:ascii="Arial" w:cs="Arial" w:eastAsia="Arial" w:hAnsi="Arial"/>
          <w:sz w:val="16"/>
          <w:szCs w:val="16"/>
          <w:color w:val="auto"/>
        </w:rPr>
        <w:t>” means, (I) with respect to the Company and its Subsidiaries, on a consolidated basis, (i) the present fair saleable value of the Company’s and its Subsidiaries’ assets is less than the amount required to pay the Company’s and its Subsidiaries’ total Indebtedness (as defined below), (ii) the Company and its Subsidiaries are unable to pay their debts and liabilities, subordinated, contingent or otherwise, as such debts and liabilities become absolute and matured or (iii) the Company and its Subsidiaries intend to incur or beli eve that they will incur debts that would be beyond their ability to pay as such debts mature; and (II) with respect to the Company and each Subsidiary, individually, (i) the present fair saleable value of the Company’s or such Subsidiary’s (as the case may be) assets is less than the amount required to pay its respective total Indebtedness, (ii) the Company or such Subsidiary (as the case may be) is unable to pay its respective debts and liabilities, subordinated, contingent or otherwise, as such debts and liabilities become absolute and matured or (iii)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 apital.</w:t>
      </w:r>
    </w:p>
    <w:p>
      <w:pPr>
        <w:spacing w:after="0" w:line="173" w:lineRule="exact"/>
        <w:rPr>
          <w:sz w:val="20"/>
          <w:szCs w:val="20"/>
          <w:color w:val="auto"/>
        </w:rPr>
      </w:pPr>
    </w:p>
    <w:p>
      <w:pPr>
        <w:jc w:val="both"/>
        <w:ind w:firstLine="656"/>
        <w:spacing w:after="0" w:line="255" w:lineRule="auto"/>
        <w:tabs>
          <w:tab w:leader="none" w:pos="153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Undisclosed Events, Liabilities, Developments or Circumstances.</w:t>
      </w:r>
      <w:r>
        <w:rPr>
          <w:rFonts w:ascii="Arial" w:cs="Arial" w:eastAsia="Arial" w:hAnsi="Arial"/>
          <w:sz w:val="18"/>
          <w:szCs w:val="18"/>
          <w:color w:val="auto"/>
        </w:rPr>
        <w:t xml:space="preserve"> No event, liability, development or circumstance has occurred or exists, or is reasonably expected to exist or occur with respect to the Company, any of its Subsidiaries or their respective business,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or (ii) could have a material adverse effect on any Buyer’s inves tment hereunder or could have a Material Adverse Effect.</w:t>
      </w:r>
    </w:p>
    <w:p>
      <w:pPr>
        <w:spacing w:after="0" w:line="193" w:lineRule="exact"/>
        <w:rPr>
          <w:rFonts w:ascii="Arial" w:cs="Arial" w:eastAsia="Arial" w:hAnsi="Arial"/>
          <w:sz w:val="18"/>
          <w:szCs w:val="18"/>
          <w:color w:val="auto"/>
        </w:rPr>
      </w:pPr>
    </w:p>
    <w:p>
      <w:pPr>
        <w:jc w:val="both"/>
        <w:ind w:firstLine="656"/>
        <w:spacing w:after="0" w:line="257" w:lineRule="auto"/>
        <w:tabs>
          <w:tab w:leader="none" w:pos="135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Conduct of Business; Regulatory Permits.</w:t>
      </w:r>
      <w:r>
        <w:rPr>
          <w:rFonts w:ascii="Arial" w:cs="Arial" w:eastAsia="Arial" w:hAnsi="Arial"/>
          <w:sz w:val="18"/>
          <w:szCs w:val="18"/>
          <w:color w:val="auto"/>
        </w:rPr>
        <w:t xml:space="preserve"> Neither the Company nor any of its Subsidiaries is in violation of any term of or in default under its Articles of Incorporation, any certificate of designation, preferences or rights of any other outstanding series of preferred stock of the Company or any of its Subsidiaries or Bylaws or their organizational charter, certificate of formation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85" w:lineRule="auto"/>
        <w:rPr>
          <w:sz w:val="20"/>
          <w:szCs w:val="20"/>
          <w:color w:val="auto"/>
        </w:rPr>
      </w:pPr>
      <w:r>
        <w:rPr>
          <w:rFonts w:ascii="Arial" w:cs="Arial" w:eastAsia="Arial" w:hAnsi="Arial"/>
          <w:sz w:val="16"/>
          <w:szCs w:val="16"/>
          <w:color w:val="auto"/>
        </w:rPr>
        <w:t>any of its Subsidiaries will conduct its business in violation of any of the foregoing,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termination or suspension of quotation, of the Common Stock by the Principal Market in the foreseeable future. Since January 1, 2008, (i) the Common Stock has been listed or designated for quotation on the Principal Market, (ii) trading in the Common Stock has not been suspended by the SEC or the Principal Market and</w:t>
      </w:r>
    </w:p>
    <w:p>
      <w:pPr>
        <w:spacing w:after="0" w:line="2" w:lineRule="exact"/>
        <w:rPr>
          <w:sz w:val="20"/>
          <w:szCs w:val="20"/>
          <w:color w:val="auto"/>
        </w:rPr>
      </w:pPr>
    </w:p>
    <w:p>
      <w:pPr>
        <w:jc w:val="both"/>
        <w:ind w:firstLine="8"/>
        <w:spacing w:after="0" w:line="292" w:lineRule="auto"/>
        <w:tabs>
          <w:tab w:leader="none" w:pos="3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received no communication, written or ora l, from the SEC or the Principal Market regarding the delisting, or termination or suspension of quotation,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w:t>
      </w:r>
    </w:p>
    <w:p>
      <w:pPr>
        <w:spacing w:after="0" w:line="162" w:lineRule="exact"/>
        <w:rPr>
          <w:rFonts w:ascii="Arial" w:cs="Arial" w:eastAsia="Arial" w:hAnsi="Arial"/>
          <w:sz w:val="16"/>
          <w:szCs w:val="16"/>
          <w:color w:val="auto"/>
        </w:rPr>
      </w:pPr>
    </w:p>
    <w:p>
      <w:pPr>
        <w:jc w:val="both"/>
        <w:ind w:firstLine="656"/>
        <w:spacing w:after="0" w:line="255"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xml:space="preserve"> Nether the Company nor any of its Subsidiaries nor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448"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The Company and each Subsidiary is in compliance with all applicable requirements of the Sarbanes-Oxley Act of 2002 that are effective as of the date hereof, and all applicable rules and regulations promulgated by the SEC thereunder that are effective as of the date hereof.</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Other than the grant of stock options disclosed on Schedule 3(q), none of the officers, directors or employees of the Company or any of its Subsidiaries is presently a party to any transaction with the Company or any of its Subsidiaries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or any of its Subsidiaries, any corporation, partnership, trust or other Person in which any such officer, director, or employee has a substantial interest or is an employee, officer, director, trustee or partner.</w:t>
      </w:r>
    </w:p>
    <w:p>
      <w:pPr>
        <w:spacing w:after="0" w:line="193" w:lineRule="exact"/>
        <w:rPr>
          <w:rFonts w:ascii="Arial" w:cs="Arial" w:eastAsia="Arial" w:hAnsi="Arial"/>
          <w:sz w:val="18"/>
          <w:szCs w:val="18"/>
          <w:color w:val="auto"/>
        </w:rPr>
      </w:pPr>
    </w:p>
    <w:p>
      <w:pPr>
        <w:ind w:firstLine="656"/>
        <w:spacing w:after="0" w:line="308" w:lineRule="auto"/>
        <w:tabs>
          <w:tab w:leader="none" w:pos="1404"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Equity Capitalization.</w:t>
      </w:r>
      <w:r>
        <w:rPr>
          <w:rFonts w:ascii="Arial" w:cs="Arial" w:eastAsia="Arial" w:hAnsi="Arial"/>
          <w:sz w:val="17"/>
          <w:szCs w:val="17"/>
          <w:color w:val="auto"/>
        </w:rPr>
        <w:t xml:space="preserve"> As of the date hereof, the authorized capital stock of the Company consists of (i) 150,000,000 shares of Common Stock, of which, 40,136,027 are issued and outstanding and 16,062,800 shares are reserved for issuance pursuant to securities (other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6"/>
          <w:szCs w:val="16"/>
          <w:color w:val="auto"/>
        </w:rPr>
        <w:t>than the Notes and the Warrants) exercisable or exchangeable for, or convertible into, shares of Common Stock and (ii) 5,000,000 shares of preferred stock, of which, none are issued and outstanding. No shares of Common Stock are held in treasury. All of such outstanding shares are duly authorized and have been, or upon issuance will be, validly issued and are fully paid and nonassessable. 15,747,349 shares of the Company’s issued and outstanding Common Stock on the date hereof are as of the date hereof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220;affiliates” for purposes of federal securities laws) of the Company or any of its Subsidiaries. To the Company’s knowledge, no Person (other than New Paradigm Capital, which owns approximately 10.6%, and St. George Trust Company Ltd., which owns approximately 13%) owns 10% or more of the Company’s issued and outstanding shares of Common Stock (calculated based on the assumption that all Equivalents,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 (i) None of the Company’s or any Subsidiary’s capital stock is subject to preemptive rights or any other similar rights or any liens or encumbrances suffered or permitted by the Company or any Subsidiary; (ii) except as disclosed in Schedule 3(r)(ii), there are no outstanding options, warrants, scrip, rights to subscribe to, calls or commitments of any character whatsoever relating to, or securities or rights convertible into, or exercisable or exchangeable for, any capital stock of the Company or any of its Subsidiaries, or contracts, commitments, understandings or arrangements by which the Company or any of its Subsidiaries is or may become bound to issue additional capital stock of the Company or any of its Subsidiaries or options, warrants, scrip, rights to subscribe to, calls or commitments of any character whatsoever relating to, or securities or rights convertible into, or exercisable or exchangeable for, any capital stock of the Company or any of its Subsidiaries; (iii) there are no outstanding debt securities, notes, credit agreements, credit facilities or other agreements, documents or instruments evidencing Indebtedness of the Company or any of its Subsidiaries or by which the Company or any of its Subsidiaries is or may become bound ; (iv) there are no financing statements securing obligations in any amounts filed in connection with the Company or any of its Subsidiaries;</w:t>
      </w:r>
    </w:p>
    <w:p>
      <w:pPr>
        <w:spacing w:after="0" w:line="12" w:lineRule="exact"/>
        <w:rPr>
          <w:sz w:val="20"/>
          <w:szCs w:val="20"/>
          <w:color w:val="auto"/>
        </w:rPr>
      </w:pPr>
    </w:p>
    <w:p>
      <w:pPr>
        <w:jc w:val="both"/>
        <w:ind w:firstLine="8"/>
        <w:spacing w:after="0" w:line="268" w:lineRule="auto"/>
        <w:tabs>
          <w:tab w:leader="none" w:pos="2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are no agreements or arrangements under which the Company or any of its Subsidiaries is obligated to register the sale of any of their securities under the 1933 Act (except pursuant to the Registration Rights Agreement); (vi)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(vii) there are no securities or instruments containing anti-dilution or similar provisions that will be triggered by the issuance of the Securities; (viii) neither the Company nor any Subsidiary has any stock appreciation rights or “phantom stock” plans or agreements or any simil ar plan or agreement; and (ix)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The Company has furnished to the Buyers true, correct and complete copies of the Company’s Articles of Incorporation, as amended and as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 w:name="page17"/>
    <w:bookmarkEnd w:id="16"/>
    <w:p>
      <w:pPr>
        <w:jc w:val="both"/>
        <w:spacing w:after="0" w:line="266" w:lineRule="auto"/>
        <w:rPr>
          <w:sz w:val="20"/>
          <w:szCs w:val="20"/>
          <w:color w:val="auto"/>
        </w:rPr>
      </w:pPr>
      <w:r>
        <w:rPr>
          <w:rFonts w:ascii="Arial" w:cs="Arial" w:eastAsia="Arial" w:hAnsi="Arial"/>
          <w:sz w:val="18"/>
          <w:szCs w:val="18"/>
          <w:color w:val="auto"/>
        </w:rPr>
        <w:t>in effect on the date hereof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and the Company’s bylaws, as amended and as in effect on the date hereof (the “</w:t>
      </w:r>
      <w:r>
        <w:rPr>
          <w:rFonts w:ascii="Arial" w:cs="Arial" w:eastAsia="Arial" w:hAnsi="Arial"/>
          <w:sz w:val="18"/>
          <w:szCs w:val="18"/>
          <w:b w:val="1"/>
          <w:bCs w:val="1"/>
          <w:color w:val="auto"/>
        </w:rPr>
        <w:t>Bylaws</w:t>
      </w:r>
      <w:r>
        <w:rPr>
          <w:rFonts w:ascii="Arial" w:cs="Arial" w:eastAsia="Arial" w:hAnsi="Arial"/>
          <w:sz w:val="18"/>
          <w:szCs w:val="18"/>
          <w:color w:val="auto"/>
        </w:rPr>
        <w:t>”), and the terms of all securities convertible into, or exercisable or exchangeable for, shares of Common Stock and the material rights of the holders thereof in respect thereto.</w:t>
      </w:r>
    </w:p>
    <w:p>
      <w:pPr>
        <w:spacing w:after="0" w:line="180" w:lineRule="exact"/>
        <w:rPr>
          <w:sz w:val="20"/>
          <w:szCs w:val="20"/>
          <w:color w:val="auto"/>
        </w:rPr>
      </w:pPr>
    </w:p>
    <w:p>
      <w:pPr>
        <w:jc w:val="both"/>
        <w:ind w:firstLine="656"/>
        <w:spacing w:after="0" w:line="283" w:lineRule="auto"/>
        <w:tabs>
          <w:tab w:leader="none" w:pos="146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xml:space="preserve"> Neither the Company nor any of its Subsidiaries (i) except as disclosed on Schedule 3(s)(i), has any outstanding Indebtedness (as defined below), (ii) is a party to any contract, agreement or instrument, the violation of which, or default under which, by the other party(ies) to such contract, agreement or instrument could reasonably be expected to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For purposes of this Agreement: (x) “</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generally accepted accounting principles)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 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w:t>
      </w:r>
    </w:p>
    <w:p>
      <w:pPr>
        <w:spacing w:after="0" w:line="3" w:lineRule="exact"/>
        <w:rPr>
          <w:rFonts w:ascii="Arial" w:cs="Arial" w:eastAsia="Arial" w:hAnsi="Arial"/>
          <w:sz w:val="16"/>
          <w:szCs w:val="16"/>
          <w:color w:val="auto"/>
        </w:rPr>
      </w:pPr>
    </w:p>
    <w:p>
      <w:pPr>
        <w:jc w:val="both"/>
        <w:ind w:firstLine="8"/>
        <w:spacing w:after="0" w:line="267" w:lineRule="auto"/>
        <w:tabs>
          <w:tab w:leader="none" w:pos="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 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Arial" w:cs="Arial" w:eastAsia="Arial" w:hAnsi="Arial"/>
          <w:sz w:val="17"/>
          <w:szCs w:val="17"/>
          <w:b w:val="1"/>
          <w:bCs w:val="1"/>
          <w:color w:val="auto"/>
        </w:rPr>
        <w:t>Contingent Obligation</w:t>
      </w:r>
      <w:r>
        <w:rPr>
          <w:rFonts w:ascii="Arial" w:cs="Arial" w:eastAsia="Arial" w:hAnsi="Arial"/>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Arial" w:cs="Arial" w:eastAsia="Arial" w:hAnsi="Arial"/>
          <w:sz w:val="17"/>
          <w:szCs w:val="17"/>
          <w:b w:val="1"/>
          <w:bCs w:val="1"/>
          <w:color w:val="auto"/>
        </w:rPr>
        <w:t>Person</w:t>
      </w:r>
      <w:r>
        <w:rPr>
          <w:rFonts w:ascii="Arial" w:cs="Arial" w:eastAsia="Arial" w:hAnsi="Arial"/>
          <w:sz w:val="17"/>
          <w:szCs w:val="17"/>
          <w:color w:val="auto"/>
        </w:rPr>
        <w:t>R 21; means an individual, a limited liability company, a partnership, a joint venture, a corporation, a trust, an unincorporated organization, any other entity and a government or any department or agency thereof. (i) All Persons who entered into secured loan agreements with the Company on or around February 4, 2009 through May 2010, have entered into written conversion agreements with the Company to automatically convert the debt evidenced by such loan agreements into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7"/>
          <w:szCs w:val="17"/>
          <w:color w:val="auto"/>
        </w:rPr>
        <w:t>shares of Common Stock simultaneously with the Closing, (ii) all of such conversion agreements are in full force and effect, (iii) Schedule 7(a)(xviii)(i) contains a complete and accurate list of all such conversion agreements and true and correct copies thereof are attached thereto and (iv) immediately after the conversion of such debt as contemplated by clause (i) above, none of such Persons will be owed any Indebtedness by the Company or any of its Subsidiaries, other than as expressly set forth on Schedule 3(s). (1) All Persons who entered into agreements with the Company on September 4, 2009, with respect to the Company’s issuance of one or more debentures in the aggregate principal amount of $350,000 are parties to this Agreement as Buyers hereunder and will, simultaneously with the Closing, exchange all such debenture(s) a nd all warrants received in connection with the issuance of such debenture(s) for (w) Notes in the aggregate original principal amount of $420,000, (x) Series A Warrants to purchase up to 1,750,000 Series A Warrant Shares in the aggregate, (y) Series B Warrants to purchase up to 1,400,000 Series B Warrant Shares in the aggregate and (z) Series C Warrants to purchase up to 1,750,000 Series C Warrant Shares in the aggregate, (2) all such Persons have entered into written agreements between each such Person and the Company that contain restrictive covenants with respect to all of the Securities being acquired by such Persons hereunder, (3) all of such written agreements referred to in the immediately preceding clause (2) are in full force and effect, (4) Schedule 7(a)(xviii)(ii) contains a complete and accurate list of all such written agreements referred to in clause (2) above and true and correct copies thereof are attached thereto and (5) immediately after the exchange of such debenture(s) as contemplated by clause (1) above, none of such Persons will be owed any Indebtedness by the Company or any of its Subsidiaries (other than the Indebtedness evidence by such Notes in the aggregate original principal amount of $420,000).</w:t>
      </w:r>
    </w:p>
    <w:p>
      <w:pPr>
        <w:spacing w:after="0" w:line="185" w:lineRule="exact"/>
        <w:rPr>
          <w:sz w:val="20"/>
          <w:szCs w:val="20"/>
          <w:color w:val="auto"/>
        </w:rPr>
      </w:pPr>
    </w:p>
    <w:p>
      <w:pPr>
        <w:jc w:val="both"/>
        <w:ind w:firstLine="656"/>
        <w:spacing w:after="0" w:line="255" w:lineRule="auto"/>
        <w:tabs>
          <w:tab w:leader="none" w:pos="143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xml:space="preserve"> There is no action, suit, proceeding, inquiry or investigation before or by the Principal Market, any court, public board, government agency, self-regulatory organization or body pending or, to the knowledge of the Company, threatened against or affecting the Company or any of its Subsidiaries, the Common Stock or any of the Company’s or its Subsidiaries’ officers or directors which is outside of the ordinary course of business or individually or in the aggregate material to the Company or any of its Subsidiaries. There has not been, and to the knowledge of the Company, there is not pending or contemplate d, any investigation by the SEC involving the Company, any of its Subsidiaries or any current of former director or officer of the Company or any of its Subsidiaries. The SEC has not issued any stop order or other order suspending the effectiveness of any registration statement filed by the Company under the 1933 Act or the 1934 Act.</w:t>
      </w:r>
    </w:p>
    <w:p>
      <w:pPr>
        <w:spacing w:after="0" w:line="189" w:lineRule="exact"/>
        <w:rPr>
          <w:rFonts w:ascii="Arial" w:cs="Arial" w:eastAsia="Arial" w:hAnsi="Arial"/>
          <w:sz w:val="18"/>
          <w:szCs w:val="18"/>
          <w:color w:val="auto"/>
        </w:rPr>
      </w:pPr>
    </w:p>
    <w:p>
      <w:pPr>
        <w:jc w:val="both"/>
        <w:ind w:firstLine="656"/>
        <w:spacing w:after="0" w:line="257" w:lineRule="auto"/>
        <w:tabs>
          <w:tab w:leader="none" w:pos="140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failure of the Company and each of its Subsidiaries to be insured by insurers of recognized financial responsibility against such losses and risks and in such amounts as is prudent and customary in the businesses in which the Company and its Subsidiaries are engaged will not have a Material Adverse Effect. Neither the Company nor any such Subsidiary has been refused any insurance coverage sought or applied for. Neither the Company nor any such Subsidiary has any reason to believe that it will be unable to obtain insurance coverage as may be necessary to continue its business at a cost that would not have a Material Adverse Effect.</w:t>
      </w:r>
    </w:p>
    <w:p>
      <w:pPr>
        <w:spacing w:after="0" w:line="188" w:lineRule="exact"/>
        <w:rPr>
          <w:rFonts w:ascii="Arial" w:cs="Arial" w:eastAsia="Arial" w:hAnsi="Arial"/>
          <w:sz w:val="18"/>
          <w:szCs w:val="18"/>
          <w:color w:val="auto"/>
        </w:rPr>
      </w:pPr>
    </w:p>
    <w:p>
      <w:pPr>
        <w:ind w:right="20" w:firstLine="656"/>
        <w:spacing w:after="0" w:line="277" w:lineRule="auto"/>
        <w:tabs>
          <w:tab w:leader="none" w:pos="144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Employee Relations.</w:t>
      </w:r>
      <w:r>
        <w:rPr>
          <w:rFonts w:ascii="Arial" w:cs="Arial" w:eastAsia="Arial" w:hAnsi="Arial"/>
          <w:sz w:val="18"/>
          <w:szCs w:val="18"/>
          <w:color w:val="auto"/>
        </w:rPr>
        <w:t xml:space="preserve"> Neither the Company nor any of its Subsidiaries is a party to any collective bargaining agreement or employs any member of a union. The Company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believes that its and its Subsidiaries’ relations with their respective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 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67" w:lineRule="exact"/>
        <w:rPr>
          <w:sz w:val="20"/>
          <w:szCs w:val="20"/>
          <w:color w:val="auto"/>
        </w:rPr>
      </w:pPr>
    </w:p>
    <w:p>
      <w:pPr>
        <w:jc w:val="both"/>
        <w:ind w:firstLine="656"/>
        <w:spacing w:after="0" w:line="273" w:lineRule="auto"/>
        <w:tabs>
          <w:tab w:leader="none" w:pos="146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xml:space="preserve"> The Company and its Subsidiaries have good and marketable title in fee simple to all real property, and have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any of its Subsidiaries. Any real property and facilities held under lease by the Company or any of its Subsidiaries are held by them under valid, subsisting an d enforceable leases with such exceptions as are not material and do not interfere with the use made and proposed to be made of such property and buildings by the Company or any of its Subsidiaries.</w:t>
      </w:r>
    </w:p>
    <w:p>
      <w:pPr>
        <w:spacing w:after="0" w:line="178" w:lineRule="exact"/>
        <w:rPr>
          <w:rFonts w:ascii="Arial" w:cs="Arial" w:eastAsia="Arial" w:hAnsi="Arial"/>
          <w:sz w:val="17"/>
          <w:szCs w:val="17"/>
          <w:color w:val="auto"/>
        </w:rPr>
      </w:pPr>
    </w:p>
    <w:p>
      <w:pPr>
        <w:jc w:val="both"/>
        <w:ind w:firstLine="656"/>
        <w:spacing w:after="0" w:line="288" w:lineRule="auto"/>
        <w:tabs>
          <w:tab w:leader="none" w:pos="150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xml:space="preserve"> The Company and its Subsidiaries own or possess adequate rights or licenses to use all trademarks, trade names, service marks, service mark registrations, service names, patents, patent rights, copyrights, original works, inventions, licenses, approvals, governmental authorizations, trade secrets and other intellectual property rights and all applications and registrations therefor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w:t>
      </w:r>
      <w:r>
        <w:rPr>
          <w:rFonts w:ascii="Arial" w:cs="Arial" w:eastAsia="Arial" w:hAnsi="Arial"/>
          <w:sz w:val="16"/>
          <w:szCs w:val="16"/>
          <w:b w:val="1"/>
          <w:bCs w:val="1"/>
          <w:color w:val="auto"/>
        </w:rPr>
        <w:t>Rights</w:t>
      </w:r>
      <w:r>
        <w:rPr>
          <w:rFonts w:ascii="Arial" w:cs="Arial" w:eastAsia="Arial" w:hAnsi="Arial"/>
          <w:sz w:val="16"/>
          <w:szCs w:val="16"/>
          <w:color w:val="auto"/>
        </w:rPr>
        <w:t>”) necessary to conduct their respective businesses as now conducted and as presently proposed to be conducted. None of the Company’s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Intellectual Property Rights have expired, terminated or been abandoned, or are expected to expire, terminate or be abandoned, within three years from the date of this Agreement. The Company has no knowledge of any infringement by the Company or any of its Subsidiaries of Intellectual Property Rights of others. There is no claim, action or proceeding being made or brought, or to the knowledge of the Company or any of its Subsidiaries, being threatened, against the Company or any of its Subsidiaries regarding their Intellectual Property Rights. The Company is not aware of any facts or circumstances which might give rise to any of the foregoing infringements or claims, actions or proceedings. The Company and each of its Subsidiaries have taken reasonable security measures to protect the secrecy, confidentiality and value of all of their Intellectual Property Rights.</w:t>
      </w:r>
    </w:p>
    <w:p>
      <w:pPr>
        <w:spacing w:after="0" w:line="169" w:lineRule="exact"/>
        <w:rPr>
          <w:rFonts w:ascii="Arial" w:cs="Arial" w:eastAsia="Arial" w:hAnsi="Arial"/>
          <w:sz w:val="16"/>
          <w:szCs w:val="16"/>
          <w:color w:val="auto"/>
        </w:rPr>
      </w:pPr>
    </w:p>
    <w:p>
      <w:pPr>
        <w:ind w:firstLine="656"/>
        <w:spacing w:after="0" w:line="277" w:lineRule="auto"/>
        <w:tabs>
          <w:tab w:leader="none" w:pos="143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The Company and its Subsidiaries (i) are in compliance with all Environmental Laws (as defined below), (ii) have received all permits, licenses or other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6"/>
          <w:szCs w:val="16"/>
          <w:color w:val="auto"/>
        </w:rPr>
        <w:t>approvals required of them under applicable Environmental Laws to conduct their respective businesses and (iii) are in compliance with all terms and conditions of any such permit, license or approval where, in each of the foregoing clauses (i), (ii) and (iii), the failure to so comply could be reasonably expected to have, individually or in the aggregate, a Material Adverse Effect. The term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 ts, contaminants, or toxic or hazardous substances or wastes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66" w:lineRule="exact"/>
        <w:rPr>
          <w:sz w:val="20"/>
          <w:szCs w:val="20"/>
          <w:color w:val="auto"/>
        </w:rPr>
      </w:pPr>
    </w:p>
    <w:p>
      <w:pPr>
        <w:ind w:right="20" w:firstLine="656"/>
        <w:spacing w:after="0" w:line="308" w:lineRule="auto"/>
        <w:tabs>
          <w:tab w:leader="none" w:pos="155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Subsidiary Rights.</w:t>
      </w:r>
      <w:r>
        <w:rPr>
          <w:rFonts w:ascii="Arial" w:cs="Arial" w:eastAsia="Arial" w:hAnsi="Arial"/>
          <w:sz w:val="17"/>
          <w:szCs w:val="17"/>
          <w:color w:val="auto"/>
        </w:rPr>
        <w:t xml:space="preserve">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47" w:lineRule="exact"/>
        <w:rPr>
          <w:sz w:val="20"/>
          <w:szCs w:val="20"/>
          <w:color w:val="auto"/>
        </w:rPr>
      </w:pPr>
    </w:p>
    <w:p>
      <w:pPr>
        <w:jc w:val="both"/>
        <w:ind w:firstLine="656"/>
        <w:spacing w:after="0" w:line="255" w:lineRule="auto"/>
        <w:tabs>
          <w:tab w:leader="none" w:pos="151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Neither the Company nor any Subsidiary has made or filed any United States federal or state income tax returns, reports or declarations or any foreign income or other tax returns, reports or declarations required by any jurisdiction to which it is subject. Any such failure or failures to make or file any such tax returns, reports or declarations will not, either individually or in the aggregate, have a Material Adverse Effect. The Company believes that no taxes are due and owing as neither the Company nor any Subsidiary has ever generated any revenue. There are no unpaid taxes in any material amount claimed to be due by the taxing authority of any jurisdiction, and the officers of the Company an d its Subsidiaries know of no basis for any such claim. The Company is not operated in such a manner as to qualify as a passive foreign investment company, as defined in Section 1297 of the U.S. Internal Revenue Code of 1986, as amended.</w:t>
      </w:r>
    </w:p>
    <w:p>
      <w:pPr>
        <w:spacing w:after="0" w:line="189" w:lineRule="exact"/>
        <w:rPr>
          <w:rFonts w:ascii="Arial" w:cs="Arial" w:eastAsia="Arial" w:hAnsi="Arial"/>
          <w:sz w:val="18"/>
          <w:szCs w:val="18"/>
          <w:color w:val="auto"/>
        </w:rPr>
      </w:pPr>
    </w:p>
    <w:p>
      <w:pPr>
        <w:jc w:val="both"/>
        <w:ind w:firstLine="656"/>
        <w:spacing w:after="0" w:line="270" w:lineRule="auto"/>
        <w:tabs>
          <w:tab w:leader="none" w:pos="171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Internal Accounting and Disclosure Controls.</w:t>
      </w:r>
      <w:r>
        <w:rPr>
          <w:rFonts w:ascii="Arial" w:cs="Arial" w:eastAsia="Arial" w:hAnsi="Arial"/>
          <w:sz w:val="17"/>
          <w:szCs w:val="17"/>
          <w:color w:val="auto"/>
        </w:rPr>
        <w:t xml:space="preserve">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 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spacing w:after="0" w:line="297" w:lineRule="auto"/>
        <w:rPr>
          <w:sz w:val="20"/>
          <w:szCs w:val="20"/>
          <w:color w:val="auto"/>
        </w:rPr>
      </w:pPr>
      <w:r>
        <w:rPr>
          <w:rFonts w:ascii="Arial" w:cs="Arial" w:eastAsia="Arial" w:hAnsi="Arial"/>
          <w:sz w:val="16"/>
          <w:szCs w:val="16"/>
          <w:color w:val="auto"/>
        </w:rPr>
        <w:t>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or other Person relating to any potential material weakness or significant deficiency in any part of the internal controls over financial reporting of the Company or any of its Subsidiaries.</w:t>
      </w:r>
    </w:p>
    <w:p>
      <w:pPr>
        <w:spacing w:after="0" w:line="158" w:lineRule="exact"/>
        <w:rPr>
          <w:sz w:val="20"/>
          <w:szCs w:val="20"/>
          <w:color w:val="auto"/>
        </w:rPr>
      </w:pPr>
    </w:p>
    <w:p>
      <w:pPr>
        <w:jc w:val="both"/>
        <w:ind w:firstLine="656"/>
        <w:spacing w:after="0" w:line="264" w:lineRule="auto"/>
        <w:tabs>
          <w:tab w:leader="none" w:pos="170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xml:space="preserve">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63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 xml:space="preserve">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65" w:lineRule="exact"/>
        <w:rPr>
          <w:rFonts w:ascii="Arial" w:cs="Arial" w:eastAsia="Arial" w:hAnsi="Arial"/>
          <w:sz w:val="17"/>
          <w:szCs w:val="17"/>
          <w:color w:val="auto"/>
        </w:rPr>
      </w:pPr>
    </w:p>
    <w:p>
      <w:pPr>
        <w:jc w:val="both"/>
        <w:ind w:firstLine="656"/>
        <w:spacing w:after="0" w:line="286" w:lineRule="auto"/>
        <w:tabs>
          <w:tab w:leader="none" w:pos="146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Acknowledgement Regarding Buyers’ Trading Activity.</w:t>
      </w:r>
      <w:r>
        <w:rPr>
          <w:rFonts w:ascii="Arial" w:cs="Arial" w:eastAsia="Arial" w:hAnsi="Arial"/>
          <w:sz w:val="16"/>
          <w:szCs w:val="16"/>
          <w:color w:val="auto"/>
        </w:rPr>
        <w:t xml:space="preserve">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and (iii) each Buyer shall not be deemed to have any affiliation with or control over any arm’s length counterparty in any “derivative” transaction. The Company further understands and acknowledges that following the public disclosure of the transactions contemplated by the Transaction Documents pursuant to the Press Release (as defined below) one or more Buyers may engage in hedging and/or trading activities at various times during the period that the Securities are outstanding, including, without limitation, during the periods that the value and/or number of the Warrant Shares deliverable with respect to the Securities are being determined and (b) such hedging and/or tra ding activities,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or any other Transaction Document or any of the documents executed in connection herewith or therewith.</w:t>
      </w:r>
    </w:p>
    <w:p>
      <w:pPr>
        <w:spacing w:after="0" w:line="171" w:lineRule="exact"/>
        <w:rPr>
          <w:rFonts w:ascii="Arial" w:cs="Arial" w:eastAsia="Arial" w:hAnsi="Arial"/>
          <w:sz w:val="16"/>
          <w:szCs w:val="16"/>
          <w:color w:val="auto"/>
        </w:rPr>
      </w:pPr>
    </w:p>
    <w:p>
      <w:pPr>
        <w:ind w:right="20" w:firstLine="656"/>
        <w:spacing w:after="0" w:line="277" w:lineRule="auto"/>
        <w:tabs>
          <w:tab w:leader="none" w:pos="144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Manipulation of Price.</w:t>
      </w:r>
      <w:r>
        <w:rPr>
          <w:rFonts w:ascii="Arial" w:cs="Arial" w:eastAsia="Arial" w:hAnsi="Arial"/>
          <w:sz w:val="18"/>
          <w:szCs w:val="18"/>
          <w:color w:val="auto"/>
        </w:rPr>
        <w:t xml:space="preserve"> Neither the Company nor any of its Subsidiaries has, and, to the knowledge of the Company, no Person acting on their behalf has, directly or indirectly, (i)</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or (iii) paid or agreed to pay to any Person any compensation for soliciting another to purchase any other securities of the Company or any of its Subsidiaries.</w:t>
      </w:r>
    </w:p>
    <w:p>
      <w:pPr>
        <w:spacing w:after="0" w:line="187" w:lineRule="exact"/>
        <w:rPr>
          <w:sz w:val="20"/>
          <w:szCs w:val="20"/>
          <w:color w:val="auto"/>
        </w:rPr>
      </w:pPr>
    </w:p>
    <w:p>
      <w:pPr>
        <w:jc w:val="both"/>
        <w:ind w:firstLine="656"/>
        <w:spacing w:after="0" w:line="264" w:lineRule="auto"/>
        <w:tabs>
          <w:tab w:leader="none" w:pos="148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xml:space="preserve"> Neither the Company nor any of its Subsidiaries is, or has ever been, and so long as any of the Securities are held by any of the Buyers, shall become, a U.S. real property holding corporation within the meaning of Section 897 of the Internal Revenue Code of 1986, as amended, and the Company and each Subsidiary shall so certify upon any Buyer’s request.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5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53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is subject to the Bank Holding Company Act of 1956, as amended (the “</w:t>
      </w:r>
      <w:r>
        <w:rPr>
          <w:rFonts w:ascii="Arial" w:cs="Arial" w:eastAsia="Arial" w:hAnsi="Arial"/>
          <w:sz w:val="18"/>
          <w:szCs w:val="18"/>
          <w:b w:val="1"/>
          <w:bCs w:val="1"/>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b w:val="1"/>
          <w:bCs w:val="1"/>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equity that is subject to t 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93" w:lineRule="exact"/>
        <w:rPr>
          <w:rFonts w:ascii="Arial" w:cs="Arial" w:eastAsia="Arial" w:hAnsi="Arial"/>
          <w:sz w:val="18"/>
          <w:szCs w:val="18"/>
          <w:color w:val="auto"/>
        </w:rPr>
      </w:pPr>
    </w:p>
    <w:p>
      <w:pPr>
        <w:ind w:firstLine="656"/>
        <w:spacing w:after="0" w:line="277" w:lineRule="auto"/>
        <w:tabs>
          <w:tab w:leader="none" w:pos="164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Public Utility Holding Act</w:t>
      </w:r>
      <w:r>
        <w:rPr>
          <w:rFonts w:ascii="Arial" w:cs="Arial" w:eastAsia="Arial" w:hAnsi="Arial"/>
          <w:sz w:val="18"/>
          <w:szCs w:val="18"/>
          <w:color w:val="auto"/>
        </w:rPr>
        <w:t>. None of the Company nor any of its Subsidiaries is a “holding company,” or an “affiliate” of a “holding company,” as such terms are defined in the Public Utility Holding Act of 2005.</w:t>
      </w:r>
    </w:p>
    <w:p>
      <w:pPr>
        <w:spacing w:after="0" w:line="170" w:lineRule="exact"/>
        <w:rPr>
          <w:rFonts w:ascii="Arial" w:cs="Arial" w:eastAsia="Arial" w:hAnsi="Arial"/>
          <w:sz w:val="18"/>
          <w:szCs w:val="18"/>
          <w:color w:val="auto"/>
        </w:rPr>
      </w:pPr>
    </w:p>
    <w:p>
      <w:pPr>
        <w:ind w:firstLine="656"/>
        <w:spacing w:after="0" w:line="277" w:lineRule="auto"/>
        <w:tabs>
          <w:tab w:leader="none" w:pos="165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Federal Power Act</w:t>
      </w:r>
      <w:r>
        <w:rPr>
          <w:rFonts w:ascii="Arial" w:cs="Arial" w:eastAsia="Arial" w:hAnsi="Arial"/>
          <w:sz w:val="18"/>
          <w:szCs w:val="18"/>
          <w:color w:val="auto"/>
        </w:rPr>
        <w:t>. None of the Company nor any of its Subsidiaries is subject to regulation as a “public utility” under the Federal Power Act, as amended.</w:t>
      </w:r>
    </w:p>
    <w:p>
      <w:pPr>
        <w:spacing w:after="0" w:line="170" w:lineRule="exact"/>
        <w:rPr>
          <w:rFonts w:ascii="Arial" w:cs="Arial" w:eastAsia="Arial" w:hAnsi="Arial"/>
          <w:sz w:val="18"/>
          <w:szCs w:val="18"/>
          <w:color w:val="auto"/>
        </w:rPr>
      </w:pPr>
    </w:p>
    <w:p>
      <w:pPr>
        <w:ind w:right="20" w:firstLine="656"/>
        <w:spacing w:after="0" w:line="277" w:lineRule="auto"/>
        <w:tabs>
          <w:tab w:leader="none" w:pos="149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70" w:lineRule="exact"/>
        <w:rPr>
          <w:rFonts w:ascii="Arial" w:cs="Arial" w:eastAsia="Arial" w:hAnsi="Arial"/>
          <w:sz w:val="18"/>
          <w:szCs w:val="18"/>
          <w:color w:val="auto"/>
        </w:rPr>
      </w:pPr>
    </w:p>
    <w:p>
      <w:pPr>
        <w:ind w:firstLine="656"/>
        <w:spacing w:after="0" w:line="277" w:lineRule="auto"/>
        <w:tabs>
          <w:tab w:leader="none" w:pos="153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Ranking of Notes</w:t>
      </w:r>
      <w:r>
        <w:rPr>
          <w:rFonts w:ascii="Arial" w:cs="Arial" w:eastAsia="Arial" w:hAnsi="Arial"/>
          <w:sz w:val="18"/>
          <w:szCs w:val="18"/>
          <w:color w:val="auto"/>
        </w:rPr>
        <w:t xml:space="preserve">. No Indebtedness of the Company, at the Closing,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in right of payment, whether with respect to payment or redemptions, interest, damages, upon liquidation or dissolution or otherwise.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4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no Buyer makes or has made any representations or warranties with respect to the transactions contemplated hereby other than those specifically set forth in Section 2.</w:t>
      </w:r>
    </w:p>
    <w:p>
      <w:pPr>
        <w:spacing w:after="0" w:line="17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auto"/>
        </w:rPr>
      </w:pPr>
    </w:p>
    <w:p>
      <w:pPr>
        <w:ind w:firstLine="656"/>
        <w:spacing w:after="0" w:line="342" w:lineRule="auto"/>
        <w:tabs>
          <w:tab w:leader="none" w:pos="1343"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xml:space="preserve"> Each Buyer shall use its best efforts to timely satisfy each of the conditions to be satisfied by it as provided in Section 6 of this Agreement. The Company shall use its best efforts to timely satisfy each of the conditions to be satisfied by it as provided in Section </w:t>
      </w:r>
      <w:r>
        <w:rPr>
          <w:rFonts w:ascii="Arial" w:cs="Arial" w:eastAsia="Arial" w:hAnsi="Arial"/>
          <w:sz w:val="16"/>
          <w:szCs w:val="16"/>
          <w:u w:val="single" w:color="auto"/>
          <w:color w:val="0000EE"/>
        </w:rPr>
        <w:t>7</w:t>
      </w:r>
      <w:r>
        <w:rPr>
          <w:rFonts w:ascii="Arial" w:cs="Arial" w:eastAsia="Arial" w:hAnsi="Arial"/>
          <w:sz w:val="16"/>
          <w:szCs w:val="16"/>
          <w:color w:val="auto"/>
        </w:rPr>
        <w:t xml:space="preserve"> of this Agreement.</w:t>
      </w:r>
    </w:p>
    <w:p>
      <w:pPr>
        <w:spacing w:after="0" w:line="123" w:lineRule="exact"/>
        <w:rPr>
          <w:rFonts w:ascii="Arial" w:cs="Arial" w:eastAsia="Arial" w:hAnsi="Arial"/>
          <w:sz w:val="16"/>
          <w:szCs w:val="16"/>
          <w:color w:val="auto"/>
        </w:rPr>
      </w:pPr>
    </w:p>
    <w:p>
      <w:pPr>
        <w:jc w:val="both"/>
        <w:ind w:firstLine="656"/>
        <w:spacing w:after="0" w:line="293" w:lineRule="auto"/>
        <w:tabs>
          <w:tab w:leader="none" w:pos="1380"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Form D and Blue Sky</w:t>
      </w:r>
      <w:r>
        <w:rPr>
          <w:rFonts w:ascii="Arial" w:cs="Arial" w:eastAsia="Arial" w:hAnsi="Arial"/>
          <w:sz w:val="16"/>
          <w:szCs w:val="16"/>
          <w:color w:val="auto"/>
        </w:rPr>
        <w:t>. The Company agrees to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&amp;# 160;The Company shall make all filings and reports relating to the offer and sale of the Securities required under applicable securities or “Blue Sky” laws of the states of the United States following the Closing Date.</w:t>
      </w:r>
    </w:p>
    <w:p>
      <w:pPr>
        <w:spacing w:after="0" w:line="160" w:lineRule="exact"/>
        <w:rPr>
          <w:rFonts w:ascii="Arial" w:cs="Arial" w:eastAsia="Arial" w:hAnsi="Arial"/>
          <w:sz w:val="16"/>
          <w:szCs w:val="16"/>
          <w:color w:val="auto"/>
        </w:rPr>
      </w:pPr>
    </w:p>
    <w:p>
      <w:pPr>
        <w:jc w:val="both"/>
        <w:ind w:firstLine="656"/>
        <w:spacing w:after="0" w:line="277" w:lineRule="auto"/>
        <w:tabs>
          <w:tab w:leader="none" w:pos="1559"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Reporting Status</w:t>
      </w:r>
      <w:r>
        <w:rPr>
          <w:rFonts w:ascii="Arial" w:cs="Arial" w:eastAsia="Arial" w:hAnsi="Arial"/>
          <w:sz w:val="17"/>
          <w:szCs w:val="17"/>
          <w:color w:val="auto"/>
        </w:rPr>
        <w:t>. Until the date on which the Buyers shall have sold all of the Registrable Securities (the “</w:t>
      </w:r>
      <w:r>
        <w:rPr>
          <w:rFonts w:ascii="Arial" w:cs="Arial" w:eastAsia="Arial" w:hAnsi="Arial"/>
          <w:sz w:val="17"/>
          <w:szCs w:val="17"/>
          <w:b w:val="1"/>
          <w:bCs w:val="1"/>
          <w:color w:val="auto"/>
        </w:rPr>
        <w:t>Reporting Period</w:t>
      </w:r>
      <w:r>
        <w:rPr>
          <w:rFonts w:ascii="Arial" w:cs="Arial" w:eastAsia="Arial" w:hAnsi="Arial"/>
          <w:sz w:val="17"/>
          <w:szCs w:val="17"/>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 From the time Form S-3 is available to the Company for the registration of the Registrable Securities, the Company shall take all actions necessary to maintain its eligibility to register the Registrable Securities for resale by the Buyers on Form S-3.</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proceeds from the sale of the Securities solely as set forth on Schedule 4(d).</w:t>
      </w:r>
    </w:p>
    <w:p>
      <w:pPr>
        <w:spacing w:after="0" w:line="225" w:lineRule="exact"/>
        <w:rPr>
          <w:rFonts w:ascii="Arial" w:cs="Arial" w:eastAsia="Arial" w:hAnsi="Arial"/>
          <w:sz w:val="18"/>
          <w:szCs w:val="18"/>
          <w:color w:val="auto"/>
        </w:rPr>
      </w:pPr>
    </w:p>
    <w:p>
      <w:pPr>
        <w:jc w:val="both"/>
        <w:ind w:firstLine="656"/>
        <w:spacing w:after="0" w:line="254" w:lineRule="auto"/>
        <w:tabs>
          <w:tab w:leader="none" w:pos="151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xml:space="preserve"> The Company agrees to send the following to each Investor (as defined in the Registration Rights Agreement)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 uant to the 1933 Act, (ii) on the same day as the release thereof, facsimile copies of all press releases issued by the Company or any of its Subsidiaries and (iii) copies of any notices and other information made available or given to the stockholders of the Company generally, contemporaneously with the making available or giving thereof to the stockholders.</w:t>
      </w:r>
    </w:p>
    <w:p>
      <w:pPr>
        <w:spacing w:after="0" w:line="192" w:lineRule="exact"/>
        <w:rPr>
          <w:rFonts w:ascii="Arial" w:cs="Arial" w:eastAsia="Arial" w:hAnsi="Arial"/>
          <w:sz w:val="18"/>
          <w:szCs w:val="18"/>
          <w:color w:val="auto"/>
        </w:rPr>
      </w:pPr>
    </w:p>
    <w:p>
      <w:pPr>
        <w:jc w:val="both"/>
        <w:ind w:firstLine="656"/>
        <w:spacing w:after="0" w:line="253" w:lineRule="auto"/>
        <w:tabs>
          <w:tab w:leader="none" w:pos="132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promptly secure the listing or designation for quotation (as the case may be) of all of the Registrable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Registrable Securities from time to time issuable under the terms of the Transaction Documents on such national securities exchange or automated quotation system. The Company shall maintain the Common Stock’s listing or authorization for quotation (as the case may be) on the Principal Market, the NYSE Amex, The New York Stock Exchange, the Nasdaq Global Market, the Nasdaq Global Select Market or the Nasdaq Capital Market (each, an “</w:t>
      </w:r>
      <w:r>
        <w:rPr>
          <w:rFonts w:ascii="Arial" w:cs="Arial" w:eastAsia="Arial" w:hAnsi="Arial"/>
          <w:sz w:val="18"/>
          <w:szCs w:val="18"/>
          <w:b w:val="1"/>
          <w:bCs w:val="1"/>
          <w:color w:val="auto"/>
        </w:rPr>
        <w:t>Eligible Market</w:t>
      </w:r>
      <w:r>
        <w:rPr>
          <w:rFonts w:ascii="Arial" w:cs="Arial" w:eastAsia="Arial" w:hAnsi="Arial"/>
          <w:sz w:val="18"/>
          <w:szCs w:val="18"/>
          <w:color w:val="auto"/>
        </w:rPr>
        <w:t>”). Neither the Company nor any of its Subsidiaries shall take any action which could be reasonably expected to result in the delisting, or termination or suspension of quotation, of the Common Stock on an Eligible Market. The Company shall pay all fees and expenses in connection with satisfying its obligations under this Section 4(f).</w:t>
      </w:r>
    </w:p>
    <w:p>
      <w:pPr>
        <w:spacing w:after="0" w:line="193" w:lineRule="exact"/>
        <w:rPr>
          <w:rFonts w:ascii="Arial" w:cs="Arial" w:eastAsia="Arial" w:hAnsi="Arial"/>
          <w:sz w:val="18"/>
          <w:szCs w:val="18"/>
          <w:color w:val="auto"/>
        </w:rPr>
      </w:pPr>
    </w:p>
    <w:p>
      <w:pPr>
        <w:jc w:val="both"/>
        <w:ind w:firstLine="656"/>
        <w:spacing w:after="0" w:line="267" w:lineRule="auto"/>
        <w:tabs>
          <w:tab w:leader="none" w:pos="139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Company shall reimburse Iroquois Master Fund Ltd. (“</w:t>
      </w:r>
      <w:r>
        <w:rPr>
          <w:rFonts w:ascii="Arial" w:cs="Arial" w:eastAsia="Arial" w:hAnsi="Arial"/>
          <w:sz w:val="16"/>
          <w:szCs w:val="16"/>
          <w:b w:val="1"/>
          <w:bCs w:val="1"/>
          <w:color w:val="auto"/>
        </w:rPr>
        <w:t>Iroquois</w:t>
      </w:r>
      <w:r>
        <w:rPr>
          <w:rFonts w:ascii="Arial" w:cs="Arial" w:eastAsia="Arial" w:hAnsi="Arial"/>
          <w:sz w:val="16"/>
          <w:szCs w:val="16"/>
          <w:color w:val="auto"/>
        </w:rPr>
        <w:t>”) or its designee(s) for all costs and expenses incurred by it or its affiliates in connection with the transactions contemplated by the Transaction Documents (including, without limitation, all legal fees and disbursements in connection therewith, documentation and implementation of the transactions contemplated by the Transaction Documents and due diligence and regulatory filings in connection therewith) in an amount not to exceed $100,000, with $90,000 of such amount being withheld by Iroquois from its Purchase Price at the Closing or paid by the Company upon termination of this Agreement on demand by Iroquois so long as such termination did not occur as a result of a material breach by Iroquois of any of its obligations hereunder (as the case may be), less $30,000 which was previously advanced to Iroquois by the Company, (ii) (x) $5,000 of such amount being paid by the Company simultaneously with the consummation of the first (1</w:t>
      </w:r>
      <w:r>
        <w:rPr>
          <w:rFonts w:ascii="Arial" w:cs="Arial" w:eastAsia="Arial" w:hAnsi="Arial"/>
          <w:sz w:val="22"/>
          <w:szCs w:val="22"/>
          <w:color w:val="auto"/>
          <w:vertAlign w:val="superscript"/>
        </w:rPr>
        <w:t>st</w:t>
      </w:r>
      <w:r>
        <w:rPr>
          <w:rFonts w:ascii="Arial" w:cs="Arial" w:eastAsia="Arial" w:hAnsi="Arial"/>
          <w:sz w:val="16"/>
          <w:szCs w:val="16"/>
          <w:color w:val="auto"/>
        </w:rPr>
        <w:t>) Subsequent Placement (including, without limitation, the first closing of the Excluded 60 Day Issuance) that occurs after the date hereof if the gross proceeds of such Subsequent Placement are less than or equal to $250,000 or (y) $10,000 of such amount being paid by the Company simultaneously with the consummation of the first (1</w:t>
      </w:r>
      <w:r>
        <w:rPr>
          <w:rFonts w:ascii="Arial" w:cs="Arial" w:eastAsia="Arial" w:hAnsi="Arial"/>
          <w:sz w:val="22"/>
          <w:szCs w:val="22"/>
          <w:color w:val="auto"/>
          <w:vertAlign w:val="superscript"/>
        </w:rPr>
        <w:t>st</w:t>
      </w:r>
      <w:r>
        <w:rPr>
          <w:rFonts w:ascii="Arial" w:cs="Arial" w:eastAsia="Arial" w:hAnsi="Arial"/>
          <w:sz w:val="16"/>
          <w:szCs w:val="16"/>
          <w:color w:val="auto"/>
        </w:rPr>
        <w:t>) Subsequent Placement (including, without limitation, t he first closing of the Excluded 60 Day Issuance) that occurs after the date hereof if the gross proceeds of such Subsequent Placement are greater than $250,000 (as applicable) and (iii) if $10,000 of such amount is not paid by the Company pursuant to the immediately preceding clause (ii)(y), the remaining $5,000 of such amount being paid by the Company simultaneously with the consummation of the second (2</w:t>
      </w:r>
      <w:r>
        <w:rPr>
          <w:rFonts w:ascii="Arial" w:cs="Arial" w:eastAsia="Arial" w:hAnsi="Arial"/>
          <w:sz w:val="22"/>
          <w:szCs w:val="22"/>
          <w:color w:val="auto"/>
          <w:vertAlign w:val="superscript"/>
        </w:rPr>
        <w:t>nd</w:t>
      </w:r>
      <w:r>
        <w:rPr>
          <w:rFonts w:ascii="Arial" w:cs="Arial" w:eastAsia="Arial" w:hAnsi="Arial"/>
          <w:sz w:val="16"/>
          <w:szCs w:val="16"/>
          <w:color w:val="auto"/>
        </w:rPr>
        <w:t>) Subsequent Placement (including, without limitation, a second closing of the Excluded 60 Day Issuance) occurring following the Closing. The Company shall be responsible for the payment of any placement agent’s fees, financial advisory fees, or broker’s commissions (other than for Persons engaged by any Buyer) relating to or arising out of the transactions contemplated hereby (including, without limitation, any fees payable to the Placement Agent, who is the Company’s sole placement agent in connection with the transactions contemplated by this Agreement). The Company shall pay, and hold each Buyer harmless against, any liability, loss or expense (including, without limitation, reasonable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spacing w:after="0" w:line="308" w:lineRule="auto"/>
        <w:rPr>
          <w:sz w:val="20"/>
          <w:szCs w:val="20"/>
          <w:color w:val="auto"/>
        </w:rPr>
      </w:pPr>
      <w:r>
        <w:rPr>
          <w:rFonts w:ascii="Arial" w:cs="Arial" w:eastAsia="Arial" w:hAnsi="Arial"/>
          <w:sz w:val="17"/>
          <w:szCs w:val="17"/>
          <w:color w:val="auto"/>
        </w:rPr>
        <w:t>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47" w:lineRule="exact"/>
        <w:rPr>
          <w:sz w:val="20"/>
          <w:szCs w:val="20"/>
          <w:color w:val="auto"/>
        </w:rPr>
      </w:pPr>
    </w:p>
    <w:p>
      <w:pPr>
        <w:jc w:val="both"/>
        <w:ind w:firstLine="656"/>
        <w:spacing w:after="0" w:line="255" w:lineRule="auto"/>
        <w:tabs>
          <w:tab w:leader="none" w:pos="142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Pledge of Securities.</w:t>
      </w:r>
      <w:r>
        <w:rPr>
          <w:rFonts w:ascii="Arial" w:cs="Arial" w:eastAsia="Arial" w:hAnsi="Arial"/>
          <w:sz w:val="18"/>
          <w:szCs w:val="18"/>
          <w:color w:val="auto"/>
        </w:rPr>
        <w:t xml:space="preserve"> Notwithstanding anything to the contrary contained in Section 2(g), the Company acknowledges and agrees that the Securities may be pledged by a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The Company hereby agre es to execute and deliver such documentation as a pledgee of the Securities may reasonably request in connection with a pledge of the Securities to such pledgee by a Buyer.</w:t>
      </w:r>
    </w:p>
    <w:p>
      <w:pPr>
        <w:spacing w:after="0" w:line="193" w:lineRule="exact"/>
        <w:rPr>
          <w:rFonts w:ascii="Arial" w:cs="Arial" w:eastAsia="Arial" w:hAnsi="Arial"/>
          <w:sz w:val="18"/>
          <w:szCs w:val="18"/>
          <w:color w:val="auto"/>
        </w:rPr>
      </w:pPr>
    </w:p>
    <w:p>
      <w:pPr>
        <w:jc w:val="both"/>
        <w:ind w:firstLine="656"/>
        <w:spacing w:after="0" w:line="279" w:lineRule="auto"/>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Disclosure of Transactions and Other Material Information.</w:t>
      </w:r>
      <w:r>
        <w:rPr>
          <w:rFonts w:ascii="Arial" w:cs="Arial" w:eastAsia="Arial" w:hAnsi="Arial"/>
          <w:sz w:val="16"/>
          <w:szCs w:val="16"/>
          <w:color w:val="auto"/>
        </w:rPr>
        <w:t xml:space="preserve"> The Company shall, on or before 9:30 a.m. (but in no event prior to 9:15 a.m.), New York time, on the first (1</w:t>
      </w:r>
      <w:r>
        <w:rPr>
          <w:rFonts w:ascii="Arial" w:cs="Arial" w:eastAsia="Arial" w:hAnsi="Arial"/>
          <w:sz w:val="22"/>
          <w:szCs w:val="22"/>
          <w:color w:val="auto"/>
          <w:vertAlign w:val="superscript"/>
        </w:rPr>
        <w:t>st</w:t>
      </w:r>
      <w:r>
        <w:rPr>
          <w:rFonts w:ascii="Arial" w:cs="Arial" w:eastAsia="Arial" w:hAnsi="Arial"/>
          <w:sz w:val="16"/>
          <w:szCs w:val="16"/>
          <w:color w:val="auto"/>
        </w:rPr>
        <w:t>) Business Day after the date of this Agreement, issue a press release (the “</w:t>
      </w:r>
      <w:r>
        <w:rPr>
          <w:rFonts w:ascii="Arial" w:cs="Arial" w:eastAsia="Arial" w:hAnsi="Arial"/>
          <w:sz w:val="16"/>
          <w:szCs w:val="16"/>
          <w:b w:val="1"/>
          <w:bCs w:val="1"/>
          <w:color w:val="auto"/>
        </w:rPr>
        <w:t>Press Release”</w:t>
      </w:r>
      <w:r>
        <w:rPr>
          <w:rFonts w:ascii="Arial" w:cs="Arial" w:eastAsia="Arial" w:hAnsi="Arial"/>
          <w:sz w:val="16"/>
          <w:szCs w:val="16"/>
          <w:color w:val="auto"/>
        </w:rPr>
        <w:t>) reasonably acceptable to the Buyers disclosing all the material terms of the transactions contemplated by the Transaction Documents. On or before 9:30 a.m. (but in no event prior to 9:15 a.m.), New York time, on the first (1</w:t>
      </w:r>
      <w:r>
        <w:rPr>
          <w:rFonts w:ascii="Arial" w:cs="Arial" w:eastAsia="Arial" w:hAnsi="Arial"/>
          <w:sz w:val="11"/>
          <w:szCs w:val="11"/>
          <w:color w:val="auto"/>
        </w:rPr>
        <w:t>st</w:t>
      </w:r>
      <w:r>
        <w:rPr>
          <w:rFonts w:ascii="Arial" w:cs="Arial" w:eastAsia="Arial" w:hAnsi="Arial"/>
          <w:sz w:val="16"/>
          <w:szCs w:val="16"/>
          <w:color w:val="auto"/>
        </w:rPr>
        <w:t>) Business Day following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the Security Documents, the form of Guaranties, the form of the Notes, the form of the Warrants and the form of the Registration Rights Agreement) (including all attachments, the “</w:t>
      </w:r>
      <w:r>
        <w:rPr>
          <w:rFonts w:ascii="Arial" w:cs="Arial" w:eastAsia="Arial" w:hAnsi="Arial"/>
          <w:sz w:val="16"/>
          <w:szCs w:val="16"/>
          <w:b w:val="1"/>
          <w:bCs w:val="1"/>
          <w:color w:val="auto"/>
        </w:rPr>
        <w:t>8-K Filing</w:t>
      </w:r>
      <w:r>
        <w:rPr>
          <w:rFonts w:ascii="Arial" w:cs="Arial" w:eastAsia="Arial" w:hAnsi="Arial"/>
          <w:sz w:val="16"/>
          <w:szCs w:val="16"/>
          <w:color w:val="auto"/>
        </w:rPr>
        <w:t>”). From and after the issuance of the Press Release, the Company shall have disclosed all material, non-public information (if any) delivered to any of the Buyers by the Company or any of its Subsidiaries, or any of their respective officers, directors, employees or agents in connection with the transactions contemplated by the Transaction Documents. The Comp any shall not, and the Company shall cause each of its Subsidiaries and each of its and their respective officers, directors, employees and agents not to, provide any Buyer with any material, non-public information regarding the Company or any of its Subsidiaries from and after the issuance of the Press Release without the express prior written consent of such Buyer. In the event of a breach of any of the foregoing covenants by the Company or any of the covenants or agreements contained in Section 4(o),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material, non-public information without the prior approval by the Company, any of its Subsidiaries, or any of its or their res pective officers, directors, employees or agents. No Buyer shall have any liability to the Company, any of its Subsidiaries, or any of its or their respective officers, directors, employees, stockholders or agents, for any such disclosure.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jc w:val="both"/>
        <w:spacing w:after="0" w:line="302" w:lineRule="auto"/>
        <w:rPr>
          <w:sz w:val="20"/>
          <w:szCs w:val="20"/>
          <w:color w:val="auto"/>
        </w:rPr>
      </w:pPr>
      <w:r>
        <w:rPr>
          <w:rFonts w:ascii="Arial" w:cs="Arial" w:eastAsia="Arial" w:hAnsi="Arial"/>
          <w:sz w:val="16"/>
          <w:szCs w:val="16"/>
          <w:color w:val="auto"/>
        </w:rPr>
        <w:t>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the Company shall not (and shall cause each of its Subsidiaries and affiliates to not) disclose the name of such Buyer in any filing, announcement, release or otherwise.</w:t>
      </w:r>
    </w:p>
    <w:p>
      <w:pPr>
        <w:spacing w:after="0" w:line="154" w:lineRule="exact"/>
        <w:rPr>
          <w:sz w:val="20"/>
          <w:szCs w:val="20"/>
          <w:color w:val="auto"/>
        </w:rPr>
      </w:pPr>
    </w:p>
    <w:p>
      <w:pPr>
        <w:jc w:val="both"/>
        <w:ind w:firstLine="656"/>
        <w:spacing w:after="0" w:line="257" w:lineRule="auto"/>
        <w:tabs>
          <w:tab w:leader="none" w:pos="157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Additional Registration Statements</w:t>
      </w:r>
      <w:r>
        <w:rPr>
          <w:rFonts w:ascii="Arial" w:cs="Arial" w:eastAsia="Arial" w:hAnsi="Arial"/>
          <w:sz w:val="18"/>
          <w:szCs w:val="18"/>
          <w:color w:val="auto"/>
        </w:rPr>
        <w:t>. Until the Applicable Date (as defined below) and at any time thereafter while any Registration Statement is not effective or the prospectus contained therein is not available for use, the Company shall not file a registration statement under the 1933 Act relating to securities that are not the Registrable Securities. “</w:t>
      </w:r>
      <w:r>
        <w:rPr>
          <w:rFonts w:ascii="Arial" w:cs="Arial" w:eastAsia="Arial" w:hAnsi="Arial"/>
          <w:sz w:val="18"/>
          <w:szCs w:val="18"/>
          <w:b w:val="1"/>
          <w:bCs w:val="1"/>
          <w:color w:val="auto"/>
        </w:rPr>
        <w:t>Applicable Date</w:t>
      </w:r>
      <w:r>
        <w:rPr>
          <w:rFonts w:ascii="Arial" w:cs="Arial" w:eastAsia="Arial" w:hAnsi="Arial"/>
          <w:sz w:val="18"/>
          <w:szCs w:val="18"/>
          <w:color w:val="auto"/>
        </w:rPr>
        <w:t>” means the first date on which the resale by the Buyers of all Registrable Securities is covered by one or more effective Registration Statements (as defined in the Registration Rights Agreement) (and each prospectus contained therein is available for use on such date).</w:t>
      </w:r>
    </w:p>
    <w:p>
      <w:pPr>
        <w:spacing w:after="0" w:line="188" w:lineRule="exact"/>
        <w:rPr>
          <w:rFonts w:ascii="Arial" w:cs="Arial" w:eastAsia="Arial" w:hAnsi="Arial"/>
          <w:sz w:val="18"/>
          <w:szCs w:val="18"/>
          <w:color w:val="auto"/>
        </w:rPr>
      </w:pPr>
    </w:p>
    <w:p>
      <w:pPr>
        <w:jc w:val="both"/>
        <w:ind w:firstLine="656"/>
        <w:spacing w:after="0" w:line="285" w:lineRule="auto"/>
        <w:tabs>
          <w:tab w:leader="none" w:pos="161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Additional Issuance of Securities.</w:t>
      </w:r>
      <w:r>
        <w:rPr>
          <w:rFonts w:ascii="Arial" w:cs="Arial" w:eastAsia="Arial" w:hAnsi="Arial"/>
          <w:sz w:val="16"/>
          <w:szCs w:val="16"/>
          <w:color w:val="auto"/>
        </w:rPr>
        <w:t xml:space="preserve"> The Company agrees that for the period commencing on the date hereof and ending on the date immediately following the one hundred eighty (180) day anniversary of the Closing Date (provided that such period shall be extended by the number of days during such period and any extension thereof contemplated by this proviso on which the Registration Statement is not effective or any prospectus contained therein is not available for use) (the “</w:t>
      </w:r>
      <w:r>
        <w:rPr>
          <w:rFonts w:ascii="Arial" w:cs="Arial" w:eastAsia="Arial" w:hAnsi="Arial"/>
          <w:sz w:val="16"/>
          <w:szCs w:val="16"/>
          <w:b w:val="1"/>
          <w:bCs w:val="1"/>
          <w:color w:val="auto"/>
        </w:rPr>
        <w:t>Restricted Period</w:t>
      </w:r>
      <w:r>
        <w:rPr>
          <w:rFonts w:ascii="Arial" w:cs="Arial" w:eastAsia="Arial" w:hAnsi="Arial"/>
          <w:sz w:val="16"/>
          <w:szCs w:val="16"/>
          <w:color w:val="auto"/>
        </w:rPr>
        <w:t>”), neither the Company nor an 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(as defined below), any debt, any preferred stock or any purchase rights) (any such issuance, offer, sale, grant, disposition or announcement (whether occurring during the Restricted Period or at any time thereafter) is referred to as a “</w:t>
      </w:r>
      <w:r>
        <w:rPr>
          <w:rFonts w:ascii="Arial" w:cs="Arial" w:eastAsia="Arial" w:hAnsi="Arial"/>
          <w:sz w:val="16"/>
          <w:szCs w:val="16"/>
          <w:b w:val="1"/>
          <w:bCs w:val="1"/>
          <w:color w:val="auto"/>
        </w:rPr>
        <w:t>Subsequent</w:t>
      </w:r>
      <w:r>
        <w:rPr>
          <w:rFonts w:ascii="Arial" w:cs="Arial" w:eastAsia="Arial" w:hAnsi="Arial"/>
          <w:sz w:val="16"/>
          <w:szCs w:val="16"/>
          <w:color w:val="auto"/>
        </w:rPr>
        <w:t xml:space="preserve"> </w:t>
      </w:r>
      <w:r>
        <w:rPr>
          <w:rFonts w:ascii="Arial" w:cs="Arial" w:eastAsia="Arial" w:hAnsi="Arial"/>
          <w:sz w:val="16"/>
          <w:szCs w:val="16"/>
          <w:b w:val="1"/>
          <w:bCs w:val="1"/>
          <w:color w:val="auto"/>
        </w:rPr>
        <w:t>Placement</w:t>
      </w:r>
      <w:r>
        <w:rPr>
          <w:rFonts w:ascii="Arial" w:cs="Arial" w:eastAsia="Arial" w:hAnsi="Arial"/>
          <w:sz w:val="16"/>
          <w:szCs w:val="16"/>
          <w:color w:val="auto"/>
        </w:rPr>
        <w:t>”). Notwithstanding the foregoing, this Section 4(k) shall not apply in respect of (i) the issuance of (A) shares of Common Stock or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to purchase Common Stock to directors, officers or employees of the C ompany in their capacity as such pursuant to an Approved Share Plan (as defined below), provided that (1) all such issuances (taking into account the shares of Common Stock issuable upon exercise of such options) after the date hereof pursuant to this clause (A) do not, in the aggregate, exceed more than 5% of the Common Stock issued and outstanding immediately prior to the date hereof and (2)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(B) shares of Common Stock issued upon the conversion or exercise of Convertible Securities (other than standard options to purchase Common Stock issued pursuant to an Approved Share Plan that are covered by clause (A) above) issued prior to the date hereof, provided that the conversion price of any such Convertible Securities (other than standard options to purchase Common Stock issued pursuant to an Approved Share Plan that are covered by clause (A) above) is not lowered, none of such Convertible Securities (other than standard options to purchase Common Stock issued pursuant to an Approved Share Plan that are covered by clause (A) above) are amended to increase the number of shares issuable thereunder and none of the terms or conditions of any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such Convertible Securities (other than standard options to purchase Common Stock issued pursuant to an Approved Share Plan that are covered by clause</w:t>
      </w:r>
    </w:p>
    <w:p>
      <w:pPr>
        <w:spacing w:after="0" w:line="46" w:lineRule="exact"/>
        <w:rPr>
          <w:sz w:val="20"/>
          <w:szCs w:val="20"/>
          <w:color w:val="auto"/>
        </w:rPr>
      </w:pPr>
    </w:p>
    <w:p>
      <w:pPr>
        <w:jc w:val="both"/>
        <w:ind w:firstLine="8"/>
        <w:spacing w:after="0" w:line="267" w:lineRule="auto"/>
        <w:tabs>
          <w:tab w:leader="none" w:pos="30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above) are otherwise materially changed in any manner that adversely affects any of the Buyers; (C) the Conversion Shares; and (D) the Warrant Shares (each of the foregoing in clauses (A) through (D), collectively the “</w:t>
      </w:r>
      <w:r>
        <w:rPr>
          <w:rFonts w:ascii="Arial" w:cs="Arial" w:eastAsia="Arial" w:hAnsi="Arial"/>
          <w:sz w:val="17"/>
          <w:szCs w:val="17"/>
          <w:b w:val="1"/>
          <w:bCs w:val="1"/>
          <w:color w:val="auto"/>
        </w:rPr>
        <w:t>Excluded Securities</w:t>
      </w:r>
      <w:r>
        <w:rPr>
          <w:rFonts w:ascii="Arial" w:cs="Arial" w:eastAsia="Arial" w:hAnsi="Arial"/>
          <w:sz w:val="17"/>
          <w:szCs w:val="17"/>
          <w:color w:val="auto"/>
        </w:rPr>
        <w:t>”) or (ii) the issuance by the Company, during the period commencing on the date hereof and ending on the sixty (60) day anniversary of the date hereof, of up to $1,000,000 of units that consist of one (1) share of Common Stock and a warrant to purchase up to one-half (1/2) of a share of Common Stock, provided that (1) such unit may not be sold for less than $0.30 per unit, (2) the e xercise price of such warrants shall not be less than $0.50 per share and (3) all Persons who subscribe to purchase, or purchase, such units must be approved by Iroquois (the “</w:t>
      </w:r>
      <w:r>
        <w:rPr>
          <w:rFonts w:ascii="Arial" w:cs="Arial" w:eastAsia="Arial" w:hAnsi="Arial"/>
          <w:sz w:val="17"/>
          <w:szCs w:val="17"/>
          <w:b w:val="1"/>
          <w:bCs w:val="1"/>
          <w:color w:val="auto"/>
        </w:rPr>
        <w:t>Excluded 60 Day Issuance</w:t>
      </w:r>
      <w:r>
        <w:rPr>
          <w:rFonts w:ascii="Arial" w:cs="Arial" w:eastAsia="Arial" w:hAnsi="Arial"/>
          <w:sz w:val="17"/>
          <w:szCs w:val="17"/>
          <w:color w:val="auto"/>
        </w:rPr>
        <w:t>”). “</w:t>
      </w:r>
      <w:r>
        <w:rPr>
          <w:rFonts w:ascii="Arial" w:cs="Arial" w:eastAsia="Arial" w:hAnsi="Arial"/>
          <w:sz w:val="17"/>
          <w:szCs w:val="17"/>
          <w:b w:val="1"/>
          <w:bCs w:val="1"/>
          <w:color w:val="auto"/>
        </w:rPr>
        <w:t>Approved Share Plan</w:t>
      </w:r>
      <w:r>
        <w:rPr>
          <w:rFonts w:ascii="Arial" w:cs="Arial" w:eastAsia="Arial" w:hAnsi="Arial"/>
          <w:sz w:val="17"/>
          <w:szCs w:val="17"/>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 “</w:t>
      </w:r>
      <w:r>
        <w:rPr>
          <w:rFonts w:ascii="Arial" w:cs="Arial" w:eastAsia="Arial" w:hAnsi="Arial"/>
          <w:sz w:val="17"/>
          <w:szCs w:val="17"/>
          <w:b w:val="1"/>
          <w:bCs w:val="1"/>
          <w:color w:val="auto"/>
        </w:rPr>
        <w:t>Convertible Securities</w:t>
      </w:r>
      <w:r>
        <w:rPr>
          <w:rFonts w:ascii="Arial" w:cs="Arial" w:eastAsia="Arial" w:hAnsi="Arial"/>
          <w:sz w:val="17"/>
          <w:szCs w:val="17"/>
          <w:color w:val="auto"/>
        </w:rPr>
        <w:t>” means any capital stock or other security of the Company or any of its Subsidiaries that is at any time and under any circumstances directly or indirectly convertible into, exercisable or exchangeable for, or which otherwise en titles the holder thereof to acquire, any capital stock or other security of the Company (including, without limitation, Common Stock) or any of its Subsidiaries.</w:t>
      </w:r>
    </w:p>
    <w:p>
      <w:pPr>
        <w:spacing w:after="0" w:line="186" w:lineRule="exact"/>
        <w:rPr>
          <w:rFonts w:ascii="Arial" w:cs="Arial" w:eastAsia="Arial" w:hAnsi="Arial"/>
          <w:sz w:val="17"/>
          <w:szCs w:val="17"/>
          <w:color w:val="auto"/>
        </w:rPr>
      </w:pPr>
    </w:p>
    <w:p>
      <w:pPr>
        <w:jc w:val="both"/>
        <w:ind w:firstLine="656"/>
        <w:spacing w:after="0" w:line="276" w:lineRule="auto"/>
        <w:tabs>
          <w:tab w:leader="none" w:pos="1421"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Reservation of Shares</w:t>
      </w:r>
      <w:r>
        <w:rPr>
          <w:rFonts w:ascii="Arial" w:cs="Arial" w:eastAsia="Arial" w:hAnsi="Arial"/>
          <w:sz w:val="17"/>
          <w:szCs w:val="17"/>
          <w:color w:val="auto"/>
        </w:rPr>
        <w:t>. So long as any Notes or Warrants remain outstanding, the Company shall take all action necessary to at all times have authorized, and reserved for the purpose of issuance, no less than 133% of (i) the maximum number of shares of Common Stock issuable upon conversion of all the Notes (assuming for purposes hereof, that the Notes are convertible at the Conversion Price (as defined in the Notes) and without regard to any limitations on the conversion of the Notes set forth therein) and (ii) the maximum number of shares of Common Stock issuable upon exercise of all the Warrants (without regard to any limitations on the exercise of the Warrants set forth therein).</w:t>
      </w:r>
    </w:p>
    <w:p>
      <w:pPr>
        <w:spacing w:after="0" w:line="172" w:lineRule="exact"/>
        <w:rPr>
          <w:rFonts w:ascii="Arial" w:cs="Arial" w:eastAsia="Arial" w:hAnsi="Arial"/>
          <w:sz w:val="17"/>
          <w:szCs w:val="17"/>
          <w:color w:val="auto"/>
        </w:rPr>
      </w:pPr>
    </w:p>
    <w:p>
      <w:pPr>
        <w:ind w:right="20" w:firstLine="656"/>
        <w:spacing w:after="0" w:line="342" w:lineRule="auto"/>
        <w:tabs>
          <w:tab w:leader="none" w:pos="155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Conduct of Business</w:t>
      </w:r>
      <w:r>
        <w:rPr>
          <w:rFonts w:ascii="Arial" w:cs="Arial" w:eastAsia="Arial" w:hAnsi="Arial"/>
          <w:sz w:val="16"/>
          <w:szCs w:val="16"/>
          <w:color w:val="auto"/>
        </w:rPr>
        <w:t>. The business of the Company and its Subsidiaries shall not be conducted in violation of any law, ordinance or regulation of any governmental entity, except where such violations would not result, either individually or in the aggregate, in a Material Adverse Effect.</w:t>
      </w:r>
    </w:p>
    <w:p>
      <w:pPr>
        <w:spacing w:after="0" w:line="123" w:lineRule="exact"/>
        <w:rPr>
          <w:rFonts w:ascii="Arial" w:cs="Arial" w:eastAsia="Arial" w:hAnsi="Arial"/>
          <w:sz w:val="16"/>
          <w:szCs w:val="16"/>
          <w:color w:val="auto"/>
        </w:rPr>
      </w:pPr>
    </w:p>
    <w:p>
      <w:pPr>
        <w:jc w:val="both"/>
        <w:ind w:firstLine="656"/>
        <w:spacing w:after="0" w:line="288" w:lineRule="auto"/>
        <w:tabs>
          <w:tab w:leader="none" w:pos="1367"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Until none of the Notes or Warrants are outstanding, the Company and each Subsidiary shall be prohibited from effecting or entering into an agreement to effect any Subsequent Placement involving a Variable Rate Transaction. “</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a transaction in which the Company or any Subsidiary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jc w:val="both"/>
        <w:ind w:firstLine="656"/>
        <w:spacing w:after="0" w:line="286" w:lineRule="auto"/>
        <w:tabs>
          <w:tab w:leader="none" w:pos="147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Participation Right</w:t>
      </w:r>
      <w:r>
        <w:rPr>
          <w:rFonts w:ascii="Arial" w:cs="Arial" w:eastAsia="Arial" w:hAnsi="Arial"/>
          <w:sz w:val="17"/>
          <w:szCs w:val="17"/>
          <w:color w:val="auto"/>
        </w:rPr>
        <w:t>. From the date hereof through the two (2) year anniversary of the Closing Date, neither the Company nor any of its Subsidiaries shall, directly or indirectly, effect any Subsequent Placement unless the Company shall have first complied with this Section 4(o). The Company acknowledges and agrees that the right set forth in this Section 4(o) is a right granted by the Company, separately, to each Buyer.</w:t>
      </w:r>
    </w:p>
    <w:p>
      <w:pPr>
        <w:spacing w:after="0" w:line="165" w:lineRule="exact"/>
        <w:rPr>
          <w:rFonts w:ascii="Arial" w:cs="Arial" w:eastAsia="Arial" w:hAnsi="Arial"/>
          <w:sz w:val="17"/>
          <w:szCs w:val="17"/>
          <w:color w:val="auto"/>
        </w:rPr>
      </w:pPr>
    </w:p>
    <w:p>
      <w:pPr>
        <w:jc w:val="both"/>
        <w:ind w:left="820" w:firstLine="647"/>
        <w:spacing w:after="0" w:line="285" w:lineRule="auto"/>
        <w:tabs>
          <w:tab w:leader="none" w:pos="2296" w:val="left"/>
        </w:tabs>
        <w:numPr>
          <w:ilvl w:val="1"/>
          <w:numId w:val="30"/>
        </w:numPr>
        <w:rPr>
          <w:rFonts w:ascii="Arial" w:cs="Arial" w:eastAsia="Arial" w:hAnsi="Arial"/>
          <w:sz w:val="16"/>
          <w:szCs w:val="16"/>
          <w:color w:val="auto"/>
        </w:rPr>
      </w:pPr>
      <w:r>
        <w:rPr>
          <w:rFonts w:ascii="Arial" w:cs="Arial" w:eastAsia="Arial" w:hAnsi="Arial"/>
          <w:sz w:val="16"/>
          <w:szCs w:val="16"/>
          <w:color w:val="auto"/>
        </w:rPr>
        <w:t>At least five (5) Trading Days prior to any proposed or intended Subsequent Placement, the Company shall deliver to each Buyer a written notice of its proposal or intention to effect a Subsequent Placement (each such notice, a “</w:t>
      </w:r>
      <w:r>
        <w:rPr>
          <w:rFonts w:ascii="Arial" w:cs="Arial" w:eastAsia="Arial" w:hAnsi="Arial"/>
          <w:sz w:val="16"/>
          <w:szCs w:val="16"/>
          <w:b w:val="1"/>
          <w:bCs w:val="1"/>
          <w:color w:val="auto"/>
        </w:rPr>
        <w:t>Pre-Notice</w:t>
      </w:r>
      <w:r>
        <w:rPr>
          <w:rFonts w:ascii="Arial" w:cs="Arial" w:eastAsia="Arial" w:hAnsi="Arial"/>
          <w:sz w:val="16"/>
          <w:szCs w:val="16"/>
          <w:color w:val="auto"/>
        </w:rPr>
        <w:t>”), which Pre-Notice shall not contain any information (including, without limitation, material, non-public information) other than: (i) a statement that the Company proposes or intends to effect a Subsequent Placement, (ii) a statement that the statement in clause (i) above does not constitute material, non-public information and (iii) a statement informing such Buyer that it is entitled to receive an Offer Notice (as defined below) with respect to such Subsequent Placement upon its written request. Upon the written request of a Buyer within three (3) Trading Days after the Company’s delivery to such Buyer of such Pre-Notice, and only upon a written request by such Buyer, the Company shall promptly, but no later than one (1) Trading Day after such request, deliver to such Buyer an irrevocable written notice (the “</w:t>
      </w:r>
      <w:r>
        <w:rPr>
          <w:rFonts w:ascii="Arial" w:cs="Arial" w:eastAsia="Arial" w:hAnsi="Arial"/>
          <w:sz w:val="16"/>
          <w:szCs w:val="16"/>
          <w:b w:val="1"/>
          <w:bCs w:val="1"/>
          <w:color w:val="auto"/>
        </w:rPr>
        <w:t>Offer Notice</w:t>
      </w:r>
      <w:r>
        <w:rPr>
          <w:rFonts w:ascii="Arial" w:cs="Arial" w:eastAsia="Arial" w:hAnsi="Arial"/>
          <w:sz w:val="16"/>
          <w:szCs w:val="16"/>
          <w:color w:val="auto"/>
        </w:rPr>
        <w:t>”) of any proposed or intended issuance or sale or exchange (the “</w:t>
      </w:r>
      <w:r>
        <w:rPr>
          <w:rFonts w:ascii="Arial" w:cs="Arial" w:eastAsia="Arial" w:hAnsi="Arial"/>
          <w:sz w:val="16"/>
          <w:szCs w:val="16"/>
          <w:b w:val="1"/>
          <w:bCs w:val="1"/>
          <w:color w:val="auto"/>
        </w:rPr>
        <w:t>Offer</w:t>
      </w:r>
      <w:r>
        <w:rPr>
          <w:rFonts w:ascii="Arial" w:cs="Arial" w:eastAsia="Arial" w:hAnsi="Arial"/>
          <w:sz w:val="16"/>
          <w:szCs w:val="16"/>
          <w:color w:val="auto"/>
        </w:rPr>
        <w:t>”) of the securities being offered (the “</w:t>
      </w:r>
      <w:r>
        <w:rPr>
          <w:rFonts w:ascii="Arial" w:cs="Arial" w:eastAsia="Arial" w:hAnsi="Arial"/>
          <w:sz w:val="16"/>
          <w:szCs w:val="16"/>
          <w:b w:val="1"/>
          <w:bCs w:val="1"/>
          <w:color w:val="auto"/>
        </w:rPr>
        <w:t>Offered Securities</w:t>
      </w:r>
      <w:r>
        <w:rPr>
          <w:rFonts w:ascii="Arial" w:cs="Arial" w:eastAsia="Arial" w:hAnsi="Arial"/>
          <w:sz w:val="16"/>
          <w:szCs w:val="16"/>
          <w:color w:val="auto"/>
        </w:rPr>
        <w:t>”) in a Subsequent Placement, which Offer Notice shall (w) identify and describe the Offered Securities, (x) describe the price and other terms upon which they are to be issued, sold or exchanged, and the number or amount of the Offered Securities to be issued, sold or exchanged, (y) identify the Persons (if known) to which or with which the Offered Securities are to be offered, issued, sold or exchanged and (z) offer to issue and sell to or exchange with such Buyer in accordance with the terms of the Offer all of the Offered Securities, provided that the number of Offered Securities which such Buyer shall have the right to subscribe for under this Section 4(o) shall be (a) based on such Buyer’s pro rata portion of the aggregate original principal amount of the Notes purchased hereunder by all Buyers (the “</w:t>
      </w:r>
      <w:r>
        <w:rPr>
          <w:rFonts w:ascii="Arial" w:cs="Arial" w:eastAsia="Arial" w:hAnsi="Arial"/>
          <w:sz w:val="16"/>
          <w:szCs w:val="16"/>
          <w:b w:val="1"/>
          <w:bCs w:val="1"/>
          <w:color w:val="auto"/>
        </w:rPr>
        <w:t>Basic Amount</w:t>
      </w:r>
      <w:r>
        <w:rPr>
          <w:rFonts w:ascii="Arial" w:cs="Arial" w:eastAsia="Arial" w:hAnsi="Arial"/>
          <w:sz w:val="16"/>
          <w:szCs w:val="16"/>
          <w:color w:val="auto"/>
        </w:rPr>
        <w:t>”), and (b)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Arial" w:cs="Arial" w:eastAsia="Arial" w:hAnsi="Arial"/>
          <w:sz w:val="16"/>
          <w:szCs w:val="16"/>
          <w:b w:val="1"/>
          <w:bCs w:val="1"/>
          <w:color w:val="auto"/>
        </w:rPr>
        <w:t>Undersubscription Amount</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820" w:firstLine="647"/>
        <w:spacing w:after="0" w:line="251" w:lineRule="auto"/>
        <w:tabs>
          <w:tab w:leader="none" w:pos="2275"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 accept an Offer, in whole or in part, such Buyer must deliver a written notice to the Company prior to the end of the fifth (5</w:t>
      </w:r>
      <w:r>
        <w:rPr>
          <w:rFonts w:ascii="Arial" w:cs="Arial" w:eastAsia="Arial" w:hAnsi="Arial"/>
          <w:sz w:val="24"/>
          <w:szCs w:val="24"/>
          <w:color w:val="auto"/>
          <w:vertAlign w:val="superscript"/>
        </w:rPr>
        <w:t>th</w:t>
      </w:r>
      <w:r>
        <w:rPr>
          <w:rFonts w:ascii="Arial" w:cs="Arial" w:eastAsia="Arial" w:hAnsi="Arial"/>
          <w:sz w:val="17"/>
          <w:szCs w:val="17"/>
          <w:color w:val="auto"/>
        </w:rPr>
        <w:t>) Business Day after such Buyer’s receipt of the Offer Notice (the “</w:t>
      </w:r>
      <w:r>
        <w:rPr>
          <w:rFonts w:ascii="Arial" w:cs="Arial" w:eastAsia="Arial" w:hAnsi="Arial"/>
          <w:sz w:val="17"/>
          <w:szCs w:val="17"/>
          <w:b w:val="1"/>
          <w:bCs w:val="1"/>
          <w:color w:val="auto"/>
        </w:rPr>
        <w:t>Offer Period</w:t>
      </w:r>
      <w:r>
        <w:rPr>
          <w:rFonts w:ascii="Arial" w:cs="Arial" w:eastAsia="Arial" w:hAnsi="Arial"/>
          <w:sz w:val="17"/>
          <w:szCs w:val="17"/>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Arial" w:cs="Arial" w:eastAsia="Arial" w:hAnsi="Arial"/>
          <w:sz w:val="17"/>
          <w:szCs w:val="17"/>
          <w:b w:val="1"/>
          <w:bCs w:val="1"/>
          <w:color w:val="auto"/>
        </w:rPr>
        <w:t>Notice of Acceptance</w:t>
      </w:r>
      <w:r>
        <w:rPr>
          <w:rFonts w:ascii="Arial" w:cs="Arial" w:eastAsia="Arial" w:hAnsi="Arial"/>
          <w:sz w:val="17"/>
          <w:szCs w:val="17"/>
          <w:color w:val="auto"/>
        </w:rPr>
        <w:t>”). If the Basic Amounts subscribed for by all Buyers are le ss than the total of all of the Basic Amounts, then such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Arial" w:cs="Arial" w:eastAsia="Arial" w:hAnsi="Arial"/>
          <w:sz w:val="17"/>
          <w:szCs w:val="17"/>
          <w:b w:val="1"/>
          <w:bCs w:val="1"/>
          <w:color w:val="auto"/>
        </w:rPr>
        <w:t>Available Undersubscription Amount</w:t>
      </w:r>
      <w:r>
        <w:rPr>
          <w:rFonts w:ascii="Arial" w:cs="Arial" w:eastAsia="Arial" w:hAnsi="Arial"/>
          <w:sz w:val="17"/>
          <w:szCs w:val="17"/>
          <w:color w:val="auto"/>
        </w:rPr>
        <w:t>”), such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 fer prior to the expiration of the Offer Period, the Company may deliver to each Buyer a new Offer Notice and the Offer Period shall expire on the fifth (5</w:t>
      </w:r>
      <w:r>
        <w:rPr>
          <w:rFonts w:ascii="Arial" w:cs="Arial" w:eastAsia="Arial" w:hAnsi="Arial"/>
          <w:sz w:val="24"/>
          <w:szCs w:val="24"/>
          <w:color w:val="auto"/>
          <w:vertAlign w:val="superscript"/>
        </w:rPr>
        <w:t>th</w:t>
      </w:r>
      <w:r>
        <w:rPr>
          <w:rFonts w:ascii="Arial" w:cs="Arial" w:eastAsia="Arial" w:hAnsi="Arial"/>
          <w:sz w:val="17"/>
          <w:szCs w:val="17"/>
          <w:color w:val="auto"/>
        </w:rPr>
        <w:t>) Business Day after such Buyer’s receipt of such new Offer Notice.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jc w:val="both"/>
        <w:ind w:left="-380" w:firstLine="647"/>
        <w:spacing w:after="0" w:line="290" w:lineRule="auto"/>
        <w:tabs>
          <w:tab w:leader="none" w:pos="12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shall have five (5) Business Days from the expiration of the Offer Period above (i) to offer, issue, sell or exchange all or any part of such Offered Securities as to which a Notice of Acceptance has not been given by a Buyer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agreement(s)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 h in the Offer Notice and (ii)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166" w:lineRule="exact"/>
        <w:rPr>
          <w:rFonts w:ascii="Arial" w:cs="Arial" w:eastAsia="Arial" w:hAnsi="Arial"/>
          <w:sz w:val="16"/>
          <w:szCs w:val="16"/>
          <w:color w:val="auto"/>
        </w:rPr>
      </w:pPr>
    </w:p>
    <w:p>
      <w:pPr>
        <w:jc w:val="both"/>
        <w:ind w:left="-380" w:firstLine="647"/>
        <w:spacing w:after="0" w:line="270" w:lineRule="auto"/>
        <w:tabs>
          <w:tab w:leader="none" w:pos="102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the Company shall propose to sell less than all the Refused Securities (any such sale to be in the manner and on the terms specified in Section 4(o)(iii) above), then such Buyer may, at its sole option and in its sole discretion, reduce the number or amount of the Offered Securities specified in its Notice of Acceptance to an amount that shall be not less than the number or amount of the Offered Securities that such Buyer elected to purchase pursuant to Section 4(o)(ii) above multiplied by a fraction, (i) the numerator of which shall be the number or amount of Offered Securities the Company actually proposes to issue, sell or exchange (including Offered Securities to be issued or sold to Buyers pursuant to this Section 4(o)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4(o)(i) above.</w:t>
      </w:r>
    </w:p>
    <w:p>
      <w:pPr>
        <w:spacing w:after="0" w:line="181" w:lineRule="exact"/>
        <w:rPr>
          <w:rFonts w:ascii="Arial" w:cs="Arial" w:eastAsia="Arial" w:hAnsi="Arial"/>
          <w:sz w:val="17"/>
          <w:szCs w:val="17"/>
          <w:color w:val="auto"/>
        </w:rPr>
      </w:pPr>
    </w:p>
    <w:p>
      <w:pPr>
        <w:jc w:val="both"/>
        <w:ind w:left="-380" w:firstLine="647"/>
        <w:spacing w:after="0" w:line="257" w:lineRule="auto"/>
        <w:tabs>
          <w:tab w:leader="none" w:pos="10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closing of the issuance, sale or exchange of all or less than all of the Refused Securities, such Buyer shall acquire from the Company, and the Company shall issue to such Buyer, the number or amount of Offered Securities specified in its Notice of Acceptance.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188" w:lineRule="exact"/>
        <w:rPr>
          <w:rFonts w:ascii="Arial" w:cs="Arial" w:eastAsia="Arial" w:hAnsi="Arial"/>
          <w:sz w:val="18"/>
          <w:szCs w:val="18"/>
          <w:color w:val="auto"/>
        </w:rPr>
      </w:pPr>
    </w:p>
    <w:p>
      <w:pPr>
        <w:ind w:left="-380" w:firstLine="647"/>
        <w:spacing w:after="0" w:line="277" w:lineRule="auto"/>
        <w:tabs>
          <w:tab w:leader="none" w:pos="10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Offered Securities not acquired by a Buyer or other Persons in accordance with this Section 4(o) may not be issued, sold or exchanged until they are again offered to such Buyer under the procedures specified in this Agreement.</w:t>
      </w:r>
    </w:p>
    <w:p>
      <w:pPr>
        <w:spacing w:after="0" w:line="170" w:lineRule="exact"/>
        <w:rPr>
          <w:rFonts w:ascii="Arial" w:cs="Arial" w:eastAsia="Arial" w:hAnsi="Arial"/>
          <w:sz w:val="18"/>
          <w:szCs w:val="18"/>
          <w:color w:val="auto"/>
        </w:rPr>
      </w:pPr>
    </w:p>
    <w:p>
      <w:pPr>
        <w:jc w:val="both"/>
        <w:ind w:left="-380" w:firstLine="647"/>
        <w:spacing w:after="0" w:line="276" w:lineRule="auto"/>
        <w:tabs>
          <w:tab w:leader="none" w:pos="122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each Buyer agree that if any Buyer elects to participate in the Offer, neither the Subsequent Placement Agreement with respect to such Offer nor any other transaction documents related thereto (collectively, the “</w:t>
      </w:r>
      <w:r>
        <w:rPr>
          <w:rFonts w:ascii="Arial" w:cs="Arial" w:eastAsia="Arial" w:hAnsi="Arial"/>
          <w:sz w:val="17"/>
          <w:szCs w:val="17"/>
          <w:b w:val="1"/>
          <w:bCs w:val="1"/>
          <w:color w:val="auto"/>
        </w:rPr>
        <w:t>Subsequent Placement Documents</w:t>
      </w:r>
      <w:r>
        <w:rPr>
          <w:rFonts w:ascii="Arial" w:cs="Arial" w:eastAsia="Arial" w:hAnsi="Arial"/>
          <w:sz w:val="17"/>
          <w:szCs w:val="17"/>
          <w:color w:val="auto"/>
        </w:rPr>
        <w:t>”) shall include any term or provision whereby such Buyer shall be required to agree to any restrictions on trading as to any securities of the Company or be required to consent to any amendment to or termination of, or grant any waiver or release or the like under or in connection with, any agreement previously entered into with the Company or any instrument received from the Company.</w:t>
      </w:r>
    </w:p>
    <w:p>
      <w:pPr>
        <w:spacing w:after="0" w:line="200" w:lineRule="exact"/>
        <w:rPr>
          <w:sz w:val="20"/>
          <w:szCs w:val="20"/>
          <w:color w:val="auto"/>
        </w:rPr>
      </w:pPr>
    </w:p>
    <w:p>
      <w:pPr>
        <w:spacing w:after="0" w:line="3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29" w:name="page30"/>
    <w:bookmarkEnd w:id="29"/>
    <w:p>
      <w:pPr>
        <w:jc w:val="both"/>
        <w:ind w:left="820" w:firstLine="647"/>
        <w:spacing w:after="0" w:line="277" w:lineRule="auto"/>
        <w:tabs>
          <w:tab w:leader="none" w:pos="2441" w:val="left"/>
        </w:tabs>
        <w:numPr>
          <w:ilvl w:val="2"/>
          <w:numId w:val="3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4(o)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following delivery of the Offer Notice. If by such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deemed to be in possession of any material, non-public information with respect to the Company or any of its Subsidiaries. Should the Company decide to pursue such transaction with respect to the Offered Securities, the Company shall provide such Buyer with another Offer Notice and such Buyer will again have the right of participation set forth in this Section 4(o). The Company shall not be permitted to deliver more than one Offer Notice to such Buyer in any sixty (60) day period, except as expressly contemplated by the last sentence of Section 4(o)(ii).</w:t>
      </w:r>
    </w:p>
    <w:p>
      <w:pPr>
        <w:spacing w:after="0" w:line="173" w:lineRule="exact"/>
        <w:rPr>
          <w:rFonts w:ascii="Arial" w:cs="Arial" w:eastAsia="Arial" w:hAnsi="Arial"/>
          <w:sz w:val="16"/>
          <w:szCs w:val="16"/>
          <w:color w:val="auto"/>
        </w:rPr>
      </w:pPr>
    </w:p>
    <w:p>
      <w:pPr>
        <w:ind w:left="2260" w:hanging="793"/>
        <w:spacing w:after="0"/>
        <w:tabs>
          <w:tab w:leader="none" w:pos="2260"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restrictions contained in this Section 4(o) shall not apply in connection with (i) the issuance of any Excluded Securities or</w:t>
      </w:r>
    </w:p>
    <w:p>
      <w:pPr>
        <w:spacing w:after="0" w:line="46" w:lineRule="exact"/>
        <w:rPr>
          <w:rFonts w:ascii="Arial" w:cs="Arial" w:eastAsia="Arial" w:hAnsi="Arial"/>
          <w:sz w:val="16"/>
          <w:szCs w:val="16"/>
          <w:color w:val="auto"/>
        </w:rPr>
      </w:pPr>
    </w:p>
    <w:p>
      <w:pPr>
        <w:ind w:left="820" w:hanging="2"/>
        <w:spacing w:after="0" w:line="261" w:lineRule="auto"/>
        <w:tabs>
          <w:tab w:leader="none" w:pos="10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Excluded 60 Day Issuance. The Company shall not circumvent the provisions of this Section 4(o) by providing terms or conditions to one Buyer that are not provided to all.</w:t>
      </w:r>
    </w:p>
    <w:p>
      <w:pPr>
        <w:spacing w:after="0" w:line="183" w:lineRule="exact"/>
        <w:rPr>
          <w:rFonts w:ascii="Arial" w:cs="Arial" w:eastAsia="Arial" w:hAnsi="Arial"/>
          <w:sz w:val="18"/>
          <w:szCs w:val="18"/>
          <w:color w:val="auto"/>
        </w:rPr>
      </w:pPr>
    </w:p>
    <w:p>
      <w:pPr>
        <w:ind w:firstLine="656"/>
        <w:spacing w:after="0" w:line="342" w:lineRule="auto"/>
        <w:tabs>
          <w:tab w:leader="none" w:pos="136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Passive Foreign Investment Company</w:t>
      </w:r>
      <w:r>
        <w:rPr>
          <w:rFonts w:ascii="Arial" w:cs="Arial" w:eastAsia="Arial" w:hAnsi="Arial"/>
          <w:sz w:val="16"/>
          <w:szCs w:val="16"/>
          <w:color w:val="auto"/>
        </w:rPr>
        <w:t>. The Company shall conduct its business in such a manner as will ensure that the Company will not be deemed to constitute a passive foreign investment company within the meaning of Section 1297 of the U.S. Internal Revenue Code of 1986, as amended.</w:t>
      </w:r>
    </w:p>
    <w:p>
      <w:pPr>
        <w:spacing w:after="0" w:line="123" w:lineRule="exact"/>
        <w:rPr>
          <w:rFonts w:ascii="Arial" w:cs="Arial" w:eastAsia="Arial" w:hAnsi="Arial"/>
          <w:sz w:val="16"/>
          <w:szCs w:val="16"/>
          <w:color w:val="auto"/>
        </w:rPr>
      </w:pPr>
    </w:p>
    <w:p>
      <w:pPr>
        <w:ind w:firstLine="656"/>
        <w:spacing w:after="0" w:line="342" w:lineRule="auto"/>
        <w:tabs>
          <w:tab w:leader="none" w:pos="154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Restriction on Redemption and Cash Dividends</w:t>
      </w:r>
      <w:r>
        <w:rPr>
          <w:rFonts w:ascii="Arial" w:cs="Arial" w:eastAsia="Arial" w:hAnsi="Arial"/>
          <w:sz w:val="16"/>
          <w:szCs w:val="16"/>
          <w:color w:val="auto"/>
        </w:rPr>
        <w:t>. So long as any Notes are outstanding, the Company shall not, directly or indirectly, redeem, or declare or pay any cash dividend or distribution on, any securities of the Company without the prior express written consent of the Buyers.</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39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Corporate Existence</w:t>
      </w:r>
      <w:r>
        <w:rPr>
          <w:rFonts w:ascii="Arial" w:cs="Arial" w:eastAsia="Arial" w:hAnsi="Arial"/>
          <w:sz w:val="18"/>
          <w:szCs w:val="18"/>
          <w:color w:val="auto"/>
        </w:rPr>
        <w:t>. So long as any Buyer owns any Notes or Warrants, the Company shall not be party to any Fundamental Transaction (as defined in the Notes) unless the Company is in compliance with the applicable provisions governing Fundamental Transactions set forth in the Notes and the Warrants.</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48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D&amp;O Insurance</w:t>
      </w:r>
      <w:r>
        <w:rPr>
          <w:rFonts w:ascii="Arial" w:cs="Arial" w:eastAsia="Arial" w:hAnsi="Arial"/>
          <w:sz w:val="17"/>
          <w:szCs w:val="17"/>
          <w:color w:val="auto"/>
        </w:rPr>
        <w:t>. Within ninety (90) days of the Closing Date, the Company shall obtain from financially sound and reputable insurers director and officer liability insurance in the amount equaling at least $3,000,000 per occurrence and containing such other terms as are customary and appropriate for public companies, and so long as any of the Securities are outstanding, the Company shall maintain such liability insurance.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REGISTER; TRANSFER AGENT INSTRUCTIONS; LEGEND.</w:t>
      </w:r>
    </w:p>
    <w:p>
      <w:pPr>
        <w:spacing w:after="0" w:line="229" w:lineRule="exact"/>
        <w:rPr>
          <w:rFonts w:ascii="Arial" w:cs="Arial" w:eastAsia="Arial" w:hAnsi="Arial"/>
          <w:sz w:val="18"/>
          <w:szCs w:val="18"/>
          <w:b w:val="1"/>
          <w:bCs w:val="1"/>
          <w:color w:val="auto"/>
        </w:rPr>
      </w:pPr>
    </w:p>
    <w:p>
      <w:pPr>
        <w:jc w:val="both"/>
        <w:ind w:firstLine="905"/>
        <w:spacing w:after="0" w:line="255" w:lineRule="auto"/>
        <w:tabs>
          <w:tab w:leader="none" w:pos="1780"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Company shall maintain at its principal executive offices (or such other office or agency of the Company as it may designate by notice to each holder of Securities), a register for the Notes and the Warrants in which the Company shall record the name and address of the Person in whose name the Notes and the Warrants have been issued (including the name and address of each transferee), the principal amount of the Notes held by such Person, the number of Conversion Shares issuable upon conversion of the Notes and the number of Warrant Shares issuable upon exercise of the Warrants held by such Person. The Company shall keep the register open and available at all times during business hours for inspection of any Buyer or its legal representatives.</w:t>
      </w:r>
    </w:p>
    <w:p>
      <w:pPr>
        <w:spacing w:after="0" w:line="193" w:lineRule="exact"/>
        <w:rPr>
          <w:rFonts w:ascii="Arial" w:cs="Arial" w:eastAsia="Arial" w:hAnsi="Arial"/>
          <w:sz w:val="18"/>
          <w:szCs w:val="18"/>
          <w:color w:val="auto"/>
        </w:rPr>
      </w:pPr>
    </w:p>
    <w:p>
      <w:pPr>
        <w:jc w:val="both"/>
        <w:ind w:firstLine="818"/>
        <w:spacing w:after="0" w:line="285" w:lineRule="auto"/>
        <w:tabs>
          <w:tab w:leader="none" w:pos="152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Transfer Agent Instructions</w:t>
      </w:r>
      <w:r>
        <w:rPr>
          <w:rFonts w:ascii="Arial" w:cs="Arial" w:eastAsia="Arial" w:hAnsi="Arial"/>
          <w:sz w:val="16"/>
          <w:szCs w:val="16"/>
          <w:color w:val="auto"/>
        </w:rPr>
        <w:t>. The Company shall issue irrevocable instructions to its transfer agent and any subsequent transfer agent in a form acceptable to each of the Buyers (the “</w:t>
      </w:r>
      <w:r>
        <w:rPr>
          <w:rFonts w:ascii="Arial" w:cs="Arial" w:eastAsia="Arial" w:hAnsi="Arial"/>
          <w:sz w:val="16"/>
          <w:szCs w:val="16"/>
          <w:b w:val="1"/>
          <w:bCs w:val="1"/>
          <w:color w:val="auto"/>
        </w:rPr>
        <w:t>Irrevocable Transfer Agent Instructions</w:t>
      </w:r>
      <w:r>
        <w:rPr>
          <w:rFonts w:ascii="Arial" w:cs="Arial" w:eastAsia="Arial" w:hAnsi="Arial"/>
          <w:sz w:val="16"/>
          <w:szCs w:val="16"/>
          <w:color w:val="auto"/>
        </w:rPr>
        <w:t>”) to issue certificates or credit shares to the applicable balance accounts at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registered in the name of each Buyer or its respective nominee(s), for the Conversion Shares and the Warrant Shares in such amounts as specified from time to time by each Buyer to the Company upon conversion of the Notes or the exercise of the Warrants (as the case may be). The Company represents and warrants that no instruction other than the Irrevocable Transfer Agent Instructions referred to in this Section 5(b), and stop transfer instructions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in accordance with Section 2(g),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Conversion Shares or Warrant Shares so ld, assigned or transferred pursuant to an effective registration statement or in compliance with Rule 144, the transfer agent shall issue such shares to such Buyer, assignee or transferee (as the case may be) without any restrictive legend in accordance with Section 5(d) below.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 r Agent Instructions to the Company’s transfer agent on each Effective Date (as defined in the Registration Rights Agreement). Any fees (with respect to the transfer agent, counsel to the Company or otherwise) associated with the issuance of such opinion or the removal of any legends on any of the Securities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1" w:name="page32"/>
    <w:bookmarkEnd w:id="31"/>
    <w:p>
      <w:pPr>
        <w:jc w:val="both"/>
        <w:ind w:firstLine="769"/>
        <w:spacing w:after="0" w:line="259" w:lineRule="auto"/>
        <w:tabs>
          <w:tab w:leader="none" w:pos="158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Each Buyer understands that the Securities have been issued (or will be issued in the case of the Conversion Shares and the Warrant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187" w:lineRule="exact"/>
        <w:rPr>
          <w:sz w:val="20"/>
          <w:szCs w:val="20"/>
          <w:color w:val="auto"/>
        </w:rPr>
      </w:pPr>
    </w:p>
    <w:p>
      <w:pPr>
        <w:jc w:val="both"/>
        <w:ind w:left="660" w:right="640"/>
        <w:spacing w:after="0" w:line="270" w:lineRule="auto"/>
        <w:rPr>
          <w:sz w:val="20"/>
          <w:szCs w:val="20"/>
          <w:color w:val="auto"/>
        </w:rPr>
      </w:pPr>
      <w:r>
        <w:rPr>
          <w:rFonts w:ascii="Arial" w:cs="Arial" w:eastAsia="Arial" w:hAnsi="Arial"/>
          <w:sz w:val="17"/>
          <w:szCs w:val="17"/>
          <w:color w:val="auto"/>
        </w:rPr>
        <w:t>[NEITHER THE ISSUANCE AND SALE OF THE SECURITIES REPRESENTED BY THIS CERTIFICATE NOR THE SECURITIES INTO WHICH THESE SECURITIES ARE [CONVERTIBLE] [EXERCISABLE]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 IES MAY BE PLEDGED IN CONNECTION WITH A BONA FIDE MARGIN ACCOUNT OR OTHER LOAN OR FINANCING ARRANGEMENT SECURED BY THE SECURITIES.</w:t>
      </w:r>
    </w:p>
    <w:p>
      <w:pPr>
        <w:spacing w:after="0" w:line="178" w:lineRule="exact"/>
        <w:rPr>
          <w:sz w:val="20"/>
          <w:szCs w:val="20"/>
          <w:color w:val="auto"/>
        </w:rPr>
      </w:pPr>
    </w:p>
    <w:p>
      <w:pPr>
        <w:jc w:val="both"/>
        <w:ind w:firstLine="818"/>
        <w:spacing w:after="0" w:line="286" w:lineRule="auto"/>
        <w:tabs>
          <w:tab w:leader="none" w:pos="154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Removal of Legends</w:t>
      </w:r>
      <w:r>
        <w:rPr>
          <w:rFonts w:ascii="Arial" w:cs="Arial" w:eastAsia="Arial" w:hAnsi="Arial"/>
          <w:sz w:val="16"/>
          <w:szCs w:val="16"/>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a Buyer provides the Company with reasonable assurances that such Securities are eligible for sale, assignment or transfer under Rule 144 which shall not include an opinion of counsel), ( iv) 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two (2) Trading Days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5(d), as directed by such Buyer, either: (A) provided that the Company’s transfer agent is participating in the DTC Fast Automated Securities Transfer Program and such Securities are Conversion Shares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Warrant Shares, credit the aggregate number of shares of Common Stock to which such Buyer shall be entitled to such Buyer’s or its designee’s balance account with DTC through its Deposit/Withdrawal at Custodian system or (B) if the Company’s transfer agent is not participating in the DTC Fast Automated Securities Transfer Program, issue and deliver (via reputable overnight courier) to such Buyer, a certificate representing such Securities that is free from all restrictive and other legends, registered in the name of such Buyer or its designee (the date by which such credit is so required to be made to the balance account of such Buyer’s or such Buyer’s nominee with DTC or such certificate is required to be delivered to such Buyer pursuant to the foregoing is referred to herein as the “</w:t>
      </w:r>
      <w:r>
        <w:rPr>
          <w:rFonts w:ascii="Arial" w:cs="Arial" w:eastAsia="Arial" w:hAnsi="Arial"/>
          <w:sz w:val="18"/>
          <w:szCs w:val="18"/>
          <w:b w:val="1"/>
          <w:bCs w:val="1"/>
          <w:color w:val="auto"/>
        </w:rPr>
        <w:t>Required Delivery Date</w:t>
      </w:r>
      <w:r>
        <w:rPr>
          <w:rFonts w:ascii="Arial" w:cs="Arial" w:eastAsia="Arial" w:hAnsi="Arial"/>
          <w:sz w:val="18"/>
          <w:szCs w:val="18"/>
          <w:color w:val="auto"/>
        </w:rPr>
        <w:t>”).</w:t>
      </w:r>
    </w:p>
    <w:p>
      <w:pPr>
        <w:spacing w:after="0" w:line="193" w:lineRule="exact"/>
        <w:rPr>
          <w:sz w:val="20"/>
          <w:szCs w:val="20"/>
          <w:color w:val="auto"/>
        </w:rPr>
      </w:pPr>
    </w:p>
    <w:p>
      <w:pPr>
        <w:jc w:val="both"/>
        <w:ind w:firstLine="818"/>
        <w:spacing w:after="0" w:line="285" w:lineRule="auto"/>
        <w:tabs>
          <w:tab w:leader="none" w:pos="1613" w:val="left"/>
        </w:tabs>
        <w:numPr>
          <w:ilvl w:val="2"/>
          <w:numId w:val="38"/>
        </w:numPr>
        <w:rPr>
          <w:rFonts w:ascii="Arial" w:cs="Arial" w:eastAsia="Arial" w:hAnsi="Arial"/>
          <w:sz w:val="16"/>
          <w:szCs w:val="16"/>
          <w:color w:val="auto"/>
        </w:rPr>
      </w:pPr>
      <w:r>
        <w:rPr>
          <w:rFonts w:ascii="Arial" w:cs="Arial" w:eastAsia="Arial" w:hAnsi="Arial"/>
          <w:sz w:val="16"/>
          <w:szCs w:val="16"/>
          <w:u w:val="single" w:color="auto"/>
          <w:color w:val="auto"/>
        </w:rPr>
        <w:t>Failure to Timely Deliver; Buy-In</w:t>
      </w:r>
      <w:r>
        <w:rPr>
          <w:rFonts w:ascii="Arial" w:cs="Arial" w:eastAsia="Arial" w:hAnsi="Arial"/>
          <w:sz w:val="16"/>
          <w:szCs w:val="16"/>
          <w:color w:val="auto"/>
        </w:rPr>
        <w:t>. If the Company fails to (i) issue and deliver (or cause to be delivered) to a Buyer by the Required Delivery Date a certificate representing the Securities so delivered to the Company by such Buyer that is free from all restrictive and other legends or (ii) credit the balance account of such Buyer’s or such Buyer’s nominee with DTC for such number of shares of Conversion Shares or Warrant Shares so delivered to the Company, then, in addition to all other remedies available to such Buyer, the Company shall pay in cash to such Buyer on each day after the Required Delivery Date that the issuance or credit of such shares is not timely effected an amount equal t o 2% of the original principal amount of such Buyer’s Note. In addition to the foregoing, if the Company fails to so properly deliver such unlegended certificates or so properly credit the balance account of such Buyer’s or such Buyer’s nominee with DTC by the Required Delivery Date, and if on or after the Required Delivery Date such Buyer purchases (in an open market transaction or otherwise) shares of Common Stock to deliver in satisfaction of a sale by such Buyer of shares of Common Stock that such Buyer anticipated receiving from the Company without any restrictive legend, then, in addition to all other remedies available to such Buyer, the Company shall, within three (3) Trading Days after such Buyer’s request and in such Buyer’s sole discretion, either (i) pay cash to such Buyer in an amount equal to such Buyer’s total purchase price (including brokerage commissions,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or credit such Buyer’s balance account shall terminate and such shares shall be cancelled, or (ii) promptly honor its obligation to deliver to such Buyer a certificate or certificates or credit such Buyer’s DTC account representing such number of shares of Common Stock that would have been issued if the Company timely complied with its obligations hereunder and pay cash to such Buyer in an amount equal to the excess (if any) of the Buy-In Price over the product of (A) such number of shares of Conversion Shares or Warrant Shares (as the case may be) that the Company was required to deliver to such Buyer by the Required Delivery Date times (B) the Closing Sale Price (as defined in the Warrants) of the Common Stock on the Trading Day immediately preceding the Required Delivery Date.</w:t>
      </w:r>
    </w:p>
    <w:p>
      <w:pPr>
        <w:spacing w:after="0" w:line="171"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 TO SELL.</w:t>
      </w:r>
    </w:p>
    <w:p>
      <w:pPr>
        <w:spacing w:after="0" w:line="229" w:lineRule="exact"/>
        <w:rPr>
          <w:rFonts w:ascii="Arial" w:cs="Arial" w:eastAsia="Arial" w:hAnsi="Arial"/>
          <w:sz w:val="18"/>
          <w:szCs w:val="18"/>
          <w:b w:val="1"/>
          <w:bCs w:val="1"/>
          <w:color w:val="auto"/>
        </w:rPr>
      </w:pPr>
    </w:p>
    <w:p>
      <w:pPr>
        <w:jc w:val="both"/>
        <w:ind w:firstLine="656"/>
        <w:spacing w:after="0" w:line="286" w:lineRule="auto"/>
        <w:tabs>
          <w:tab w:leader="none" w:pos="13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obligation of the Company hereunder to issue and sell the Notes and the related Warrants to each Buyer at the Closing is subject to the satisfaction, at or before the Closing Date, of each of the following conditions, provided that these conditions are for the Company’s sole benefit and may be waived by the Company at any time in their sole discretion by providing each Buyer with prior written notice thereof: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3" w:name="page34"/>
    <w:bookmarkEnd w:id="33"/>
    <w:p>
      <w:pPr>
        <w:ind w:left="2240" w:hanging="773"/>
        <w:spacing w:after="0"/>
        <w:tabs>
          <w:tab w:leader="none" w:pos="2240" w:val="left"/>
        </w:tabs>
        <w:numPr>
          <w:ilvl w:val="2"/>
          <w:numId w:val="40"/>
        </w:numPr>
        <w:rPr>
          <w:rFonts w:ascii="Arial" w:cs="Arial" w:eastAsia="Arial" w:hAnsi="Arial"/>
          <w:sz w:val="16"/>
          <w:szCs w:val="16"/>
          <w:color w:val="auto"/>
        </w:rPr>
      </w:pPr>
      <w:r>
        <w:rPr>
          <w:rFonts w:ascii="Arial" w:cs="Arial" w:eastAsia="Arial" w:hAnsi="Arial"/>
          <w:sz w:val="16"/>
          <w:szCs w:val="16"/>
          <w:color w:val="auto"/>
        </w:rPr>
        <w:t>Such Buyer shall have executed each of the other Transaction Documents to which it is a party and delivered the same to the</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jc w:val="both"/>
        <w:ind w:left="820" w:firstLine="647"/>
        <w:spacing w:after="0" w:line="264" w:lineRule="auto"/>
        <w:tabs>
          <w:tab w:leader="none" w:pos="2313" w:val="left"/>
        </w:tabs>
        <w:numPr>
          <w:ilvl w:val="2"/>
          <w:numId w:val="40"/>
        </w:numPr>
        <w:rPr>
          <w:rFonts w:ascii="Arial" w:cs="Arial" w:eastAsia="Arial" w:hAnsi="Arial"/>
          <w:sz w:val="18"/>
          <w:szCs w:val="18"/>
          <w:color w:val="auto"/>
        </w:rPr>
      </w:pPr>
      <w:r>
        <w:rPr>
          <w:rFonts w:ascii="Arial" w:cs="Arial" w:eastAsia="Arial" w:hAnsi="Arial"/>
          <w:sz w:val="18"/>
          <w:szCs w:val="18"/>
          <w:color w:val="auto"/>
        </w:rPr>
        <w:t>Such Buyer and each other Buyer shall have delivered to the Company the Purchase Price (less, in the case of Iroquois, the amounts withheld pursuant to Section 4(g)) for the Note and the related Warrants being purchased by such Buyer at the Closing by wire transfer of immediately available funds pursuant to the wire instructions provided by the Company.</w:t>
      </w:r>
    </w:p>
    <w:p>
      <w:pPr>
        <w:spacing w:after="0" w:line="181" w:lineRule="exact"/>
        <w:rPr>
          <w:rFonts w:ascii="Arial" w:cs="Arial" w:eastAsia="Arial" w:hAnsi="Arial"/>
          <w:sz w:val="18"/>
          <w:szCs w:val="18"/>
          <w:color w:val="auto"/>
        </w:rPr>
      </w:pPr>
    </w:p>
    <w:p>
      <w:pPr>
        <w:jc w:val="both"/>
        <w:ind w:left="820" w:firstLine="647"/>
        <w:spacing w:after="0" w:line="302" w:lineRule="auto"/>
        <w:tabs>
          <w:tab w:leader="none" w:pos="2230"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EACH BUYER’S OBLIGATION TO PURCHASE.</w:t>
      </w:r>
    </w:p>
    <w:p>
      <w:pPr>
        <w:spacing w:after="0" w:line="229" w:lineRule="exact"/>
        <w:rPr>
          <w:rFonts w:ascii="Arial" w:cs="Arial" w:eastAsia="Arial" w:hAnsi="Arial"/>
          <w:sz w:val="18"/>
          <w:szCs w:val="18"/>
          <w:b w:val="1"/>
          <w:bCs w:val="1"/>
          <w:color w:val="auto"/>
        </w:rPr>
      </w:pPr>
    </w:p>
    <w:p>
      <w:pPr>
        <w:jc w:val="both"/>
        <w:ind w:firstLine="656"/>
        <w:spacing w:after="0" w:line="264" w:lineRule="auto"/>
        <w:tabs>
          <w:tab w:leader="none" w:pos="14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obligation of each Buyer hereunder to purchase its Note and its related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81" w:lineRule="exact"/>
        <w:rPr>
          <w:rFonts w:ascii="Arial" w:cs="Arial" w:eastAsia="Arial" w:hAnsi="Arial"/>
          <w:sz w:val="18"/>
          <w:szCs w:val="18"/>
          <w:color w:val="auto"/>
        </w:rPr>
      </w:pPr>
    </w:p>
    <w:p>
      <w:pPr>
        <w:jc w:val="both"/>
        <w:ind w:left="820" w:firstLine="647"/>
        <w:spacing w:after="0" w:line="297" w:lineRule="auto"/>
        <w:tabs>
          <w:tab w:leader="none" w:pos="2316"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Company and each Subsidiary (as the case may be) shall have duly executed and delivered to such Buyer each of the Transaction Documents to which it is a party and the Company shall have duly executed and delivered to such Buyer a Note (in such original principal amount as is set forth across from such Buyer’s name in column (3) of the Schedule of Buyers) and the related Series A Warrants, Series B Warrants and Series C Warrants (for such aggregate number of Warrant Shares as is set forth across from such Buyer’s name in columns (4), (5) and (6) of the Schedule of Buyers, respectively) being purchased by such Buyer at the Closing pursuant to this Agreement.</w:t>
      </w:r>
    </w:p>
    <w:p>
      <w:pPr>
        <w:spacing w:after="0" w:line="158" w:lineRule="exact"/>
        <w:rPr>
          <w:rFonts w:ascii="Arial" w:cs="Arial" w:eastAsia="Arial" w:hAnsi="Arial"/>
          <w:sz w:val="16"/>
          <w:szCs w:val="16"/>
          <w:color w:val="auto"/>
        </w:rPr>
      </w:pPr>
    </w:p>
    <w:p>
      <w:pPr>
        <w:ind w:left="820" w:right="20" w:firstLine="647"/>
        <w:spacing w:after="0" w:line="277" w:lineRule="auto"/>
        <w:tabs>
          <w:tab w:leader="none" w:pos="2247" w:val="left"/>
        </w:tabs>
        <w:numPr>
          <w:ilvl w:val="2"/>
          <w:numId w:val="41"/>
        </w:numPr>
        <w:rPr>
          <w:rFonts w:ascii="Arial" w:cs="Arial" w:eastAsia="Arial" w:hAnsi="Arial"/>
          <w:sz w:val="18"/>
          <w:szCs w:val="18"/>
          <w:color w:val="auto"/>
        </w:rPr>
      </w:pPr>
      <w:r>
        <w:rPr>
          <w:rFonts w:ascii="Arial" w:cs="Arial" w:eastAsia="Arial" w:hAnsi="Arial"/>
          <w:sz w:val="18"/>
          <w:szCs w:val="18"/>
          <w:color w:val="auto"/>
        </w:rPr>
        <w:t>Such Buyer shall have received the opinion of Sanders Ortoli Vaughn-Flam Rosenstadt LLP, the Company’s counsel, dated as of the Closing Date, in the form acceptable to such Buyer.</w:t>
      </w:r>
    </w:p>
    <w:p>
      <w:pPr>
        <w:spacing w:after="0" w:line="170" w:lineRule="exact"/>
        <w:rPr>
          <w:rFonts w:ascii="Arial" w:cs="Arial" w:eastAsia="Arial" w:hAnsi="Arial"/>
          <w:sz w:val="18"/>
          <w:szCs w:val="18"/>
          <w:color w:val="auto"/>
        </w:rPr>
      </w:pPr>
    </w:p>
    <w:p>
      <w:pPr>
        <w:ind w:left="820" w:firstLine="647"/>
        <w:spacing w:after="0" w:line="308" w:lineRule="auto"/>
        <w:tabs>
          <w:tab w:leader="none" w:pos="2255"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Company shall have delivered to such Buyer a copy of the Irrevocable Transfer Agent Instructions, in the form acceptable to such Buyer, which instructions shall have been delivered to and acknowledged in writing by the Company’s transfer agent.</w:t>
      </w:r>
    </w:p>
    <w:p>
      <w:pPr>
        <w:spacing w:after="0" w:line="146" w:lineRule="exact"/>
        <w:rPr>
          <w:rFonts w:ascii="Arial" w:cs="Arial" w:eastAsia="Arial" w:hAnsi="Arial"/>
          <w:sz w:val="17"/>
          <w:szCs w:val="17"/>
          <w:color w:val="auto"/>
        </w:rPr>
      </w:pPr>
    </w:p>
    <w:p>
      <w:pPr>
        <w:jc w:val="both"/>
        <w:ind w:left="820" w:firstLine="647"/>
        <w:spacing w:after="0" w:line="264" w:lineRule="auto"/>
        <w:tabs>
          <w:tab w:leader="none" w:pos="223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Closing Date.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jc w:val="both"/>
        <w:ind w:left="-380" w:firstLine="647"/>
        <w:spacing w:after="0" w:line="286" w:lineRule="auto"/>
        <w:tabs>
          <w:tab w:leader="none" w:pos="99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shall have delivered to such Buyer a certificate evidencing the Company’s and each Subsidiary’s qualification as a foreign corporation and good standing issued by the Secretary of State (or comparable office) of each jurisdiction in which the Company and each Subsidiary conducts business and is required to so qualify, as of a date within ten (10) days of the Closing Date.</w:t>
      </w:r>
    </w:p>
    <w:p>
      <w:pPr>
        <w:spacing w:after="0" w:line="165" w:lineRule="exact"/>
        <w:rPr>
          <w:rFonts w:ascii="Arial" w:cs="Arial" w:eastAsia="Arial" w:hAnsi="Arial"/>
          <w:sz w:val="17"/>
          <w:szCs w:val="17"/>
          <w:color w:val="auto"/>
        </w:rPr>
      </w:pPr>
    </w:p>
    <w:p>
      <w:pPr>
        <w:ind w:left="-380" w:firstLine="647"/>
        <w:spacing w:after="0" w:line="277" w:lineRule="auto"/>
        <w:tabs>
          <w:tab w:leader="none" w:pos="11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certified copy of the Articles of Incorporation as certified by the Nevada Secretary of State within ten (10) days of the Closing Date.</w:t>
      </w:r>
    </w:p>
    <w:p>
      <w:pPr>
        <w:spacing w:after="0" w:line="170" w:lineRule="exact"/>
        <w:rPr>
          <w:rFonts w:ascii="Arial" w:cs="Arial" w:eastAsia="Arial" w:hAnsi="Arial"/>
          <w:sz w:val="18"/>
          <w:szCs w:val="18"/>
          <w:color w:val="auto"/>
        </w:rPr>
      </w:pPr>
    </w:p>
    <w:p>
      <w:pPr>
        <w:ind w:left="-380" w:right="20" w:firstLine="647"/>
        <w:spacing w:after="0" w:line="308" w:lineRule="auto"/>
        <w:tabs>
          <w:tab w:leader="none" w:pos="12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Subsidiary shall have delivered to such Buyer a certified copy of its certificate of incorporation as certified by the Secretary of State (or comparable office) of such Subsidiary’s jurisdiction of incorporation within ten (10) days of the Closing Date.</w:t>
      </w:r>
    </w:p>
    <w:p>
      <w:pPr>
        <w:spacing w:after="0" w:line="146" w:lineRule="exact"/>
        <w:rPr>
          <w:rFonts w:ascii="Arial" w:cs="Arial" w:eastAsia="Arial" w:hAnsi="Arial"/>
          <w:sz w:val="17"/>
          <w:szCs w:val="17"/>
          <w:color w:val="auto"/>
        </w:rPr>
      </w:pPr>
    </w:p>
    <w:p>
      <w:pPr>
        <w:jc w:val="both"/>
        <w:ind w:left="-380" w:firstLine="647"/>
        <w:spacing w:after="0" w:line="257" w:lineRule="auto"/>
        <w:tabs>
          <w:tab w:leader="none" w:pos="1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and each Subsidiary shall have delivered to such Buyer a certificate, in the form acceptable to such Buyer, executed by an executive officer of the Company and each Subsidiary and dated as of the Closing Date, as to (i) the resolutions consistent with Section 3(b) as adopted by the Company’s and each Subsidiary’s board of directors in a form reasonably acceptable to such Buyer, (ii) the Articles of Incorporation of the Company and the organizational documents of each Subsidiary and (iii) the Bylaws of the Company and the bylaws of each Subsidiary, each as in effect at the Closing.</w:t>
      </w:r>
    </w:p>
    <w:p>
      <w:pPr>
        <w:spacing w:after="0" w:line="188" w:lineRule="exact"/>
        <w:rPr>
          <w:rFonts w:ascii="Arial" w:cs="Arial" w:eastAsia="Arial" w:hAnsi="Arial"/>
          <w:sz w:val="18"/>
          <w:szCs w:val="18"/>
          <w:color w:val="auto"/>
        </w:rPr>
      </w:pPr>
    </w:p>
    <w:p>
      <w:pPr>
        <w:jc w:val="both"/>
        <w:ind w:left="-380" w:firstLine="647"/>
        <w:spacing w:after="0" w:line="273" w:lineRule="auto"/>
        <w:tabs>
          <w:tab w:leader="none" w:pos="1093"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and every representation and warranty of the Company shall be true and correct as of the date when made and as of the Closing Date as though originally made at that time (except for representations and warranties that speak as of a specific date, which shall be true and correct as of such date) and the Company shall have performed, satisfied and complied in all respects with the covenants, agreements and conditions required to be performed, satisfied or complied with by the Company at or prior to the Closing Date. Such Buyer shall have received a certificate, executed by the Chief Executive Officer of the Company, dated as of the Closing Date, to the foregoing effect and as to such other matters as may be reasonably requested by such Buyer in the form acceptab le to such Buyer.</w:t>
      </w:r>
    </w:p>
    <w:p>
      <w:pPr>
        <w:spacing w:after="0" w:line="178" w:lineRule="exact"/>
        <w:rPr>
          <w:rFonts w:ascii="Arial" w:cs="Arial" w:eastAsia="Arial" w:hAnsi="Arial"/>
          <w:sz w:val="17"/>
          <w:szCs w:val="17"/>
          <w:color w:val="auto"/>
        </w:rPr>
      </w:pPr>
    </w:p>
    <w:p>
      <w:pPr>
        <w:ind w:left="-380" w:firstLine="647"/>
        <w:spacing w:after="0" w:line="277" w:lineRule="auto"/>
        <w:tabs>
          <w:tab w:leader="none" w:pos="10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have delivered to such Buyer a letter from the Company’s transfer agent certifying the number of shares of Common Stock outstanding on the Closing Date immediately prior to the Closing.</w:t>
      </w:r>
    </w:p>
    <w:p>
      <w:pPr>
        <w:spacing w:after="0" w:line="170" w:lineRule="exact"/>
        <w:rPr>
          <w:rFonts w:ascii="Arial" w:cs="Arial" w:eastAsia="Arial" w:hAnsi="Arial"/>
          <w:sz w:val="18"/>
          <w:szCs w:val="18"/>
          <w:color w:val="auto"/>
        </w:rPr>
      </w:pPr>
    </w:p>
    <w:p>
      <w:pPr>
        <w:jc w:val="both"/>
        <w:ind w:left="-380" w:firstLine="647"/>
        <w:spacing w:after="0" w:line="259" w:lineRule="auto"/>
        <w:tabs>
          <w:tab w:leader="none" w:pos="12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Common Stock (I) shall be designated for quotation or listed on the Principal Market and (II) shall not have been suspended, as of the Closing Date, by the SEC or the Principal Market from trading on the Principal Market nor shall suspension by the SEC or the Principal Market have been threatened, as of the Closing Date, either (A) in writing by the SEC or the Principal Market or (B) by falling below the minimum maintenance requirements of the Principal Market.</w:t>
      </w:r>
    </w:p>
    <w:p>
      <w:pPr>
        <w:spacing w:after="0" w:line="186" w:lineRule="exact"/>
        <w:rPr>
          <w:rFonts w:ascii="Arial" w:cs="Arial" w:eastAsia="Arial" w:hAnsi="Arial"/>
          <w:sz w:val="18"/>
          <w:szCs w:val="18"/>
          <w:color w:val="auto"/>
        </w:rPr>
      </w:pPr>
    </w:p>
    <w:p>
      <w:pPr>
        <w:ind w:left="-380" w:right="20" w:firstLine="647"/>
        <w:spacing w:after="0" w:line="277" w:lineRule="auto"/>
        <w:tabs>
          <w:tab w:leader="none" w:pos="11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Securities, including without limitation, those required by the Principal Market.</w:t>
      </w:r>
    </w:p>
    <w:p>
      <w:pPr>
        <w:spacing w:after="0" w:line="200" w:lineRule="exact"/>
        <w:rPr>
          <w:sz w:val="20"/>
          <w:szCs w:val="20"/>
          <w:color w:val="auto"/>
        </w:rPr>
      </w:pPr>
    </w:p>
    <w:p>
      <w:pPr>
        <w:spacing w:after="0" w:line="3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35" w:name="page36"/>
    <w:bookmarkEnd w:id="35"/>
    <w:p>
      <w:pPr>
        <w:jc w:val="both"/>
        <w:ind w:left="2" w:firstLine="647"/>
        <w:spacing w:after="0" w:line="264" w:lineRule="auto"/>
        <w:tabs>
          <w:tab w:leader="none" w:pos="1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81" w:lineRule="exact"/>
        <w:rPr>
          <w:rFonts w:ascii="Arial" w:cs="Arial" w:eastAsia="Arial" w:hAnsi="Arial"/>
          <w:sz w:val="18"/>
          <w:szCs w:val="18"/>
          <w:color w:val="auto"/>
        </w:rPr>
      </w:pPr>
    </w:p>
    <w:p>
      <w:pPr>
        <w:ind w:left="2" w:firstLine="647"/>
        <w:spacing w:after="0" w:line="277" w:lineRule="auto"/>
        <w:tabs>
          <w:tab w:leader="none" w:pos="15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Since the date of execution of this Agreement, no event or series of events shall have occurred that reasonably would have or result in a Material Adverse Effect.</w:t>
      </w:r>
    </w:p>
    <w:p>
      <w:pPr>
        <w:spacing w:after="0" w:line="170" w:lineRule="exact"/>
        <w:rPr>
          <w:rFonts w:ascii="Arial" w:cs="Arial" w:eastAsia="Arial" w:hAnsi="Arial"/>
          <w:sz w:val="18"/>
          <w:szCs w:val="18"/>
          <w:color w:val="auto"/>
        </w:rPr>
      </w:pPr>
    </w:p>
    <w:p>
      <w:pPr>
        <w:ind w:left="2" w:firstLine="647"/>
        <w:spacing w:after="0" w:line="277" w:lineRule="auto"/>
        <w:tabs>
          <w:tab w:leader="none" w:pos="15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shall have obtained approval of the Principal Market to list or designate for quotation (as the case may be) the Conversion Shares and the Warrant Shares, if required by the rules and regulations thereof.</w:t>
      </w:r>
    </w:p>
    <w:p>
      <w:pPr>
        <w:spacing w:after="0" w:line="170" w:lineRule="exact"/>
        <w:rPr>
          <w:rFonts w:ascii="Arial" w:cs="Arial" w:eastAsia="Arial" w:hAnsi="Arial"/>
          <w:sz w:val="18"/>
          <w:szCs w:val="18"/>
          <w:color w:val="auto"/>
        </w:rPr>
      </w:pPr>
    </w:p>
    <w:p>
      <w:pPr>
        <w:jc w:val="both"/>
        <w:ind w:left="2" w:firstLine="647"/>
        <w:spacing w:after="0" w:line="257" w:lineRule="auto"/>
        <w:tabs>
          <w:tab w:leader="none" w:pos="16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accordance with the terms of the Security Documents, the Company shall have delivered to such Buyer (i) certificates representing the Subsidiaries' shares of capital stock to the extent such subsidiary is a corporation or otherwise has certificated capital stock, along with duly executed blank stock powers and (ii) appropriate financing statements on Form UCC-1 to be duly filed in such office or offices as may be necessary to perfect the security interests purported to be created by each Security Document pursuant to the terms of each such Security Document.</w:t>
      </w:r>
    </w:p>
    <w:p>
      <w:pPr>
        <w:spacing w:after="0" w:line="188" w:lineRule="exact"/>
        <w:rPr>
          <w:rFonts w:ascii="Arial" w:cs="Arial" w:eastAsia="Arial" w:hAnsi="Arial"/>
          <w:sz w:val="18"/>
          <w:szCs w:val="18"/>
          <w:color w:val="auto"/>
        </w:rPr>
      </w:pPr>
    </w:p>
    <w:p>
      <w:pPr>
        <w:ind w:left="1542" w:hanging="893"/>
        <w:spacing w:after="0"/>
        <w:tabs>
          <w:tab w:leader="none" w:pos="1542" w:val="left"/>
        </w:tabs>
        <w:numPr>
          <w:ilvl w:val="1"/>
          <w:numId w:val="43"/>
        </w:numPr>
        <w:rPr>
          <w:rFonts w:ascii="Arial" w:cs="Arial" w:eastAsia="Arial" w:hAnsi="Arial"/>
          <w:sz w:val="16"/>
          <w:szCs w:val="16"/>
          <w:color w:val="auto"/>
        </w:rPr>
      </w:pPr>
      <w:r>
        <w:rPr>
          <w:rFonts w:ascii="Arial" w:cs="Arial" w:eastAsia="Arial" w:hAnsi="Arial"/>
          <w:sz w:val="16"/>
          <w:szCs w:val="16"/>
          <w:color w:val="auto"/>
        </w:rPr>
        <w:t>Within two (2) Business Days prior to the Closing, the Company shall have delivered or caused to be delivered to each Buyer</w:t>
      </w:r>
    </w:p>
    <w:p>
      <w:pPr>
        <w:spacing w:after="0" w:line="46" w:lineRule="exact"/>
        <w:rPr>
          <w:rFonts w:ascii="Arial" w:cs="Arial" w:eastAsia="Arial" w:hAnsi="Arial"/>
          <w:sz w:val="16"/>
          <w:szCs w:val="16"/>
          <w:color w:val="auto"/>
        </w:rPr>
      </w:pPr>
    </w:p>
    <w:p>
      <w:pPr>
        <w:jc w:val="both"/>
        <w:ind w:left="2" w:hanging="2"/>
        <w:spacing w:after="0" w:line="270" w:lineRule="auto"/>
        <w:tabs>
          <w:tab w:leader="none" w:pos="22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true copies of UCC search results, listing all effective financing statements which name as debtor the Company or any of its Subsidiaries filed in the prior five years to perfect an interest in any assets thereof, together with copies of such financing statements, none of which, except as otherwise agreed in writing by the Buyers, shall cover any of the Collateral (as defined in the Security Documents) and the results of searches for any tax lien and judgment lien filed against such Person or its property, which results, except as otherwise agreed to in writing by the Buyers shall not show any such Liens (as defined in the Security Docum ents); and (ii) a perfection certificate, duly completed and executed by the Company and each of its Subsidiaries, in form and substance satisfactory to the Buyers.</w:t>
      </w:r>
    </w:p>
    <w:p>
      <w:pPr>
        <w:spacing w:after="0" w:line="178" w:lineRule="exact"/>
        <w:rPr>
          <w:rFonts w:ascii="Arial" w:cs="Arial" w:eastAsia="Arial" w:hAnsi="Arial"/>
          <w:sz w:val="17"/>
          <w:szCs w:val="17"/>
          <w:color w:val="auto"/>
        </w:rPr>
      </w:pPr>
    </w:p>
    <w:p>
      <w:pPr>
        <w:jc w:val="both"/>
        <w:ind w:left="2" w:firstLine="647"/>
        <w:spacing w:after="0" w:line="276" w:lineRule="auto"/>
        <w:tabs>
          <w:tab w:leader="none" w:pos="1727" w:val="left"/>
        </w:tabs>
        <w:numPr>
          <w:ilvl w:val="1"/>
          <w:numId w:val="44"/>
        </w:numPr>
        <w:rPr>
          <w:rFonts w:ascii="Arial" w:cs="Arial" w:eastAsia="Arial" w:hAnsi="Arial"/>
          <w:sz w:val="17"/>
          <w:szCs w:val="17"/>
          <w:color w:val="auto"/>
        </w:rPr>
      </w:pPr>
      <w:r>
        <w:rPr>
          <w:rFonts w:ascii="Arial" w:cs="Arial" w:eastAsia="Arial" w:hAnsi="Arial"/>
          <w:sz w:val="17"/>
          <w:szCs w:val="17"/>
          <w:color w:val="auto"/>
        </w:rPr>
        <w:t>(i) The Company shall not have amended, modified, waived compliance with or terminated, revoked or rescinded in any manner or respect (and the Company shall not have taken any action, or permitted any action to be taken (whether through the Company’s inaction or otherwise), that has a similar effect to any of the foregoing) any provision of any of the agreements set forth on Schedules 7(a)(xviii)(i) and 7(a) (xviii)(ii) attached hereto and all of such agreements shall be in full force and effect and (2) no Person that is party to any such agreements shall have breached, or failed to comply with, in any manner or respect any provision of any such agreements.</w:t>
      </w:r>
    </w:p>
    <w:p>
      <w:pPr>
        <w:spacing w:after="0" w:line="172" w:lineRule="exact"/>
        <w:rPr>
          <w:rFonts w:ascii="Arial" w:cs="Arial" w:eastAsia="Arial" w:hAnsi="Arial"/>
          <w:sz w:val="17"/>
          <w:szCs w:val="17"/>
          <w:color w:val="auto"/>
        </w:rPr>
      </w:pPr>
    </w:p>
    <w:p>
      <w:pPr>
        <w:jc w:val="both"/>
        <w:ind w:left="2" w:firstLine="647"/>
        <w:spacing w:after="0" w:line="264" w:lineRule="auto"/>
        <w:tabs>
          <w:tab w:leader="none" w:pos="150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Control Agreement (as defined in the Security Agreement) with respect to each Deposit Account (as defined in the Security Agreement) maintained by the Company and each Subsidiary (other than those Deposit Accounts required to be closed by the Security Agreement), in form acceptable to such Buyer.</w:t>
      </w:r>
    </w:p>
    <w:p>
      <w:pPr>
        <w:spacing w:after="0" w:line="200" w:lineRule="exact"/>
        <w:rPr>
          <w:sz w:val="20"/>
          <w:szCs w:val="20"/>
          <w:color w:val="auto"/>
        </w:rPr>
      </w:pPr>
    </w:p>
    <w:p>
      <w:pPr>
        <w:spacing w:after="0" w:line="346" w:lineRule="exact"/>
        <w:rPr>
          <w:sz w:val="20"/>
          <w:szCs w:val="20"/>
          <w:color w:val="auto"/>
        </w:rPr>
      </w:pPr>
    </w:p>
    <w:p>
      <w:pPr>
        <w:ind w:left="480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2"/>
          </w:cols>
          <w:pgMar w:left="1058" w:top="490" w:right="239" w:bottom="1440" w:gutter="0" w:footer="0" w:header="0"/>
        </w:sectPr>
      </w:pPr>
    </w:p>
    <w:bookmarkStart w:id="36" w:name="page37"/>
    <w:bookmarkEnd w:id="36"/>
    <w:p>
      <w:pPr>
        <w:ind w:left="820" w:firstLine="647"/>
        <w:spacing w:after="0" w:line="277" w:lineRule="auto"/>
        <w:tabs>
          <w:tab w:leader="none" w:pos="2493"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and its Subsidiaries shall have delivered to such Buyer such other documents relating to the transactions contemplated by this Agreement as such Buyer or its counsel may reasonably request.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 the event that the Closing shall not have occurred with respect to a Buyer within ten (10) days of the date hereof, then such Buyer shall have the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and the Warrants shall be applicable only to such Buyer providing such written notice, provided further that no such termination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1360" w:hanging="704"/>
        <w:spacing w:after="0"/>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Jury Trial</w:t>
      </w:r>
    </w:p>
    <w:p>
      <w:pPr>
        <w:spacing w:after="0" w:line="225" w:lineRule="exact"/>
        <w:rPr>
          <w:sz w:val="20"/>
          <w:szCs w:val="20"/>
          <w:color w:val="auto"/>
        </w:rPr>
      </w:pPr>
    </w:p>
    <w:p>
      <w:pPr>
        <w:jc w:val="both"/>
        <w:ind w:firstLine="8"/>
        <w:spacing w:after="0" w:line="268" w:lineRule="auto"/>
        <w:tabs>
          <w:tab w:leader="none" w:pos="10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parties hereby agree that pursuant to 735 Illinois Compiled Statutes 105/5-5 they have chosen that all questions concerning the construction, validity, enforcement and interpretation of this Agreement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Chicago, Illinois, for the adjudication of any dispute hereunder or in connection herewith or with any transaction contemplated hereby or discussed herein, and hereby irrevocably waives, and agrees not to assert in any sui 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jc w:val="both"/>
        <w:ind w:firstLine="656"/>
        <w:spacing w:after="0" w:line="257" w:lineRule="auto"/>
        <w:tabs>
          <w:tab w:leader="none" w:pos="143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8" w:lineRule="exact"/>
        <w:rPr>
          <w:rFonts w:ascii="Arial" w:cs="Arial" w:eastAsia="Arial" w:hAnsi="Arial"/>
          <w:sz w:val="18"/>
          <w:szCs w:val="18"/>
          <w:color w:val="auto"/>
        </w:rPr>
      </w:pPr>
    </w:p>
    <w:p>
      <w:pPr>
        <w:jc w:val="both"/>
        <w:ind w:firstLine="656"/>
        <w:spacing w:after="0" w:line="293" w:lineRule="auto"/>
        <w:tabs>
          <w:tab w:leader="none" w:pos="138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Headings; Gender.</w:t>
      </w:r>
      <w:r>
        <w:rPr>
          <w:rFonts w:ascii="Arial" w:cs="Arial" w:eastAsia="Arial" w:hAnsi="Arial"/>
          <w:sz w:val="16"/>
          <w:szCs w:val="16"/>
          <w:color w:val="auto"/>
        </w:rPr>
        <w:t xml:space="preserve">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 und. For purposes of this Agreement for each Buyer’s benefit, the word “state” or “states” includes any “province” or “provinces” in Canada and the concept of “law, rules or regulations” includes laws, rules and regulations under applicable law, rules and regulations in Canada.</w:t>
      </w:r>
    </w:p>
    <w:p>
      <w:pPr>
        <w:spacing w:after="0" w:line="164" w:lineRule="exact"/>
        <w:rPr>
          <w:rFonts w:ascii="Arial" w:cs="Arial" w:eastAsia="Arial" w:hAnsi="Arial"/>
          <w:sz w:val="16"/>
          <w:szCs w:val="16"/>
          <w:color w:val="auto"/>
        </w:rPr>
      </w:pPr>
    </w:p>
    <w:p>
      <w:pPr>
        <w:jc w:val="both"/>
        <w:ind w:firstLine="656"/>
        <w:spacing w:after="0" w:line="285" w:lineRule="auto"/>
        <w:tabs>
          <w:tab w:leader="none" w:pos="140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 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its Subsidiaries (as the case may be), or payable to or received by any of the Buyers, under the Transaction Documents (including without limitation, any amounts that would be characterized as “interest” under applicable law) exceed amounts permitted under any applicable law .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 d thereto are held to be within the meaning of “interest” or another applicable term to otherwise be violative of applicable law, such amounts shall be pro-rated over the period of time to which they relate.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8" w:name="page39"/>
    <w:bookmarkEnd w:id="38"/>
    <w:p>
      <w:pPr>
        <w:jc w:val="both"/>
        <w:ind w:firstLine="656"/>
        <w:spacing w:after="0" w:line="285" w:lineRule="auto"/>
        <w:tabs>
          <w:tab w:leader="none" w:pos="146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solely with respect to the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 d in this Agreement or any other Transaction Document shall (or shall be deemed to) (i) have any effect on any agreements any Buyer has entered into with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and all such agreements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or waived other than by an instrument in writing signed by the Company and each Buyer who is a Significant Secured Party (as defined in the Security Agreement), and any amendment or to, or waiver of any provision of, this Agreement made in conformity with the provisions of this Section 9(d) shall be binding on all Buyers and holders of Securities, as applicable, provided that any party may give a waiver in writing as to itself. No such amendment or waiver (unless given pursuant to the foregoing proviso in the case of a waiver) shall be effective to the extent that it applies to less than all of the holders of the Notes then outstanding. No consideration shall be offered or paid to any Person to amend or consent to a waiver or modification of any provision of any of the Transaction Documents unless the same consideration also is offered to all of the parties to the Transaction Documents, all holders of the Notes or all holders of the Warrants (as the case may be).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w:t>
      </w:r>
    </w:p>
    <w:p>
      <w:pPr>
        <w:spacing w:after="0" w:line="384" w:lineRule="exact"/>
        <w:rPr>
          <w:rFonts w:ascii="Arial" w:cs="Arial" w:eastAsia="Arial" w:hAnsi="Arial"/>
          <w:sz w:val="16"/>
          <w:szCs w:val="16"/>
          <w:color w:val="auto"/>
        </w:rPr>
      </w:pPr>
    </w:p>
    <w:p>
      <w:pPr>
        <w:jc w:val="both"/>
        <w:ind w:firstLine="656"/>
        <w:spacing w:after="0" w:line="257" w:lineRule="auto"/>
        <w:tabs>
          <w:tab w:leader="none" w:pos="133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with next day delivery specified, in each case, properly addressed to the party to receive the same. The addresses and facsimile numbers for such communications shall be: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ind w:left="19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 Bellevue Way, NE, Suite 400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Bellevue, Washington 98004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(425) 462-2556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(425) 462-5638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Sanders Ortoli Vaughn-Flam Rosenstadt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501 Madison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(212) 588-0022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(212) 826-9307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William Rosenstadt</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Island Stock Transfer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 Second Avenue South, Suite 705S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Petersburg, Florida 33701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(727) 289-0010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(727) 289-0069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Matt Presy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to a Buyer, to its address and facsimile number set forth on the Schedule of Buyers, with copies to such Buyer’s representatives as set forth on the Schedule of Buyers,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 W. Wacker Drive, Suite 3100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Chicago, Illinois 60601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(312) 456-8400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(312) 456-8435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Peter H. Lieberman, Esq.</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Todd A. Mazur, Esq.</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to such other address and/or facsimile number and/or to the attention of such other Person as the recipient party has specified by written notice given to each other party five (5) days prior to the effectiveness of such change, provided that Greenberg Traurig, LLP shall only be provided copies of notices sent to Iroquois.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 e,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jc w:val="both"/>
        <w:ind w:firstLine="656"/>
        <w:spacing w:after="0" w:line="291" w:lineRule="auto"/>
        <w:tabs>
          <w:tab w:leader="none" w:pos="142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respective successors and assigns, including any purchasers of any of the Notes or Warrants. The Company shall not assign this Agreement or any rights or obligations hereunder without the prior written consent of each of the Buyers, including, without limitation, by way of a Fundamental Transaction (as defined in the Warrants) (unless the Company is in compliance with the applicable provisions governing Fundamental Transactions set forth in the Warrants) or a Fundamental Transaction (as defined in the Notes) (unless the Company is in compliance with the applicable provisions governing Fundament al Transactions set forth in the Notes).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67" w:lineRule="exact"/>
        <w:rPr>
          <w:rFonts w:ascii="Arial" w:cs="Arial" w:eastAsia="Arial" w:hAnsi="Arial"/>
          <w:sz w:val="16"/>
          <w:szCs w:val="16"/>
          <w:color w:val="auto"/>
        </w:rPr>
      </w:pPr>
    </w:p>
    <w:p>
      <w:pPr>
        <w:ind w:firstLine="656"/>
        <w:spacing w:after="0" w:line="342" w:lineRule="auto"/>
        <w:tabs>
          <w:tab w:leader="none" w:pos="136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spacing w:after="0" w:line="123" w:lineRule="exact"/>
        <w:rPr>
          <w:rFonts w:ascii="Arial" w:cs="Arial" w:eastAsia="Arial" w:hAnsi="Arial"/>
          <w:sz w:val="16"/>
          <w:szCs w:val="16"/>
          <w:color w:val="auto"/>
        </w:rPr>
      </w:pPr>
    </w:p>
    <w:p>
      <w:pPr>
        <w:ind w:firstLine="656"/>
        <w:spacing w:after="0" w:line="277" w:lineRule="auto"/>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1" w:lineRule="exact"/>
        <w:rPr>
          <w:rFonts w:ascii="Arial" w:cs="Arial" w:eastAsia="Arial" w:hAnsi="Arial"/>
          <w:sz w:val="18"/>
          <w:szCs w:val="18"/>
          <w:color w:val="auto"/>
        </w:rPr>
      </w:pPr>
    </w:p>
    <w:p>
      <w:pPr>
        <w:jc w:val="both"/>
        <w:ind w:firstLine="656"/>
        <w:spacing w:after="0" w:line="268" w:lineRule="auto"/>
        <w:tabs>
          <w:tab w:leader="none" w:pos="154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7"/>
          <w:szCs w:val="17"/>
          <w:b w:val="1"/>
          <w:bCs w:val="1"/>
          <w:color w:val="auto"/>
        </w:rPr>
        <w:t>Indemnitees</w:t>
      </w:r>
      <w:r>
        <w:rPr>
          <w:rFonts w:ascii="Arial" w:cs="Arial" w:eastAsia="Arial" w:hAnsi="Arial"/>
          <w:sz w:val="17"/>
          <w:szCs w:val="17"/>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7"/>
          <w:szCs w:val="17"/>
          <w:b w:val="1"/>
          <w:bCs w:val="1"/>
          <w:color w:val="auto"/>
        </w:rPr>
        <w:t>Indemnified Liabilities</w:t>
      </w:r>
      <w:r>
        <w:rPr>
          <w:rFonts w:ascii="Arial" w:cs="Arial" w:eastAsia="Arial" w:hAnsi="Arial"/>
          <w:sz w:val="17"/>
          <w:szCs w:val="17"/>
          <w:color w:val="auto"/>
        </w:rPr>
        <w:t>”), incurred by any Indemnitee as a result of, or arising out of, or relating to (a) any misrepresentation or breach of any representation or warranty made by the Company or any Subsidiary in any of the Transaction Documents, (b) any breach of any covenant, agreement or obligation of the Company or any Subsidiary contained in any of the Transaction Documents or (c) any cause of action, suit or claim brought or made against such Indemnitee by a third party (including for these purposes a derivative action brought on be half of the Company or any Subsidiary) and arising out of or resulting from (i) the execution, delivery, performance or enforcement of any of the Transaction Documents, (ii) any transaction financed or to be financed in whole or in part, directly or indirectly, with the proceeds of the issuance of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jc w:val="both"/>
        <w:spacing w:after="0" w:line="276" w:lineRule="auto"/>
        <w:rPr>
          <w:sz w:val="20"/>
          <w:szCs w:val="20"/>
          <w:color w:val="auto"/>
        </w:rPr>
      </w:pPr>
      <w:r>
        <w:rPr>
          <w:rFonts w:ascii="Arial" w:cs="Arial" w:eastAsia="Arial" w:hAnsi="Arial"/>
          <w:sz w:val="17"/>
          <w:szCs w:val="17"/>
          <w:color w:val="auto"/>
        </w:rPr>
        <w:t>the Securities, (iii) any disclosure properly made by such Buyer pursuant to Section 4(i), or (iv) the status of such Buyer or holder of the Securities as an investor in the Company pursuant to the transactions contemplated by the Transaction Documents.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6 of the Registration Rights Agreement.</w:t>
      </w:r>
    </w:p>
    <w:p>
      <w:pPr>
        <w:spacing w:after="0" w:line="173" w:lineRule="exact"/>
        <w:rPr>
          <w:sz w:val="20"/>
          <w:szCs w:val="20"/>
          <w:color w:val="auto"/>
        </w:rPr>
      </w:pPr>
    </w:p>
    <w:p>
      <w:pPr>
        <w:ind w:firstLine="656"/>
        <w:spacing w:after="0" w:line="277" w:lineRule="auto"/>
        <w:tabs>
          <w:tab w:leader="none" w:pos="135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jc w:val="both"/>
        <w:ind w:firstLine="656"/>
        <w:spacing w:after="0" w:line="290" w:lineRule="auto"/>
        <w:tabs>
          <w:tab w:leader="none" w:pos="138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Buyer and each holder of any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may prove to be inadequate relief to the Buyers. The Company therefore agrees that the Buyers shall be entitled to seek specific performance and/or temporary, preliminary and permanent injunctive or other equitable relief from any court of competent jurisdiction in any such case without the necessity of proving actual damages and without posting a bond or other security.</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40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Withdrawal Right</w:t>
      </w:r>
      <w:r>
        <w:rPr>
          <w:rFonts w:ascii="Arial" w:cs="Arial" w:eastAsia="Arial" w:hAnsi="Arial"/>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8" w:lineRule="exact"/>
        <w:rPr>
          <w:rFonts w:ascii="Arial" w:cs="Arial" w:eastAsia="Arial" w:hAnsi="Arial"/>
          <w:sz w:val="18"/>
          <w:szCs w:val="18"/>
          <w:color w:val="auto"/>
        </w:rPr>
      </w:pPr>
    </w:p>
    <w:p>
      <w:pPr>
        <w:jc w:val="both"/>
        <w:ind w:firstLine="656"/>
        <w:spacing w:after="0" w:line="291" w:lineRule="auto"/>
        <w:tabs>
          <w:tab w:leader="none" w:pos="136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Payment Set Aside; Currency</w:t>
      </w:r>
      <w:r>
        <w:rPr>
          <w:rFonts w:ascii="Arial" w:cs="Arial" w:eastAsia="Arial" w:hAnsi="Arial"/>
          <w:sz w:val="16"/>
          <w:szCs w:val="16"/>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 en to the extent of any such restoration the obligation or part thereof originally intended to be satisfied shall be revived and continued in full force and effect as if such payment had not been made or such enforcement or setoff had not occurred. Until 75% of the Warrants are no longer outstanding, the Company shall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not effect any stock combination, reverse stock split or other similar transaction (or make any public announcement with respect to any of the foregoing) without the prior written consent of the Buyers holding a majority in interest of the Warrant Shares issuable under the then-outstanding Warrants. Unless otherwise expressly indicated, all dollar amounts referred to in this Agreement and the other Transaction Documents are in United States Dollars (“</w:t>
      </w:r>
      <w:r>
        <w:rPr>
          <w:rFonts w:ascii="Arial" w:cs="Arial" w:eastAsia="Arial" w:hAnsi="Arial"/>
          <w:sz w:val="17"/>
          <w:szCs w:val="17"/>
          <w:b w:val="1"/>
          <w:bCs w:val="1"/>
          <w:color w:val="auto"/>
        </w:rPr>
        <w:t>U.S.</w:t>
      </w:r>
      <w:r>
        <w:rPr>
          <w:rFonts w:ascii="Arial" w:cs="Arial" w:eastAsia="Arial" w:hAnsi="Arial"/>
          <w:sz w:val="17"/>
          <w:szCs w:val="17"/>
          <w:color w:val="auto"/>
        </w:rPr>
        <w:t xml:space="preserve"> </w:t>
      </w:r>
      <w:r>
        <w:rPr>
          <w:rFonts w:ascii="Arial" w:cs="Arial" w:eastAsia="Arial" w:hAnsi="Arial"/>
          <w:sz w:val="17"/>
          <w:szCs w:val="17"/>
          <w:b w:val="1"/>
          <w:bCs w:val="1"/>
          <w:color w:val="auto"/>
        </w:rPr>
        <w:t>Dollars</w:t>
      </w:r>
      <w:r>
        <w:rPr>
          <w:rFonts w:ascii="Arial" w:cs="Arial" w:eastAsia="Arial" w:hAnsi="Arial"/>
          <w:sz w:val="17"/>
          <w:szCs w:val="17"/>
          <w:color w:val="auto"/>
        </w:rPr>
        <w:t>”), and all amounts owing under this Agreement and all other Transaction Documents shall be paid in U.S. Dollars. All amounts denominated in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currencies (if any) shall be converted in the U.S. Dollar equivalent amount in accordance with the Exchange Rate on the date of calculation.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means, in relation to any amount of currency to be converted into U.S. Dollars pursuant to this Agreement, the U.S. Dollar exchange rate as published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Wall Street Journal on the relevant date of calculation.</w:t>
      </w:r>
    </w:p>
    <w:p>
      <w:pPr>
        <w:spacing w:after="0" w:line="178" w:lineRule="exact"/>
        <w:rPr>
          <w:sz w:val="20"/>
          <w:szCs w:val="20"/>
          <w:color w:val="auto"/>
        </w:rPr>
      </w:pPr>
    </w:p>
    <w:p>
      <w:pPr>
        <w:jc w:val="both"/>
        <w:ind w:firstLine="656"/>
        <w:spacing w:after="0" w:line="267" w:lineRule="auto"/>
        <w:tabs>
          <w:tab w:leader="none" w:pos="142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Independent Nature of Buyers’ Obligations and Rights</w:t>
      </w:r>
      <w:r>
        <w:rPr>
          <w:rFonts w:ascii="Arial" w:cs="Arial" w:eastAsia="Arial" w:hAnsi="Arial"/>
          <w:sz w:val="17"/>
          <w:szCs w:val="17"/>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 n any way acting in concert or as a group or entity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 etween and among the Buyers.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64" w:firstLine="647"/>
        <w:spacing w:after="0" w:line="272" w:lineRule="auto"/>
        <w:tabs>
          <w:tab w:leader="none" w:pos="1501"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 for the purpose of obtaining or enforcing judgment against the Company in any court in any jurisdiction it becomes necessary to convert into any other currency (such other currency being hereinafter in this Section 9(r)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an amount due in U.S. Dollars under this Agreement or any other Transaction Document, the conversion shall be made at the Exchange Rate prevailing on the Trading Day immediately preceding: (1) the date actual payment of the amount due, in the case of any proceeding in the courts of New York or in the courts of any other jurisdiction that will give effect to such conversion being made on such date or (2) the date on which the foreign court de termines, in the case of any proceeding in the courts of any other jurisdiction (the date as of which such conversion is made pursuant to this Section 9(r)(i) being hereinafter referred to as the “</w:t>
      </w:r>
      <w:r>
        <w:rPr>
          <w:rFonts w:ascii="Arial" w:cs="Arial" w:eastAsia="Arial" w:hAnsi="Arial"/>
          <w:sz w:val="17"/>
          <w:szCs w:val="17"/>
          <w:b w:val="1"/>
          <w:bCs w:val="1"/>
          <w:color w:val="auto"/>
        </w:rPr>
        <w:t>Judgment Conversion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164" w:firstLine="647"/>
        <w:spacing w:after="0" w:line="297" w:lineRule="auto"/>
        <w:tabs>
          <w:tab w:leader="none" w:pos="1671"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in the case of any proceeding in the court of any jurisdiction referred to in Section 9(r)(i)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58" w:lineRule="exact"/>
        <w:rPr>
          <w:rFonts w:ascii="Arial" w:cs="Arial" w:eastAsia="Arial" w:hAnsi="Arial"/>
          <w:sz w:val="16"/>
          <w:szCs w:val="16"/>
          <w:color w:val="auto"/>
        </w:rPr>
      </w:pPr>
    </w:p>
    <w:p>
      <w:pPr>
        <w:ind w:left="164" w:firstLine="647"/>
        <w:spacing w:after="0" w:line="277" w:lineRule="auto"/>
        <w:tabs>
          <w:tab w:leader="none" w:pos="16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64" w:firstLine="647"/>
        <w:spacing w:after="0" w:line="270" w:lineRule="auto"/>
        <w:tabs>
          <w:tab w:leader="none" w:pos="1504"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Any and all payments by the Company hereunder or under any other Transaction Document shall be made free and clear of and without deduction for any and all present or future taxes, levies, imposts, deductions, charges or withholdings, and all liabilities with respect thereto, imposed under Part XIII of the </w:t>
      </w:r>
      <w:r>
        <w:rPr>
          <w:rFonts w:ascii="Arial" w:cs="Arial" w:eastAsia="Arial" w:hAnsi="Arial"/>
          <w:sz w:val="17"/>
          <w:szCs w:val="17"/>
          <w:i w:val="1"/>
          <w:iCs w:val="1"/>
          <w:color w:val="auto"/>
        </w:rPr>
        <w:t>Income Tax Act (Canada)</w:t>
      </w:r>
      <w:r>
        <w:rPr>
          <w:rFonts w:ascii="Arial" w:cs="Arial" w:eastAsia="Arial" w:hAnsi="Arial"/>
          <w:sz w:val="17"/>
          <w:szCs w:val="17"/>
          <w:color w:val="auto"/>
        </w:rPr>
        <w:t xml:space="preserve"> (collectively referred to as “</w:t>
      </w:r>
      <w:r>
        <w:rPr>
          <w:rFonts w:ascii="Arial" w:cs="Arial" w:eastAsia="Arial" w:hAnsi="Arial"/>
          <w:sz w:val="17"/>
          <w:szCs w:val="17"/>
          <w:b w:val="1"/>
          <w:bCs w:val="1"/>
          <w:color w:val="auto"/>
        </w:rPr>
        <w:t>Part XIII Taxes</w:t>
      </w:r>
      <w:r>
        <w:rPr>
          <w:rFonts w:ascii="Arial" w:cs="Arial" w:eastAsia="Arial" w:hAnsi="Arial"/>
          <w:sz w:val="17"/>
          <w:szCs w:val="17"/>
          <w:color w:val="auto"/>
        </w:rPr>
        <w:t>”) and Article XI of the Canada United States Tax Convention (1980) (together with Part XIII Taxes, the “</w:t>
      </w:r>
      <w:r>
        <w:rPr>
          <w:rFonts w:ascii="Arial" w:cs="Arial" w:eastAsia="Arial" w:hAnsi="Arial"/>
          <w:sz w:val="17"/>
          <w:szCs w:val="17"/>
          <w:b w:val="1"/>
          <w:bCs w:val="1"/>
          <w:color w:val="auto"/>
        </w:rPr>
        <w:t>Canadian Taxes</w:t>
      </w:r>
      <w:r>
        <w:rPr>
          <w:rFonts w:ascii="Arial" w:cs="Arial" w:eastAsia="Arial" w:hAnsi="Arial"/>
          <w:sz w:val="17"/>
          <w:szCs w:val="17"/>
          <w:color w:val="auto"/>
        </w:rPr>
        <w:t>”) unless the Company is required to withhold or deduct any amounts for, or on account of, Canadian Taxes pursuant to any applicable law. If the Company shall be required to withhold or deduct any Canadian Taxes from or in respect of any sum payable hereunder to the Holder, (x) the sum payable shall be increased by the amount by which the sum payable would otherwise have to be increased (the “</w:t>
      </w:r>
      <w:r>
        <w:rPr>
          <w:rFonts w:ascii="Arial" w:cs="Arial" w:eastAsia="Arial" w:hAnsi="Arial"/>
          <w:sz w:val="17"/>
          <w:szCs w:val="17"/>
          <w:b w:val="1"/>
          <w:bCs w:val="1"/>
          <w:color w:val="auto"/>
        </w:rPr>
        <w:t>tax make-whole amount</w:t>
      </w:r>
      <w:r>
        <w:rPr>
          <w:rFonts w:ascii="Arial" w:cs="Arial" w:eastAsia="Arial" w:hAnsi="Arial"/>
          <w:sz w:val="17"/>
          <w:szCs w:val="17"/>
          <w:color w:val="auto"/>
        </w:rPr>
        <w:t>”) to ensure that after making all required withholdings and deductions (including deductions applicable to the tax make-whole amount) the applicable Buyer would receive an amount equal to the sum it would have received had no such deductions been made, (y) the Company shall make such deductions, and (z) the Company shall pay the full amount withheld or deducted to the Canada Revenue Agency within the time required.</w:t>
      </w:r>
    </w:p>
    <w:p>
      <w:pPr>
        <w:spacing w:after="0" w:line="200" w:lineRule="exact"/>
        <w:rPr>
          <w:sz w:val="20"/>
          <w:szCs w:val="20"/>
          <w:color w:val="auto"/>
        </w:rPr>
      </w:pPr>
    </w:p>
    <w:p>
      <w:pPr>
        <w:spacing w:after="0" w:line="34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44" w:name="page45"/>
    <w:bookmarkEnd w:id="44"/>
    <w:p>
      <w:pPr>
        <w:jc w:val="both"/>
        <w:ind w:left="-380" w:firstLine="647"/>
        <w:spacing w:after="0" w:line="259" w:lineRule="auto"/>
        <w:tabs>
          <w:tab w:leader="none" w:pos="9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addition, the Company agrees to pay to the relevant governmental authority in accordance with applicable law any present or future stamp or documentary taxes or any other excise or property taxes, charges or similar levies that arise from any payment made hereunder or in connection with the execution, delivery, registration or performance of, or otherwise with respect to, this Agreement and the other Transaction Documents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380" w:firstLine="647"/>
        <w:spacing w:after="0" w:line="264" w:lineRule="auto"/>
        <w:tabs>
          <w:tab w:leader="none" w:pos="10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shall deliver to the applicable Buyer official receipts, if any, in respect of any Canadian Taxes and Other Taxes payable hereunder promptly after payment of such Canadian Taxes, Other Taxes or other evidence of payment reasonably acceptable to such Buyer.</w:t>
      </w:r>
    </w:p>
    <w:p>
      <w:pPr>
        <w:spacing w:after="0" w:line="181" w:lineRule="exact"/>
        <w:rPr>
          <w:rFonts w:ascii="Arial" w:cs="Arial" w:eastAsia="Arial" w:hAnsi="Arial"/>
          <w:sz w:val="18"/>
          <w:szCs w:val="18"/>
          <w:color w:val="auto"/>
        </w:rPr>
      </w:pPr>
    </w:p>
    <w:p>
      <w:pPr>
        <w:jc w:val="both"/>
        <w:ind w:left="-380" w:firstLine="647"/>
        <w:spacing w:after="0" w:line="259" w:lineRule="auto"/>
        <w:tabs>
          <w:tab w:leader="none" w:pos="11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Company fails to pay any amounts in accordance with this Section 9(s), the Company shall indemnify the applicable Buyer within ten (10) calendar days after written demand therefor, for the full amount of any Canadian Taxes or Other Taxes, plus any related interest or penalties, that are paid by such Buyer to the Canada Revenue Agency or other relevant governmental authority as a result of such failure.</w:t>
      </w:r>
    </w:p>
    <w:p>
      <w:pPr>
        <w:spacing w:after="0" w:line="186" w:lineRule="exact"/>
        <w:rPr>
          <w:rFonts w:ascii="Arial" w:cs="Arial" w:eastAsia="Arial" w:hAnsi="Arial"/>
          <w:sz w:val="18"/>
          <w:szCs w:val="18"/>
          <w:color w:val="auto"/>
        </w:rPr>
      </w:pPr>
    </w:p>
    <w:p>
      <w:pPr>
        <w:ind w:left="-380" w:firstLine="647"/>
        <w:spacing w:after="0" w:line="277" w:lineRule="auto"/>
        <w:tabs>
          <w:tab w:leader="none" w:pos="10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9(s) shall survive the termination of this Agreement and the payment of all other amounts payable hereunder.</w:t>
      </w:r>
    </w:p>
    <w:p>
      <w:pPr>
        <w:spacing w:after="0" w:line="17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45" w:name="page46"/>
    <w:bookmarkEnd w:id="45"/>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OTHER BUYERS:</w:t>
      </w:r>
    </w:p>
    <w:p>
      <w:pPr>
        <w:spacing w:after="0" w:line="225" w:lineRule="exact"/>
        <w:rPr>
          <w:sz w:val="20"/>
          <w:szCs w:val="20"/>
          <w:color w:val="auto"/>
        </w:rPr>
      </w:pPr>
    </w:p>
    <w:p>
      <w:pPr>
        <w:ind w:left="4660"/>
        <w:spacing w:after="0"/>
        <w:tabs>
          <w:tab w:leader="none" w:pos="6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7" w:name="page48"/>
    <w:bookmarkEnd w:id="4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BUYERS: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IROQUOIS MASTER FUND LTD.</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46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SENIOR SECURED CONVERTIBLE NOTE]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18(a) HEREOF. THE PRINCIPAL AMOUNT REPRESENTED BY THIS NOTE AND, ACCORDINGLY, THE SECURITIES ISSUABLE UPON CONVERSION HEREOF MAY BE LESS THAN THE AMOUNTS SET FORTH ON THE FACE HEREOF PURSUANT TO SECTION 3(c)(iii) OF THIS NOTE.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AP</w:t>
      </w:r>
      <w:r>
        <w:rPr>
          <w:rFonts w:ascii="Arial" w:cs="Arial" w:eastAsia="Arial" w:hAnsi="Arial"/>
          <w:sz w:val="22"/>
          <w:szCs w:val="22"/>
          <w:color w:val="auto"/>
        </w:rPr>
        <w:t>I</w:t>
      </w:r>
      <w:r>
        <w:rPr>
          <w:rFonts w:ascii="Arial" w:cs="Arial" w:eastAsia="Arial" w:hAnsi="Arial"/>
          <w:sz w:val="14"/>
          <w:szCs w:val="14"/>
          <w:color w:val="auto"/>
        </w:rPr>
        <w:t>MMUNE</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ONVERTIBLE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p>
    <w:p>
      <w:pPr>
        <w:spacing w:after="0" w:line="229" w:lineRule="exact"/>
        <w:rPr>
          <w:sz w:val="20"/>
          <w:szCs w:val="20"/>
          <w:color w:val="auto"/>
        </w:rPr>
      </w:pPr>
    </w:p>
    <w:p>
      <w:pPr>
        <w:ind w:left="1640"/>
        <w:spacing w:after="0"/>
        <w:tabs>
          <w:tab w:leader="none" w:pos="6800" w:val="left"/>
        </w:tabs>
        <w:rPr>
          <w:sz w:val="20"/>
          <w:szCs w:val="20"/>
          <w:color w:val="auto"/>
        </w:rPr>
      </w:pPr>
      <w:r>
        <w:rPr>
          <w:rFonts w:ascii="Arial" w:cs="Arial" w:eastAsia="Arial" w:hAnsi="Arial"/>
          <w:sz w:val="18"/>
          <w:szCs w:val="18"/>
          <w:color w:val="auto"/>
        </w:rPr>
        <w:t>Issuance Date: May [___], 2010</w:t>
      </w:r>
      <w:r>
        <w:rPr>
          <w:sz w:val="20"/>
          <w:szCs w:val="20"/>
          <w:color w:val="auto"/>
        </w:rPr>
        <w:tab/>
      </w:r>
      <w:r>
        <w:rPr>
          <w:rFonts w:ascii="Arial" w:cs="Arial" w:eastAsia="Arial" w:hAnsi="Arial"/>
          <w:sz w:val="16"/>
          <w:szCs w:val="16"/>
          <w:color w:val="auto"/>
        </w:rPr>
        <w:t>Original Principal Amount: U.S. $[_________]</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 to the order of [BUYER] or its</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assigns (“</w:t>
      </w:r>
      <w:r>
        <w:rPr>
          <w:rFonts w:ascii="Arial" w:cs="Arial" w:eastAsia="Arial" w:hAnsi="Arial"/>
          <w:sz w:val="16"/>
          <w:szCs w:val="16"/>
          <w:b w:val="1"/>
          <w:bCs w:val="1"/>
          <w:color w:val="auto"/>
        </w:rPr>
        <w:t>Holder</w:t>
      </w:r>
      <w:r>
        <w:rPr>
          <w:rFonts w:ascii="Arial" w:cs="Arial" w:eastAsia="Arial" w:hAnsi="Arial"/>
          <w:sz w:val="16"/>
          <w:szCs w:val="16"/>
          <w:color w:val="auto"/>
        </w:rPr>
        <w:t>”) the amount set out above as the Original Principal Amount (as reduced pursuant to the terms hereof pursuant to redemption, conversion or otherwise, the “</w:t>
      </w:r>
      <w:r>
        <w:rPr>
          <w:rFonts w:ascii="Arial" w:cs="Arial" w:eastAsia="Arial" w:hAnsi="Arial"/>
          <w:sz w:val="16"/>
          <w:szCs w:val="16"/>
          <w:b w:val="1"/>
          <w:bCs w:val="1"/>
          <w:color w:val="auto"/>
        </w:rPr>
        <w:t>Principal</w:t>
      </w:r>
      <w:r>
        <w:rPr>
          <w:rFonts w:ascii="Arial" w:cs="Arial" w:eastAsia="Arial" w:hAnsi="Arial"/>
          <w:sz w:val="16"/>
          <w:szCs w:val="16"/>
          <w:color w:val="auto"/>
        </w:rPr>
        <w:t>”) when due, whether upon the Maturity Date, on any Installment Date with respect to the Installment Amount due on such Installment Date (each as defined below), acceleration, redemption or otherwise (in each case in accordance with the terms hereof) and to pay inte rest (“</w:t>
      </w:r>
      <w:r>
        <w:rPr>
          <w:rFonts w:ascii="Arial" w:cs="Arial" w:eastAsia="Arial" w:hAnsi="Arial"/>
          <w:sz w:val="16"/>
          <w:szCs w:val="16"/>
          <w:b w:val="1"/>
          <w:bCs w:val="1"/>
          <w:color w:val="auto"/>
        </w:rPr>
        <w:t>Interest</w:t>
      </w:r>
      <w:r>
        <w:rPr>
          <w:rFonts w:ascii="Arial" w:cs="Arial" w:eastAsia="Arial" w:hAnsi="Arial"/>
          <w:sz w:val="16"/>
          <w:szCs w:val="16"/>
          <w:color w:val="auto"/>
        </w:rPr>
        <w:t>”) on any outstanding Principal (as defined below) at the applicable Interest Rate (as defined below) from the date set out above as the Issuance Date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same becomes due and payable, whether upon any Installment Date or the Maturity Date or acceleration, conversion, redemption or otherwise (in each case in accordance with the terms hereof). This Senior Secured Convertible Note (including all Senior Secured Convertible Notes issued in exchange, transfer or replacement hereof, this “</w:t>
      </w:r>
      <w:r>
        <w:rPr>
          <w:rFonts w:ascii="Arial" w:cs="Arial" w:eastAsia="Arial" w:hAnsi="Arial"/>
          <w:sz w:val="16"/>
          <w:szCs w:val="16"/>
          <w:b w:val="1"/>
          <w:bCs w:val="1"/>
          <w:color w:val="auto"/>
        </w:rPr>
        <w:t>Note</w:t>
      </w:r>
      <w:r>
        <w:rPr>
          <w:rFonts w:ascii="Arial" w:cs="Arial" w:eastAsia="Arial" w:hAnsi="Arial"/>
          <w:sz w:val="16"/>
          <w:szCs w:val="16"/>
          <w:color w:val="auto"/>
        </w:rPr>
        <w:t>”) is one of an issue of Senior Secured Convertible Notes issued pursuant to the Securities Purchase Agreement (as defined below) on the Closing Date (as defined below) (collectively, the “Notes” and such other Senior Secured Convertible Notes, the “</w:t>
      </w:r>
      <w:r>
        <w:rPr>
          <w:rFonts w:ascii="Arial" w:cs="Arial" w:eastAsia="Arial" w:hAnsi="Arial"/>
          <w:sz w:val="16"/>
          <w:szCs w:val="16"/>
          <w:b w:val="1"/>
          <w:bCs w:val="1"/>
          <w:color w:val="auto"/>
        </w:rPr>
        <w:t>Other Notes</w:t>
      </w:r>
      <w:r>
        <w:rPr>
          <w:rFonts w:ascii="Arial" w:cs="Arial" w:eastAsia="Arial" w:hAnsi="Arial"/>
          <w:sz w:val="16"/>
          <w:szCs w:val="16"/>
          <w:color w:val="auto"/>
        </w:rPr>
        <w:t>”). Certain capitalized terms used herein are defined in Section 28.</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49" w:name="page50"/>
    <w:bookmarkEnd w:id="49"/>
    <w:p>
      <w:pPr>
        <w:jc w:val="both"/>
        <w:ind w:right="20" w:firstLine="656"/>
        <w:spacing w:after="0" w:line="264" w:lineRule="auto"/>
        <w:tabs>
          <w:tab w:leader="none" w:pos="145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PAYMENTS OF PRINCIPAL</w:t>
      </w:r>
      <w:r>
        <w:rPr>
          <w:rFonts w:ascii="Arial" w:cs="Arial" w:eastAsia="Arial" w:hAnsi="Arial"/>
          <w:sz w:val="18"/>
          <w:szCs w:val="18"/>
          <w:color w:val="auto"/>
        </w:rPr>
        <w:t>. On each Installment Date (which includes the Maturity Date), the Company shall pay to the Holder an amount equal to the Installment Amount due on such Installment Date in accordance with Section 8. Other than as specifically permitted by this Note, the Company may not prepay any portion of the outstanding Principal or any accrued and unpaid Interest.</w:t>
      </w:r>
    </w:p>
    <w:p>
      <w:pPr>
        <w:spacing w:after="0" w:line="181" w:lineRule="exact"/>
        <w:rPr>
          <w:rFonts w:ascii="Arial" w:cs="Arial" w:eastAsia="Arial" w:hAnsi="Arial"/>
          <w:sz w:val="18"/>
          <w:szCs w:val="18"/>
          <w:color w:val="auto"/>
        </w:rPr>
      </w:pPr>
    </w:p>
    <w:p>
      <w:pPr>
        <w:jc w:val="both"/>
        <w:ind w:firstLine="656"/>
        <w:spacing w:after="0" w:line="271" w:lineRule="auto"/>
        <w:tabs>
          <w:tab w:leader="none" w:pos="130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INTEREST; INTEREST RATE</w:t>
      </w:r>
      <w:r>
        <w:rPr>
          <w:rFonts w:ascii="Arial" w:cs="Arial" w:eastAsia="Arial" w:hAnsi="Arial"/>
          <w:sz w:val="17"/>
          <w:szCs w:val="17"/>
          <w:color w:val="auto"/>
        </w:rPr>
        <w:t>. No Interest shall accrue on this Note prior to the occurrence of an Event of Default, in which case Interest on this Note shall commence accruing on the occurrence of such Event of Default, shall accrue daily at the Interest Rate on the outstanding Principal amount from time to time, shall be computed on the basis of a 360-day year comprised of twelve (12) thirty (30) day months, shall compound each Quarter and shall be payable in accordance with the terms of this Note. From and after the occurrence and during the continuance of any Event of Default, the Interest Rate shall automatically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78" w:lineRule="exact"/>
        <w:rPr>
          <w:rFonts w:ascii="Arial" w:cs="Arial" w:eastAsia="Arial" w:hAnsi="Arial"/>
          <w:sz w:val="17"/>
          <w:szCs w:val="17"/>
          <w:color w:val="auto"/>
        </w:rPr>
      </w:pPr>
    </w:p>
    <w:p>
      <w:pPr>
        <w:ind w:firstLine="656"/>
        <w:spacing w:after="0" w:line="277" w:lineRule="auto"/>
        <w:tabs>
          <w:tab w:leader="none" w:pos="129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CONVERSION OF NOTES</w:t>
      </w:r>
      <w:r>
        <w:rPr>
          <w:rFonts w:ascii="Arial" w:cs="Arial" w:eastAsia="Arial" w:hAnsi="Arial"/>
          <w:sz w:val="18"/>
          <w:szCs w:val="18"/>
          <w:color w:val="auto"/>
        </w:rPr>
        <w:t>. This Note shall be convertible into fully paid and non-assessable shares of Common Stock (as defined below), on the terms and conditions set forth in this Section 3.</w:t>
      </w:r>
    </w:p>
    <w:p>
      <w:pPr>
        <w:spacing w:after="0" w:line="170" w:lineRule="exact"/>
        <w:rPr>
          <w:rFonts w:ascii="Arial" w:cs="Arial" w:eastAsia="Arial" w:hAnsi="Arial"/>
          <w:sz w:val="18"/>
          <w:szCs w:val="18"/>
          <w:color w:val="auto"/>
        </w:rPr>
      </w:pPr>
    </w:p>
    <w:p>
      <w:pPr>
        <w:jc w:val="both"/>
        <w:ind w:left="660" w:firstLine="645"/>
        <w:spacing w:after="0" w:line="293" w:lineRule="auto"/>
        <w:tabs>
          <w:tab w:leader="none" w:pos="2017"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Conversion Right</w:t>
      </w:r>
      <w:r>
        <w:rPr>
          <w:rFonts w:ascii="Arial" w:cs="Arial" w:eastAsia="Arial" w:hAnsi="Arial"/>
          <w:sz w:val="16"/>
          <w:szCs w:val="16"/>
          <w:color w:val="auto"/>
        </w:rPr>
        <w:t>. Subject to the provisions of Section 3(d), at any time or times on or after the Issuance Date, the Holder shall be entitled to convert any portion of the outstanding and unpaid Conversion Amount (as defined below) into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that may be payable with respect to the issuance and delivery of Common Stock upon conversion of any Conversion Amount.</w:t>
      </w:r>
    </w:p>
    <w:p>
      <w:pPr>
        <w:spacing w:after="0" w:line="164" w:lineRule="exact"/>
        <w:rPr>
          <w:rFonts w:ascii="Arial" w:cs="Arial" w:eastAsia="Arial" w:hAnsi="Arial"/>
          <w:sz w:val="16"/>
          <w:szCs w:val="16"/>
          <w:color w:val="auto"/>
        </w:rPr>
      </w:pPr>
    </w:p>
    <w:p>
      <w:pPr>
        <w:ind w:left="660" w:firstLine="645"/>
        <w:spacing w:after="0" w:line="308" w:lineRule="auto"/>
        <w:tabs>
          <w:tab w:leader="none" w:pos="2189"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Conversion Rate</w:t>
      </w:r>
      <w:r>
        <w:rPr>
          <w:rFonts w:ascii="Arial" w:cs="Arial" w:eastAsia="Arial" w:hAnsi="Arial"/>
          <w:sz w:val="17"/>
          <w:szCs w:val="17"/>
          <w:color w:val="auto"/>
        </w:rPr>
        <w:t>. The number of shares of Common Stock issuable upon conversion of any Conversion Amount pursuant to Section 3(a) shall be determined by dividing (x) such Conversion Amount by (y) the Conversion Price (the “</w:t>
      </w:r>
      <w:r>
        <w:rPr>
          <w:rFonts w:ascii="Arial" w:cs="Arial" w:eastAsia="Arial" w:hAnsi="Arial"/>
          <w:sz w:val="17"/>
          <w:szCs w:val="17"/>
          <w:b w:val="1"/>
          <w:bCs w:val="1"/>
          <w:color w:val="auto"/>
        </w:rPr>
        <w:t>Conversion Rate</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980" w:firstLine="973"/>
        <w:spacing w:after="0" w:line="313" w:lineRule="auto"/>
        <w:tabs>
          <w:tab w:leader="none" w:pos="2658" w:val="left"/>
        </w:tabs>
        <w:numPr>
          <w:ilvl w:val="2"/>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Amount</w:t>
      </w:r>
      <w:r>
        <w:rPr>
          <w:rFonts w:ascii="Arial" w:cs="Arial" w:eastAsia="Arial" w:hAnsi="Arial"/>
          <w:sz w:val="17"/>
          <w:szCs w:val="17"/>
          <w:color w:val="auto"/>
        </w:rPr>
        <w:t>” means the portion of the Principal to be converted, redeemed or otherwise with respect to which this determination is being made, plus all accrued and unpaid Interest with respect to such portion of the Principal amount.</w:t>
      </w:r>
    </w:p>
    <w:p>
      <w:pPr>
        <w:spacing w:after="0" w:line="138" w:lineRule="exact"/>
        <w:rPr>
          <w:rFonts w:ascii="Arial" w:cs="Arial" w:eastAsia="Arial" w:hAnsi="Arial"/>
          <w:sz w:val="17"/>
          <w:szCs w:val="17"/>
          <w:color w:val="auto"/>
        </w:rPr>
      </w:pPr>
    </w:p>
    <w:p>
      <w:pPr>
        <w:ind w:left="2760" w:hanging="807"/>
        <w:spacing w:after="0"/>
        <w:tabs>
          <w:tab w:leader="none" w:pos="2760" w:val="left"/>
        </w:tabs>
        <w:numPr>
          <w:ilvl w:val="2"/>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Price</w:t>
      </w:r>
      <w:r>
        <w:rPr>
          <w:rFonts w:ascii="Arial" w:cs="Arial" w:eastAsia="Arial" w:hAnsi="Arial"/>
          <w:sz w:val="16"/>
          <w:szCs w:val="16"/>
          <w:color w:val="auto"/>
        </w:rPr>
        <w:t>” means, as of any Conversion Date or other date of determination, $0.30, subject to adjustment as</w:t>
      </w:r>
    </w:p>
    <w:p>
      <w:pPr>
        <w:spacing w:after="0" w:line="5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provided herein.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ind w:left="800" w:hanging="695"/>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220" w:firstLine="973"/>
        <w:spacing w:after="0" w:line="274" w:lineRule="auto"/>
        <w:tabs>
          <w:tab w:leader="none" w:pos="1566"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To convert any Conversion Amount into shares of Common Stock on any date (a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Holder shall deliver (whether via facsimile or otherwise), for receipt on or prior to 11:59 p.m., New York time, on such date, a copy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 executed notice of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Company. If required by Section 3(c)(iii), within three (3) Trading Days following a conversion of this Note as aforesaid, the Holder shall surre nder this Note to a nationally recognized overnight delivery service for delivery to the Company (or an indemnification undertaking with respect to this Note in the case of its loss, theft or destruction as contemplated by Section 18(b)). On or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Trading Day following the date of receipt of a Conversion Notice, the Company shall transmit by facsimile an acknowledgment of confirmation of receipt of such Conversion Notice, in the form attached hereto as </w:t>
      </w:r>
      <w:r>
        <w:rPr>
          <w:rFonts w:ascii="Arial" w:cs="Arial" w:eastAsia="Arial" w:hAnsi="Arial"/>
          <w:sz w:val="16"/>
          <w:szCs w:val="16"/>
          <w:u w:val="single" w:color="auto"/>
          <w:color w:val="auto"/>
        </w:rPr>
        <w:t>Exhibit II</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second (2</w:t>
      </w:r>
      <w:r>
        <w:rPr>
          <w:rFonts w:ascii="Arial" w:cs="Arial" w:eastAsia="Arial" w:hAnsi="Arial"/>
          <w:sz w:val="22"/>
          <w:szCs w:val="22"/>
          <w:color w:val="auto"/>
          <w:vertAlign w:val="superscript"/>
        </w:rPr>
        <w:t>nd</w:t>
      </w:r>
      <w:r>
        <w:rPr>
          <w:rFonts w:ascii="Arial" w:cs="Arial" w:eastAsia="Arial" w:hAnsi="Arial"/>
          <w:sz w:val="16"/>
          <w:szCs w:val="16"/>
          <w:color w:val="auto"/>
        </w:rPr>
        <w:t>) Trading Day following the date of receipt of a Conversion Notice, the Company shall (1) provided that the Transfer Agent is participatin g in The Depository Trust Company’s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credit such aggregate number of shares of Common Stock to which the Holder shall be entitled to the Holder’s or its designee’s balance account with DTC through its Deposit Withdrawal at Custodian system or (2) if the Transfer Agent is not participating in the DTC Fast Automated Securities Transfer Program, issue and deliver (via reputable overnight courier) to the address as specified in the Conversion Notice, a certificate, registered in the name of the Holder or its designee, for the number of shares of Common Stock to which the Holder shall be entitled. If this Note is physically surrendered pursuant to Section 3(c)(iii) and the outstanding Principal of this Note is greater than the Principal portion of the Conversion Amount being converted, then the Company shall as soon as practicable and in no event later than five (5) Business Day s after receipt of this Note and at its own expense, issue and deliver to the Holder (or its designee) a new Note (in accordance with Section 18(d))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In the event of a partial conversion of this Note pursuant hereto, the Principal amount converted shall be deducted from the Installment Amount(s) relating to the Installment Date(s) as set forth in the applicable Conversion Notice.</w:t>
      </w:r>
    </w:p>
    <w:p>
      <w:pPr>
        <w:spacing w:after="0" w:line="399" w:lineRule="exact"/>
        <w:rPr>
          <w:rFonts w:ascii="Arial" w:cs="Arial" w:eastAsia="Arial" w:hAnsi="Arial"/>
          <w:sz w:val="16"/>
          <w:szCs w:val="16"/>
          <w:color w:val="auto"/>
        </w:rPr>
      </w:pPr>
    </w:p>
    <w:p>
      <w:pPr>
        <w:jc w:val="both"/>
        <w:ind w:left="-220" w:firstLine="973"/>
        <w:spacing w:after="0" w:line="255" w:lineRule="auto"/>
        <w:tabs>
          <w:tab w:leader="none" w:pos="152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Company’s Failure to Timely Convert</w:t>
      </w:r>
      <w:r>
        <w:rPr>
          <w:rFonts w:ascii="Arial" w:cs="Arial" w:eastAsia="Arial" w:hAnsi="Arial"/>
          <w:sz w:val="18"/>
          <w:szCs w:val="18"/>
          <w:color w:val="auto"/>
        </w:rPr>
        <w:t>. If the Company shall fail, for any reason or for no reason, to issue to the Holder within three (3) Trading Days after the Company’s receipt of a Conversion Notice (whether via facsimile or otherwise), a certificate for the number of shares of Common Stock to which the Holder is entitled and register such shares of Common Stock on the Company’s share register or to credit the Holder’s or its designee’s balance account with DTC for such number of shares of Common Stock to which the Holder is entitled upon the Holder’s conversion of any Conversion Amount (as the case may be) (a “</w:t>
      </w:r>
      <w:r>
        <w:rPr>
          <w:rFonts w:ascii="Arial" w:cs="Arial" w:eastAsia="Arial" w:hAnsi="Arial"/>
          <w:sz w:val="18"/>
          <w:szCs w:val="18"/>
          <w:b w:val="1"/>
          <w:bCs w:val="1"/>
          <w:color w:val="auto"/>
        </w:rPr>
        <w:t>Conversion Failure</w:t>
      </w:r>
      <w:r>
        <w:rPr>
          <w:rFonts w:ascii="Arial" w:cs="Arial" w:eastAsia="Arial" w:hAnsi="Arial"/>
          <w:sz w:val="18"/>
          <w:szCs w:val="18"/>
          <w:color w:val="auto"/>
        </w:rPr>
        <w:t>”), then, in addition to all other remedies available to the Holder, (1) the</w:t>
      </w:r>
    </w:p>
    <w:p>
      <w:pPr>
        <w:spacing w:after="0" w:line="200" w:lineRule="exact"/>
        <w:rPr>
          <w:sz w:val="20"/>
          <w:szCs w:val="20"/>
          <w:color w:val="auto"/>
        </w:rPr>
      </w:pPr>
    </w:p>
    <w:p>
      <w:pPr>
        <w:spacing w:after="0" w:line="3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51" w:name="page52"/>
    <w:bookmarkEnd w:id="51"/>
    <w:p>
      <w:pPr>
        <w:jc w:val="both"/>
        <w:spacing w:after="0" w:line="274" w:lineRule="auto"/>
        <w:rPr>
          <w:sz w:val="20"/>
          <w:szCs w:val="20"/>
          <w:color w:val="auto"/>
        </w:rPr>
      </w:pPr>
      <w:r>
        <w:rPr>
          <w:rFonts w:ascii="Arial" w:cs="Arial" w:eastAsia="Arial" w:hAnsi="Arial"/>
          <w:sz w:val="16"/>
          <w:szCs w:val="16"/>
          <w:color w:val="auto"/>
        </w:rPr>
        <w:t>Company shall pay in cash to the Holder on each day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sum of the number of shares of Common Stock not issued to the Holder on a timely basis and to which the Holder is entitled multiplied by (B) the Closing Sale Price of the Common Stock on the Trading Day immediately preceding the last possible date which the Company could have issued such shares of Common Stock to the Holder without violating Section 3(c)(i) and (2) the Holder, upon written notice to the Company, may void its Conversion Notice with respect to, and retain or have returned (as the case may be) any portion of this Note that has not been conv 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within three (3) Trading Days after the Company’s receipt of a Conversion Notice (whether via facsimile or otherwise), the Company shall fail to issue and deliver a certificate to the Holder and register such shares of Common Stock on the Company’s share register or credit the Holder’s or its designee’s balance account with DTC for the number of shares of Common Stock to which the Holder is entitled upon the Holder’s conversion hereunder (as the case may be), and if on or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 faction of a sale by the Holder of shares of Common Stock issuable upon such conversion that the Holder anticipated receiving from the Company, then, in addition to all other remedies available to the Holder, the Company shall, within five (5) Business Days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shall terminate, or (ii) promptly honor its obligation to deliver to the Holder a certificate or certificates representing such shares of Common Stock or credit the Holder’s balance account with DTC for the number of shares of Common Stock to which the Holder is ent itled upon the Holder’s conversion hereunder (as the case may be) and pay cash to the Holder in an amount equal to the excess (if any) of the Buy-In Price over the product of (A) such number of shares of Common Stock multiplied by (B) the Closing Sale Price of the Common Stock on the Trading Day immediately preceding the Conversion Date.</w:t>
      </w:r>
    </w:p>
    <w:p>
      <w:pPr>
        <w:spacing w:after="0" w:line="185" w:lineRule="exact"/>
        <w:rPr>
          <w:sz w:val="20"/>
          <w:szCs w:val="20"/>
          <w:color w:val="auto"/>
        </w:rPr>
      </w:pPr>
    </w:p>
    <w:p>
      <w:pPr>
        <w:jc w:val="both"/>
        <w:ind w:firstLine="973"/>
        <w:spacing w:after="0" w:line="254" w:lineRule="auto"/>
        <w:tabs>
          <w:tab w:leader="none" w:pos="181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Book-Entry</w:t>
      </w:r>
      <w:r>
        <w:rPr>
          <w:rFonts w:ascii="Arial" w:cs="Arial" w:eastAsia="Arial" w:hAnsi="Arial"/>
          <w:sz w:val="18"/>
          <w:szCs w:val="18"/>
          <w:color w:val="auto"/>
        </w:rPr>
        <w:t>. Notwithstanding anything to the contrary set forth herein, upon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and/or paid (as the case may be) and the dates of such conversions and/or payments (as the case may be) or shall use such other method, reasonably satisfactory to the Holder and the Company, so as not to require physical surrender of this Note upon conversion.</w:t>
      </w:r>
    </w:p>
    <w:p>
      <w:pPr>
        <w:spacing w:after="0" w:line="200" w:lineRule="exact"/>
        <w:rPr>
          <w:sz w:val="20"/>
          <w:szCs w:val="20"/>
          <w:color w:val="auto"/>
        </w:rPr>
      </w:pPr>
    </w:p>
    <w:p>
      <w:pPr>
        <w:spacing w:after="0" w:line="3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73025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1220" w:top="490" w:right="239" w:bottom="1440" w:gutter="0" w:footer="0" w:header="0"/>
        </w:sectPr>
      </w:pPr>
    </w:p>
    <w:bookmarkStart w:id="52" w:name="page53"/>
    <w:bookmarkEnd w:id="52"/>
    <w:p>
      <w:pPr>
        <w:jc w:val="both"/>
        <w:ind w:left="980" w:firstLine="973"/>
        <w:spacing w:after="0" w:line="291" w:lineRule="auto"/>
        <w:tabs>
          <w:tab w:leader="none" w:pos="2734"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Pro Rata Conversion; Disputes</w:t>
      </w:r>
      <w:r>
        <w:rPr>
          <w:rFonts w:ascii="Arial" w:cs="Arial" w:eastAsia="Arial" w:hAnsi="Arial"/>
          <w:sz w:val="16"/>
          <w:szCs w:val="16"/>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23.</w:t>
      </w:r>
    </w:p>
    <w:p>
      <w:pPr>
        <w:spacing w:after="0" w:line="167" w:lineRule="exact"/>
        <w:rPr>
          <w:rFonts w:ascii="Arial" w:cs="Arial" w:eastAsia="Arial" w:hAnsi="Arial"/>
          <w:sz w:val="16"/>
          <w:szCs w:val="16"/>
          <w:color w:val="auto"/>
        </w:rPr>
      </w:pPr>
    </w:p>
    <w:p>
      <w:pPr>
        <w:jc w:val="both"/>
        <w:ind w:firstLine="1305"/>
        <w:spacing w:after="0" w:line="285" w:lineRule="auto"/>
        <w:tabs>
          <w:tab w:leader="none" w:pos="200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Limitations on Conversions</w:t>
      </w:r>
      <w:r>
        <w:rPr>
          <w:rFonts w:ascii="Arial" w:cs="Arial" w:eastAsia="Arial" w:hAnsi="Arial"/>
          <w:sz w:val="16"/>
          <w:szCs w:val="16"/>
          <w:color w:val="auto"/>
        </w:rPr>
        <w:t>. Notwithstanding anything to the contrary contained in this Note, this Note shall not be convertible by the Holder hereof, and the Company shall not effect any conversion of this Note or otherwise issue any shares of Common Stock pursuant to Section 8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To the extent the above limitation applies, the determination of whether this Note shall be convertible (vis-à-vis other convertible, exercisable or exchangeable securities owned by the Holder or any of its affiliates) shall, subject to such Maximum Percentage limitation, be determined on the basis of the first submission to the Company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 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Note.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Securities Purchase Agreement. Each delivery of a Conversion Notice by the Holder will constitute a representation by the Holder that it has evaluated the limitation set forth in this paragraph and determined that issuance of the full number of shares of Common Stock requested by the Holder in such Conversion Notice is permitted under this paragraph.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p>
      <w:pPr>
        <w:ind w:left="624" w:hanging="624"/>
        <w:spacing w:after="0"/>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344" w:hanging="695"/>
        <w:spacing w:after="0"/>
        <w:tabs>
          <w:tab w:leader="none" w:pos="134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4" w:firstLine="973"/>
        <w:spacing w:after="0" w:line="259" w:lineRule="auto"/>
        <w:tabs>
          <w:tab w:leader="none" w:pos="1997"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failure of the applicable Registration Statement (as defined in the Registration Rights Agreement) to be filed with the SEC on or prior to the date that is ten (10) days after the applicable Filing Deadline (as defined in the Registration Rights Agreement) or the failure of the applicable Registration Statement to be declared effective by the SEC on or prior to the date that is ten (10) days after the applicable Effectiveness Deadline (as defined in the Registration Rights Agreement);</w:t>
      </w:r>
    </w:p>
    <w:p>
      <w:pPr>
        <w:spacing w:after="0" w:line="186" w:lineRule="exact"/>
        <w:rPr>
          <w:rFonts w:ascii="Arial" w:cs="Arial" w:eastAsia="Arial" w:hAnsi="Arial"/>
          <w:sz w:val="18"/>
          <w:szCs w:val="18"/>
          <w:color w:val="auto"/>
        </w:rPr>
      </w:pPr>
    </w:p>
    <w:p>
      <w:pPr>
        <w:jc w:val="both"/>
        <w:ind w:left="324" w:firstLine="973"/>
        <w:spacing w:after="0" w:line="270" w:lineRule="auto"/>
        <w:tabs>
          <w:tab w:leader="none" w:pos="2363" w:val="left"/>
        </w:tabs>
        <w:numPr>
          <w:ilvl w:val="2"/>
          <w:numId w:val="61"/>
        </w:numPr>
        <w:rPr>
          <w:rFonts w:ascii="Arial" w:cs="Arial" w:eastAsia="Arial" w:hAnsi="Arial"/>
          <w:sz w:val="17"/>
          <w:szCs w:val="17"/>
          <w:color w:val="auto"/>
        </w:rPr>
      </w:pPr>
      <w:r>
        <w:rPr>
          <w:rFonts w:ascii="Arial" w:cs="Arial" w:eastAsia="Arial" w:hAnsi="Arial"/>
          <w:sz w:val="17"/>
          <w:szCs w:val="17"/>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(but taking account of any required cutback of Registrable Securities on such Registration Statement pursuant to, and in accordance with, Section 2(f) of the Registration Rights Agreement ), and (I) such lapse or unavailability continues for a period of five (5) consecutive days or for more than an aggregate of ten (10) days in any 365-day period (excluding days during an Allowable Grace Period (as defined in the Registration Rights Agreement)) and (II) any such holder does not then have the right to sell all of such holder’s Registrable Securities without restriction pursuant to Rule 144 (including, without limitation, volume limitations) and without the need for current public information required by Rule 144(c)(1) (or Rule 144(i)(2), if applicable);</w:t>
      </w:r>
    </w:p>
    <w:p>
      <w:pPr>
        <w:spacing w:after="0" w:line="177" w:lineRule="exact"/>
        <w:rPr>
          <w:rFonts w:ascii="Arial" w:cs="Arial" w:eastAsia="Arial" w:hAnsi="Arial"/>
          <w:sz w:val="17"/>
          <w:szCs w:val="17"/>
          <w:color w:val="auto"/>
        </w:rPr>
      </w:pPr>
    </w:p>
    <w:p>
      <w:pPr>
        <w:jc w:val="both"/>
        <w:ind w:left="324" w:firstLine="973"/>
        <w:spacing w:after="0" w:line="264" w:lineRule="auto"/>
        <w:tabs>
          <w:tab w:leader="none" w:pos="2107"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suspension (or threatened suspension) from trading or the failure (or threatened failure) of the Common Stock to be trading or listed (as applicable) on an Eligible Market for a period of five (5) consecutive days or for more than an aggregate of ten (10) days in any 365-day period;</w:t>
      </w:r>
    </w:p>
    <w:p>
      <w:pPr>
        <w:spacing w:after="0" w:line="181" w:lineRule="exact"/>
        <w:rPr>
          <w:rFonts w:ascii="Arial" w:cs="Arial" w:eastAsia="Arial" w:hAnsi="Arial"/>
          <w:sz w:val="18"/>
          <w:szCs w:val="18"/>
          <w:color w:val="auto"/>
        </w:rPr>
      </w:pPr>
    </w:p>
    <w:p>
      <w:pPr>
        <w:jc w:val="both"/>
        <w:ind w:left="324" w:firstLine="973"/>
        <w:spacing w:after="0" w:line="273" w:lineRule="auto"/>
        <w:tabs>
          <w:tab w:leader="none" w:pos="2075"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Company’s (A) failure to cure a Conversion Failure or a Delivery Failure (as defined in the Warrants) by delivery of the required number of shares of Common Stock within five (5) Trading Days after the applicable Conversion Date or exercise date (as the case may be) or (B) notice, written or oral, to any holder of the Notes or Warrants,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or a request for exercise of any Warrants for Warrant Shares in accordance with the provisions of the W arrants;</w:t>
      </w:r>
    </w:p>
    <w:p>
      <w:pPr>
        <w:spacing w:after="0" w:line="200" w:lineRule="exact"/>
        <w:rPr>
          <w:sz w:val="20"/>
          <w:szCs w:val="20"/>
          <w:color w:val="auto"/>
        </w:rPr>
      </w:pPr>
    </w:p>
    <w:p>
      <w:pPr>
        <w:spacing w:after="0" w:line="34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54" w:name="page55"/>
    <w:bookmarkEnd w:id="54"/>
    <w:p>
      <w:pPr>
        <w:jc w:val="both"/>
        <w:ind w:firstLine="973"/>
        <w:spacing w:after="0" w:line="226" w:lineRule="auto"/>
        <w:tabs>
          <w:tab w:leader="none" w:pos="184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at any time following the tenth (10</w:t>
      </w:r>
      <w:r>
        <w:rPr>
          <w:rFonts w:ascii="Arial" w:cs="Arial" w:eastAsia="Arial" w:hAnsi="Arial"/>
          <w:sz w:val="25"/>
          <w:szCs w:val="25"/>
          <w:color w:val="auto"/>
          <w:vertAlign w:val="superscript"/>
        </w:rPr>
        <w:t>th</w:t>
      </w:r>
      <w:r>
        <w:rPr>
          <w:rFonts w:ascii="Arial" w:cs="Arial" w:eastAsia="Arial" w:hAnsi="Arial"/>
          <w:sz w:val="18"/>
          <w:szCs w:val="18"/>
          <w:color w:val="auto"/>
        </w:rPr>
        <w:t>) consecutive day that the Holder’s Authorized Share Allocation is less than the number of shares of Common Stock that the Holder would be entitled to receive upon a conversion of the full Conversion Amount of this Note (without regard to any limitations on conversion set forth in Section 3(d) or otherwise);</w:t>
      </w:r>
    </w:p>
    <w:p>
      <w:pPr>
        <w:spacing w:after="0" w:line="203" w:lineRule="exact"/>
        <w:rPr>
          <w:rFonts w:ascii="Arial" w:cs="Arial" w:eastAsia="Arial" w:hAnsi="Arial"/>
          <w:sz w:val="18"/>
          <w:szCs w:val="18"/>
          <w:color w:val="auto"/>
        </w:rPr>
      </w:pPr>
    </w:p>
    <w:p>
      <w:pPr>
        <w:jc w:val="both"/>
        <w:ind w:firstLine="973"/>
        <w:spacing w:after="0" w:line="276" w:lineRule="auto"/>
        <w:tabs>
          <w:tab w:leader="none" w:pos="1757"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Company’s or any Subsidiary’s failure to pay to the Holder any amount of Principal, Interest or other amounts when and as due under this Note (including, without limitation, the Company’s or any Subsidiary’s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when and as due, in which case only if such failure remains uncured for a period of at least five (5) days;</w:t>
      </w:r>
    </w:p>
    <w:p>
      <w:pPr>
        <w:spacing w:after="0" w:line="172" w:lineRule="exact"/>
        <w:rPr>
          <w:rFonts w:ascii="Arial" w:cs="Arial" w:eastAsia="Arial" w:hAnsi="Arial"/>
          <w:sz w:val="17"/>
          <w:szCs w:val="17"/>
          <w:color w:val="auto"/>
        </w:rPr>
      </w:pPr>
    </w:p>
    <w:p>
      <w:pPr>
        <w:jc w:val="both"/>
        <w:ind w:firstLine="973"/>
        <w:spacing w:after="0" w:line="279" w:lineRule="auto"/>
        <w:tabs>
          <w:tab w:leader="none" w:pos="1916"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Company fails to remove any restrictive legend on any certificate or any shares of Common Stock issued to the Holder upon conversion or exercise (as the case may be) of any Securities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days;</w:t>
      </w:r>
    </w:p>
    <w:p>
      <w:pPr>
        <w:spacing w:after="0" w:line="171" w:lineRule="exact"/>
        <w:rPr>
          <w:rFonts w:ascii="Arial" w:cs="Arial" w:eastAsia="Arial" w:hAnsi="Arial"/>
          <w:sz w:val="17"/>
          <w:szCs w:val="17"/>
          <w:color w:val="auto"/>
        </w:rPr>
      </w:pPr>
    </w:p>
    <w:p>
      <w:pPr>
        <w:jc w:val="both"/>
        <w:ind w:firstLine="973"/>
        <w:spacing w:after="0" w:line="291" w:lineRule="auto"/>
        <w:tabs>
          <w:tab w:leader="none" w:pos="1868"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occurrence of any default under, redemption of or acceleration prior to maturity of any Indebtedness (as defined in the Securities Purchase Agreement) of the Company or any of its Subsidiaries, other than with respect to (A) Permitted Senior Indebtedness and</w:t>
      </w:r>
    </w:p>
    <w:p>
      <w:pPr>
        <w:ind w:left="280" w:hanging="280"/>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Notes;</w:t>
      </w:r>
    </w:p>
    <w:p>
      <w:pPr>
        <w:spacing w:after="0" w:line="210" w:lineRule="exact"/>
        <w:rPr>
          <w:rFonts w:ascii="Arial" w:cs="Arial" w:eastAsia="Arial" w:hAnsi="Arial"/>
          <w:sz w:val="18"/>
          <w:szCs w:val="18"/>
          <w:color w:val="auto"/>
        </w:rPr>
      </w:pPr>
    </w:p>
    <w:p>
      <w:pPr>
        <w:jc w:val="both"/>
        <w:ind w:firstLine="973"/>
        <w:spacing w:after="0" w:line="264" w:lineRule="auto"/>
        <w:tabs>
          <w:tab w:leader="none" w:pos="17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181" w:lineRule="exact"/>
        <w:rPr>
          <w:rFonts w:ascii="Arial" w:cs="Arial" w:eastAsia="Arial" w:hAnsi="Arial"/>
          <w:sz w:val="18"/>
          <w:szCs w:val="18"/>
          <w:color w:val="auto"/>
        </w:rPr>
      </w:pPr>
    </w:p>
    <w:p>
      <w:pPr>
        <w:jc w:val="both"/>
        <w:ind w:firstLine="973"/>
        <w:spacing w:after="0" w:line="287" w:lineRule="auto"/>
        <w:tabs>
          <w:tab w:leader="none" w:pos="1762"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 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UCC foreclosure sale or any other similar action under federal, state or foreign law;</w:t>
      </w:r>
    </w:p>
    <w:p>
      <w:pPr>
        <w:spacing w:after="0" w:line="200" w:lineRule="exact"/>
        <w:rPr>
          <w:sz w:val="20"/>
          <w:szCs w:val="20"/>
          <w:color w:val="auto"/>
        </w:rPr>
      </w:pPr>
    </w:p>
    <w:p>
      <w:pPr>
        <w:spacing w:after="0" w:line="33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73025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1220" w:top="490" w:right="239" w:bottom="1440" w:gutter="0" w:footer="0" w:header="0"/>
        </w:sectPr>
      </w:pPr>
    </w:p>
    <w:bookmarkStart w:id="55" w:name="page56"/>
    <w:bookmarkEnd w:id="55"/>
    <w:p>
      <w:pPr>
        <w:jc w:val="both"/>
        <w:ind w:left="-220" w:firstLine="973"/>
        <w:spacing w:after="0" w:line="270" w:lineRule="auto"/>
        <w:tabs>
          <w:tab w:leader="none" w:pos="173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 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81" w:lineRule="exact"/>
        <w:rPr>
          <w:rFonts w:ascii="Arial" w:cs="Arial" w:eastAsia="Arial" w:hAnsi="Arial"/>
          <w:sz w:val="17"/>
          <w:szCs w:val="17"/>
          <w:color w:val="auto"/>
        </w:rPr>
      </w:pPr>
    </w:p>
    <w:p>
      <w:pPr>
        <w:jc w:val="both"/>
        <w:ind w:left="-220" w:firstLine="973"/>
        <w:spacing w:after="0" w:line="254" w:lineRule="auto"/>
        <w:tabs>
          <w:tab w:leader="none" w:pos="16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final judgment or judgments for the payment of money aggregating in excess of $100,000 are rendered against the Company and/or any of its Subsidiaries and which judgments are not, within thirty (30) days after the entry thereof, bonded, discharged or stayed pending appeal, or are not discharged within thirty (30) days after the expiration of such stay; provided, however, any judgment which is covered by insurance or an indemnity from a credit worthy party shall not be included in calculating the $100,000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92" w:lineRule="exact"/>
        <w:rPr>
          <w:rFonts w:ascii="Arial" w:cs="Arial" w:eastAsia="Arial" w:hAnsi="Arial"/>
          <w:sz w:val="18"/>
          <w:szCs w:val="18"/>
          <w:color w:val="auto"/>
        </w:rPr>
      </w:pPr>
    </w:p>
    <w:p>
      <w:pPr>
        <w:jc w:val="both"/>
        <w:ind w:left="-220" w:firstLine="973"/>
        <w:spacing w:after="0" w:line="270" w:lineRule="auto"/>
        <w:tabs>
          <w:tab w:leader="none" w:pos="17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and/or any Subsidiary, individually or in the aggregate, either (i) fails to pay, when due, or within any applicable grace period, any payment with respect to any Indebtedness in excess of $100,000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$100,000, which breach or violation permits the other party thereto to declare a default or otherwise accelerate amounts due thereunder, or (ii) suf 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56" w:name="page57"/>
    <w:bookmarkEnd w:id="56"/>
    <w:p>
      <w:pPr>
        <w:jc w:val="both"/>
        <w:ind w:left="-220" w:firstLine="973"/>
        <w:spacing w:after="0" w:line="264" w:lineRule="auto"/>
        <w:tabs>
          <w:tab w:leader="none" w:pos="16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than as specifically set forth in another clause of this Section 4(a), the Company or any Subsidiary breaches any representation, warranty, covenant or other term or condition of any Transaction Document (including, without limitation, the Security Documents and the Guaranties) in any material respect;</w:t>
      </w:r>
    </w:p>
    <w:p>
      <w:pPr>
        <w:spacing w:after="0" w:line="181" w:lineRule="exact"/>
        <w:rPr>
          <w:rFonts w:ascii="Arial" w:cs="Arial" w:eastAsia="Arial" w:hAnsi="Arial"/>
          <w:sz w:val="18"/>
          <w:szCs w:val="18"/>
          <w:color w:val="auto"/>
        </w:rPr>
      </w:pPr>
    </w:p>
    <w:p>
      <w:pPr>
        <w:ind w:left="-220" w:firstLine="973"/>
        <w:spacing w:after="0" w:line="277" w:lineRule="auto"/>
        <w:tabs>
          <w:tab w:leader="none" w:pos="17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breach or failure in any respect by the Company or any Subsidiary to comply with any provision of either of Sections 8 or 13 of this Note;</w:t>
      </w:r>
    </w:p>
    <w:p>
      <w:pPr>
        <w:spacing w:after="0" w:line="170" w:lineRule="exact"/>
        <w:rPr>
          <w:rFonts w:ascii="Arial" w:cs="Arial" w:eastAsia="Arial" w:hAnsi="Arial"/>
          <w:sz w:val="18"/>
          <w:szCs w:val="18"/>
          <w:color w:val="auto"/>
        </w:rPr>
      </w:pPr>
    </w:p>
    <w:p>
      <w:pPr>
        <w:jc w:val="both"/>
        <w:ind w:left="-220" w:firstLine="973"/>
        <w:spacing w:after="0" w:line="264" w:lineRule="auto"/>
        <w:tabs>
          <w:tab w:leader="none" w:pos="16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false or inaccurate certification (including a false or inaccurate deemed certification) by the Company that the Equity Conditions are satisfied, that there has been no Equity Conditions Failure, Dollar Failure or Volume Failure or as to whether any Event of Default has occurred;</w:t>
      </w:r>
    </w:p>
    <w:p>
      <w:pPr>
        <w:spacing w:after="0" w:line="181" w:lineRule="exact"/>
        <w:rPr>
          <w:rFonts w:ascii="Arial" w:cs="Arial" w:eastAsia="Arial" w:hAnsi="Arial"/>
          <w:sz w:val="18"/>
          <w:szCs w:val="18"/>
          <w:color w:val="auto"/>
        </w:rPr>
      </w:pPr>
    </w:p>
    <w:p>
      <w:pPr>
        <w:ind w:left="1600" w:hanging="847"/>
        <w:spacing w:after="0"/>
        <w:tabs>
          <w:tab w:leader="none" w:pos="1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Material Adverse Effect (as defined in the Securities Purchase Agreement) occurs;</w:t>
      </w:r>
    </w:p>
    <w:p>
      <w:pPr>
        <w:spacing w:after="0" w:line="225" w:lineRule="exact"/>
        <w:rPr>
          <w:rFonts w:ascii="Arial" w:cs="Arial" w:eastAsia="Arial" w:hAnsi="Arial"/>
          <w:sz w:val="18"/>
          <w:szCs w:val="18"/>
          <w:color w:val="auto"/>
        </w:rPr>
      </w:pPr>
    </w:p>
    <w:p>
      <w:pPr>
        <w:jc w:val="both"/>
        <w:ind w:left="-220" w:firstLine="973"/>
        <w:spacing w:after="0" w:line="255" w:lineRule="auto"/>
        <w:tabs>
          <w:tab w:leader="none" w:pos="16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 of any Transaction Document (including, without limitation, the Security Documents and the Guaranties) shall at any time for any reason (other than pursuant to the express terms thereof) cease to be valid and binding on or enforceable against the parties thereto and the effect of such cessation is materially adverse to any of the rights, or interests, of the Holder,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 d under any Transaction Document (including, without limitation, the Security Documents and the Guaranties);</w:t>
      </w:r>
    </w:p>
    <w:p>
      <w:pPr>
        <w:spacing w:after="0" w:line="189" w:lineRule="exact"/>
        <w:rPr>
          <w:rFonts w:ascii="Arial" w:cs="Arial" w:eastAsia="Arial" w:hAnsi="Arial"/>
          <w:sz w:val="18"/>
          <w:szCs w:val="18"/>
          <w:color w:val="auto"/>
        </w:rPr>
      </w:pPr>
    </w:p>
    <w:p>
      <w:pPr>
        <w:jc w:val="both"/>
        <w:ind w:left="-220" w:right="20" w:firstLine="973"/>
        <w:spacing w:after="0" w:line="264" w:lineRule="auto"/>
        <w:tabs>
          <w:tab w:leader="none" w:pos="17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Security Documents shall for any reason fail or cease to create a valid and perfected and, except to the extent permitted by the terms hereof or thereof, first priority Lien on the Collateral (as defined in the Security Agreement) in favor of each of the Secured Parties (as defined in the Security Agreement); or</w:t>
      </w:r>
    </w:p>
    <w:p>
      <w:pPr>
        <w:spacing w:after="0" w:line="181" w:lineRule="exact"/>
        <w:rPr>
          <w:rFonts w:ascii="Arial" w:cs="Arial" w:eastAsia="Arial" w:hAnsi="Arial"/>
          <w:sz w:val="18"/>
          <w:szCs w:val="18"/>
          <w:color w:val="auto"/>
        </w:rPr>
      </w:pPr>
    </w:p>
    <w:p>
      <w:pPr>
        <w:jc w:val="both"/>
        <w:ind w:left="-220" w:firstLine="973"/>
        <w:spacing w:after="0" w:line="259" w:lineRule="auto"/>
        <w:tabs>
          <w:tab w:leader="none" w:pos="165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have a Material Adverse Effect;</w:t>
      </w:r>
    </w:p>
    <w:p>
      <w:pPr>
        <w:spacing w:after="0" w:line="186" w:lineRule="exact"/>
        <w:rPr>
          <w:rFonts w:ascii="Arial" w:cs="Arial" w:eastAsia="Arial" w:hAnsi="Arial"/>
          <w:sz w:val="18"/>
          <w:szCs w:val="18"/>
          <w:color w:val="auto"/>
        </w:rPr>
      </w:pPr>
    </w:p>
    <w:p>
      <w:pPr>
        <w:jc w:val="both"/>
        <w:ind w:left="-220" w:firstLine="973"/>
        <w:spacing w:after="0" w:line="257" w:lineRule="auto"/>
        <w:tabs>
          <w:tab w:leader="none" w:pos="18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(1) the Company amends, modifies, waives compliance with or terminates, revokes or rescinds in any manner or respect (or takes any action, or permits any action to be taken (whether through the Company’s inaction or otherwise), that has a similar effect to any of the foregoing) any provision of any of the agreements set forth on either Schedule 7(a)(xviii)(i) or Schedule 7(a)(xviii)(ii) attached to the Securities Purchase Agreement or (2) any Person that is party to any such agreements breaches, or fails to comply with, in any manner or respect any provision of any such agreements;</w:t>
      </w: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57" w:name="page58"/>
    <w:bookmarkEnd w:id="57"/>
    <w:p>
      <w:pPr>
        <w:jc w:val="both"/>
        <w:ind w:left="-220" w:firstLine="973"/>
        <w:spacing w:after="0" w:line="288" w:lineRule="auto"/>
        <w:tabs>
          <w:tab w:leader="none" w:pos="1662"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the Company and its Subsidiaries (taken together as a whole) expend cash in the aggregate (on a gross basis) in excess of the applicable amount set forth on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attached hereto with respect to the applicable calendar month set forth thereon (such applicable amount is referred to herein as the “</w:t>
      </w:r>
      <w:r>
        <w:rPr>
          <w:rFonts w:ascii="Arial" w:cs="Arial" w:eastAsia="Arial" w:hAnsi="Arial"/>
          <w:sz w:val="16"/>
          <w:szCs w:val="16"/>
          <w:b w:val="1"/>
          <w:bCs w:val="1"/>
          <w:color w:val="auto"/>
        </w:rPr>
        <w:t>Maximum Monthly Amount</w:t>
      </w:r>
      <w:r>
        <w:rPr>
          <w:rFonts w:ascii="Arial" w:cs="Arial" w:eastAsia="Arial" w:hAnsi="Arial"/>
          <w:sz w:val="16"/>
          <w:szCs w:val="16"/>
          <w:color w:val="auto"/>
        </w:rPr>
        <w:t>”); provided, however, solely for purposes of the foregoing determination, all cash used to effect (1) Company Redemptions under this Note as permitted under the last sentence of Section 8(a) hereof and (2) Company Redemptions (as defined in the Other Notes) under the Other Notes as permitted und er the last sentence of Section 8(a) thereof in each case shall not be deemed to be cash expended for purposes of this Section 4(a)(xxii), provided further that if the aggregate cash expended (on a gross basis) by the Company and its Subsidiaries (taken together as a whole) in the applicable calendar month exceeds (an “</w:t>
      </w:r>
      <w:r>
        <w:rPr>
          <w:rFonts w:ascii="Arial" w:cs="Arial" w:eastAsia="Arial" w:hAnsi="Arial"/>
          <w:sz w:val="16"/>
          <w:szCs w:val="16"/>
          <w:b w:val="1"/>
          <w:bCs w:val="1"/>
          <w:color w:val="auto"/>
        </w:rPr>
        <w:t>Overage</w:t>
      </w:r>
      <w:r>
        <w:rPr>
          <w:rFonts w:ascii="Arial" w:cs="Arial" w:eastAsia="Arial" w:hAnsi="Arial"/>
          <w:sz w:val="16"/>
          <w:szCs w:val="16"/>
          <w:color w:val="auto"/>
        </w:rPr>
        <w:t>”) the applicable Maximum Monthly Amount by an amount equal to or lesser than the then Remaining Available Excess Amount, then no Event of Default shall have occurred under this Section 4(a)(xxii) in respect of such Overage (but not in respect of any other Overage, it being the intention that each dollar of Overage must be measured as of the time such Overage and as to such dollar of Overage itself); or</w:t>
      </w:r>
    </w:p>
    <w:p>
      <w:pPr>
        <w:spacing w:after="0" w:line="169" w:lineRule="exact"/>
        <w:rPr>
          <w:rFonts w:ascii="Arial" w:cs="Arial" w:eastAsia="Arial" w:hAnsi="Arial"/>
          <w:sz w:val="16"/>
          <w:szCs w:val="16"/>
          <w:color w:val="auto"/>
        </w:rPr>
      </w:pPr>
    </w:p>
    <w:p>
      <w:pPr>
        <w:ind w:left="1700" w:hanging="947"/>
        <w:spacing w:after="0"/>
        <w:tabs>
          <w:tab w:leader="none" w:pos="1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Event of Default (as defined in the Other Notes) occurs with respect to any Other Notes.</w:t>
      </w:r>
    </w:p>
    <w:p>
      <w:pPr>
        <w:spacing w:after="0" w:line="225" w:lineRule="exact"/>
        <w:rPr>
          <w:rFonts w:ascii="Arial" w:cs="Arial" w:eastAsia="Arial" w:hAnsi="Arial"/>
          <w:sz w:val="18"/>
          <w:szCs w:val="18"/>
          <w:color w:val="auto"/>
        </w:rPr>
      </w:pPr>
    </w:p>
    <w:p>
      <w:pPr>
        <w:jc w:val="both"/>
        <w:ind w:left="-540" w:firstLine="645"/>
        <w:spacing w:after="0" w:line="268" w:lineRule="auto"/>
        <w:tabs>
          <w:tab w:leader="none" w:pos="90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Notice of an Event of Default; Redemption Right</w:t>
      </w:r>
      <w:r>
        <w:rPr>
          <w:rFonts w:ascii="Arial" w:cs="Arial" w:eastAsia="Arial" w:hAnsi="Arial"/>
          <w:sz w:val="17"/>
          <w:szCs w:val="17"/>
          <w:color w:val="auto"/>
        </w:rPr>
        <w:t>. Upon the occurrence of an Event of Default with respect to this Note or any Other Note, the Company shall within one (1) Business Day deliver written notice thereof via facsimile and overnight courier (with next day delivery specified) (an “</w:t>
      </w:r>
      <w:r>
        <w:rPr>
          <w:rFonts w:ascii="Arial" w:cs="Arial" w:eastAsia="Arial" w:hAnsi="Arial"/>
          <w:sz w:val="17"/>
          <w:szCs w:val="17"/>
          <w:b w:val="1"/>
          <w:bCs w:val="1"/>
          <w:color w:val="auto"/>
        </w:rPr>
        <w:t>Event of Default Notice</w:t>
      </w:r>
      <w:r>
        <w:rPr>
          <w:rFonts w:ascii="Arial" w:cs="Arial" w:eastAsia="Arial" w:hAnsi="Arial"/>
          <w:sz w:val="17"/>
          <w:szCs w:val="17"/>
          <w:color w:val="auto"/>
        </w:rPr>
        <w:t>”) to the Holder. At any time after the earlier of the Holder’s receipt of an Event of Default Notice and the Holder becoming aware of an Event of Default, the Holder may require the Company to redeem all or any portion of this Note by delivering written notice thereof (the “</w:t>
      </w:r>
      <w:r>
        <w:rPr>
          <w:rFonts w:ascii="Arial" w:cs="Arial" w:eastAsia="Arial" w:hAnsi="Arial"/>
          <w:sz w:val="17"/>
          <w:szCs w:val="17"/>
          <w:b w:val="1"/>
          <w:bCs w:val="1"/>
          <w:color w:val="auto"/>
        </w:rPr>
        <w:t>Event of Default Redemption Notice</w:t>
      </w:r>
      <w:r>
        <w:rPr>
          <w:rFonts w:ascii="Arial" w:cs="Arial" w:eastAsia="Arial" w:hAnsi="Arial"/>
          <w:sz w:val="17"/>
          <w:szCs w:val="17"/>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Equity Value Redemption Premium multiplied by (2) the greatest of (I) the Closing Sale Price of the Common Stock on the date immediately preceding such Event of Default, (II) the Closing Sale Price of the Common Stock on the date immediately after such Event of Default and (III) the Closing Sale Price of the Common Stock on the date the Holder delivers an Even t of Default Redemption Notice with respect to such Event of Default (the “</w:t>
      </w:r>
      <w:r>
        <w:rPr>
          <w:rFonts w:ascii="Arial" w:cs="Arial" w:eastAsia="Arial" w:hAnsi="Arial"/>
          <w:sz w:val="17"/>
          <w:szCs w:val="17"/>
          <w:b w:val="1"/>
          <w:bCs w:val="1"/>
          <w:color w:val="auto"/>
        </w:rPr>
        <w:t>Event of Default Redemption Price</w:t>
      </w:r>
      <w:r>
        <w:rPr>
          <w:rFonts w:ascii="Arial" w:cs="Arial" w:eastAsia="Arial" w:hAnsi="Arial"/>
          <w:sz w:val="17"/>
          <w:szCs w:val="17"/>
          <w:color w:val="auto"/>
        </w:rPr>
        <w:t>”). Redemptions required by this Section 4(b) shall be made in accordance with the provisions of Section 11.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 but subject to Section 3(d), until the Event of Default Redemption Price is paid in full, the Conversion Amount</w:t>
      </w:r>
    </w:p>
    <w:p>
      <w:pPr>
        <w:spacing w:after="0" w:line="200" w:lineRule="exact"/>
        <w:rPr>
          <w:sz w:val="20"/>
          <w:szCs w:val="20"/>
          <w:color w:val="auto"/>
        </w:rPr>
      </w:pPr>
    </w:p>
    <w:p>
      <w:pPr>
        <w:spacing w:after="0" w:line="3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58" w:name="page59"/>
    <w:bookmarkEnd w:id="58"/>
    <w:p>
      <w:pPr>
        <w:jc w:val="both"/>
        <w:ind w:left="4"/>
        <w:spacing w:after="0" w:line="255" w:lineRule="auto"/>
        <w:rPr>
          <w:sz w:val="20"/>
          <w:szCs w:val="20"/>
          <w:color w:val="auto"/>
        </w:rPr>
      </w:pPr>
      <w:r>
        <w:rPr>
          <w:rFonts w:ascii="Arial" w:cs="Arial" w:eastAsia="Arial" w:hAnsi="Arial"/>
          <w:sz w:val="18"/>
          <w:szCs w:val="18"/>
          <w:color w:val="auto"/>
        </w:rPr>
        <w:t>submitted for redemption under this Section 4(b) may be converted, in whole or in part, by the Holder into Common Stock pursuant to Section 3.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 ll be deemed, a reasonable estimate of the Holder’s actual loss of its investment opportunity and not as a penalty.</w:t>
      </w:r>
    </w:p>
    <w:p>
      <w:pPr>
        <w:spacing w:after="0" w:line="189" w:lineRule="exact"/>
        <w:rPr>
          <w:sz w:val="20"/>
          <w:szCs w:val="20"/>
          <w:color w:val="auto"/>
        </w:rPr>
      </w:pPr>
    </w:p>
    <w:p>
      <w:pPr>
        <w:ind w:left="624" w:hanging="624"/>
        <w:spacing w:after="0"/>
        <w:tabs>
          <w:tab w:leader="none" w:pos="62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5" w:lineRule="auto"/>
        <w:tabs>
          <w:tab w:leader="none" w:pos="1401"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 t rate equal to the principal amounts then outstanding and the interest rates of the Notes held by such holder, having similar conversion rights as the Notes and having similar ranking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 ction, the Successor Entity shall deliver to the Holder confirmation that there shall be issued upon conversion or redemption of this Note at any time after the consummation of such Fundamental Transaction, in lieu of the shares of the Company’s Common Stock (or other securities, cash, assets or other property (except such items still issuable under Sections 6 and 15,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The provisions of this Section 5 shall apply similarly and equally to successive Fundamental Transactions and shall be applied without regard to any limitations on the conversion of this Note.</w:t>
      </w:r>
    </w:p>
    <w:p>
      <w:pPr>
        <w:spacing w:after="0" w:line="200" w:lineRule="exact"/>
        <w:rPr>
          <w:sz w:val="20"/>
          <w:szCs w:val="20"/>
          <w:color w:val="auto"/>
        </w:rPr>
      </w:pPr>
    </w:p>
    <w:p>
      <w:pPr>
        <w:spacing w:after="0" w:line="33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59" w:name="page60"/>
    <w:bookmarkEnd w:id="59"/>
    <w:p>
      <w:pPr>
        <w:jc w:val="both"/>
        <w:ind w:left="-540" w:firstLine="645"/>
        <w:spacing w:after="0" w:line="284" w:lineRule="auto"/>
        <w:tabs>
          <w:tab w:leader="none" w:pos="813"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Notice of a Fundamental Transaction; Redemption Right</w:t>
      </w:r>
      <w:r>
        <w:rPr>
          <w:rFonts w:ascii="Arial" w:cs="Arial" w:eastAsia="Arial" w:hAnsi="Arial"/>
          <w:sz w:val="16"/>
          <w:szCs w:val="16"/>
          <w:color w:val="auto"/>
        </w:rPr>
        <w:t>. No sooner than twenty (20) Trading Days nor later than ten (10) Trading Days prior to the consummation of a Fundamental Transaction, but not prior to the public announcement of such Fundamental Transaction, the Company shall deliver written notice thereof via facsimile and overnight courier to the Holder (a “</w:t>
      </w:r>
      <w:r>
        <w:rPr>
          <w:rFonts w:ascii="Arial" w:cs="Arial" w:eastAsia="Arial" w:hAnsi="Arial"/>
          <w:sz w:val="16"/>
          <w:szCs w:val="16"/>
          <w:b w:val="1"/>
          <w:bCs w:val="1"/>
          <w:color w:val="auto"/>
        </w:rPr>
        <w:t>Fundamental Transaction Notice</w:t>
      </w:r>
      <w:r>
        <w:rPr>
          <w:rFonts w:ascii="Arial" w:cs="Arial" w:eastAsia="Arial" w:hAnsi="Arial"/>
          <w:sz w:val="16"/>
          <w:szCs w:val="16"/>
          <w:color w:val="auto"/>
        </w:rPr>
        <w:t>”). At any time during the period beginning after the Holder’s receipt of a Fundamental Transaction Notice or the Holder becoming aware of a Fundamental Transaction if a Fundamental Tran saction Notice is not delivered to the Holder in accordance with the immediately preceding sentence (as applicable) and ending on the later of twenty (20) Trading Days after (A) consummation of such Fundamental Transaction or (B) the date of receipt of such Fundamental Transaction Notice, the Holder may require the Company to redeem all or any portion of this Note by delivering written notice thereof (“</w:t>
      </w:r>
      <w:r>
        <w:rPr>
          <w:rFonts w:ascii="Arial" w:cs="Arial" w:eastAsia="Arial" w:hAnsi="Arial"/>
          <w:sz w:val="16"/>
          <w:szCs w:val="16"/>
          <w:b w:val="1"/>
          <w:bCs w:val="1"/>
          <w:color w:val="auto"/>
        </w:rPr>
        <w:t>Fundamental Transaction Redemption Notice</w:t>
      </w:r>
      <w:r>
        <w:rPr>
          <w:rFonts w:ascii="Arial" w:cs="Arial" w:eastAsia="Arial" w:hAnsi="Arial"/>
          <w:sz w:val="16"/>
          <w:szCs w:val="16"/>
          <w:color w:val="auto"/>
        </w:rPr>
        <w:t>”) to the Company, which Fundamental Transaction Redemption Notice shall indicate the Conversion Amount the Holder is electing to redeem. The portion of this Note subject to redemption pursuant to this Section 5 shall be redeemed by the Company in cash at a price equal to the greater of (i) the product of (w) the Fundamental Transaction Redemption Premium multiplied by (x) the Conversion Amount being redeemed and (ii) the product of (y) the Equity Value Redemption Premium multiplied by (z) the product o f (1) the Conversion Amount being redeemed multiplied by (2) the quotient of (A) the aggregate cash consideration and the aggregate cash value of any non-cash consideration per share of Common Stock to be paid to the holders of the shares of Common Stock upon consummation of such Fundamental Transaction (any such non-cash consideration constituting publicly-traded securities shall be valued at the highest of the Closing Sale Price of such securities as of the Trading Day immediately prior to the consummation of such Fundamental Transaction, the Closing Sale Price of such securities on the Trading Day immediately following the public announcement of such proposed Fundamental Transaction and the Closing Sale Price of such securities on the Trading Day immediately prior to the public announcement of such proposed Fundamental Transaction) divided by (B) the Conversion Price then in effect (the “</w:t>
      </w:r>
      <w:r>
        <w:rPr>
          <w:rFonts w:ascii="Arial" w:cs="Arial" w:eastAsia="Arial" w:hAnsi="Arial"/>
          <w:sz w:val="16"/>
          <w:szCs w:val="16"/>
          <w:b w:val="1"/>
          <w:bCs w:val="1"/>
          <w:color w:val="auto"/>
        </w:rPr>
        <w:t>Fundamental Transaction Redemption Price</w:t>
      </w:r>
      <w:r>
        <w:rPr>
          <w:rFonts w:ascii="Arial" w:cs="Arial" w:eastAsia="Arial" w:hAnsi="Arial"/>
          <w:sz w:val="16"/>
          <w:szCs w:val="16"/>
          <w:color w:val="auto"/>
        </w:rPr>
        <w:t>”). Redempt ions required by this Section 5 shall be made in accordance with the provisions of Section 11 and shall have priority to payments to stockholders in connection with such Fundamental Transaction.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Fundamental Transaction Redemption Price is paid in full, the Conversion Amount submitted for redemption under this Section 5(b) may be converted, in whole or in part, by the Holder into Common Stock pursuant to Section 3. In the event of a partial redemption of this Note pursuant hereto, the Principal amount redeemed shall be deducted from the Installment Amount(s) relating to the applicable Installment Date(s) as set forth in the Fundamental Transaction Redemption Notice. In the event of the Com 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60" w:name="page61"/>
    <w:bookmarkEnd w:id="60"/>
    <w:p>
      <w:pPr>
        <w:ind w:left="624" w:hanging="624"/>
        <w:spacing w:after="0"/>
        <w:tabs>
          <w:tab w:leader="none" w:pos="62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RIGHTS UPON ISSUANCE OF PURCHASE RIGHTS AND OTHER CORPORATE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7" w:lineRule="auto"/>
        <w:tabs>
          <w:tab w:leader="none" w:pos="149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7 below, if at any time while this Note is outstanding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 count any limitations or restrictions on the convertibility of this Note)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72" w:lineRule="exact"/>
        <w:rPr>
          <w:rFonts w:ascii="Arial" w:cs="Arial" w:eastAsia="Arial" w:hAnsi="Arial"/>
          <w:sz w:val="16"/>
          <w:szCs w:val="16"/>
          <w:color w:val="auto"/>
        </w:rPr>
      </w:pPr>
    </w:p>
    <w:p>
      <w:pPr>
        <w:jc w:val="both"/>
        <w:ind w:left="4" w:firstLine="645"/>
        <w:spacing w:after="0" w:line="287" w:lineRule="auto"/>
        <w:tabs>
          <w:tab w:leader="none" w:pos="146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Other Corporate Events</w:t>
      </w:r>
      <w:r>
        <w:rPr>
          <w:rFonts w:ascii="Arial" w:cs="Arial" w:eastAsia="Arial" w:hAnsi="Arial"/>
          <w:sz w:val="16"/>
          <w:szCs w:val="16"/>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 conversion of this Note (i) in addition to the shares of Common Stock receivable upon such conversion, such securities or other assets to which the Holder would have been entitled with re 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 version or redemption of this Note.</w:t>
      </w:r>
    </w:p>
    <w:p>
      <w:pPr>
        <w:spacing w:after="0" w:line="200" w:lineRule="exact"/>
        <w:rPr>
          <w:sz w:val="20"/>
          <w:szCs w:val="20"/>
          <w:color w:val="auto"/>
        </w:rPr>
      </w:pPr>
    </w:p>
    <w:p>
      <w:pPr>
        <w:spacing w:after="0" w:line="33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61" w:name="page62"/>
    <w:bookmarkEnd w:id="61"/>
    <w:p>
      <w:pPr>
        <w:ind w:left="624" w:hanging="624"/>
        <w:spacing w:after="0"/>
        <w:tabs>
          <w:tab w:leader="none" w:pos="62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RIGHTS UPON ISSUANCE OF OTHER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71" w:lineRule="auto"/>
        <w:tabs>
          <w:tab w:leader="none" w:pos="1590"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Issuance of Common Stock</w:t>
      </w:r>
      <w:r>
        <w:rPr>
          <w:rFonts w:ascii="Arial" w:cs="Arial" w:eastAsia="Arial" w:hAnsi="Arial"/>
          <w:sz w:val="17"/>
          <w:szCs w:val="17"/>
          <w:color w:val="auto"/>
        </w:rPr>
        <w:t>. If and whenever on or after the Subscription Date the Company issues or sells, or in accordance with this Section 7(a)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Arial" w:cs="Arial" w:eastAsia="Arial" w:hAnsi="Arial"/>
          <w:sz w:val="17"/>
          <w:szCs w:val="17"/>
          <w:b w:val="1"/>
          <w:bCs w:val="1"/>
          <w:color w:val="auto"/>
        </w:rPr>
        <w:t>New Issuance</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less than a price equal to the Conversion Price in effect immediately prior to su ch issue or sale or deemed issuance or sale (such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Price then in effect is referred to herein as the “</w:t>
      </w:r>
      <w:r>
        <w:rPr>
          <w:rFonts w:ascii="Arial" w:cs="Arial" w:eastAsia="Arial" w:hAnsi="Arial"/>
          <w:sz w:val="17"/>
          <w:szCs w:val="17"/>
          <w:b w:val="1"/>
          <w:bCs w:val="1"/>
          <w:color w:val="auto"/>
        </w:rPr>
        <w:t>Applicable Price</w:t>
      </w:r>
      <w:r>
        <w:rPr>
          <w:rFonts w:ascii="Arial" w:cs="Arial" w:eastAsia="Arial" w:hAnsi="Arial"/>
          <w:sz w:val="17"/>
          <w:szCs w:val="17"/>
          <w:color w:val="auto"/>
        </w:rPr>
        <w:t>”) (the foregoing a “</w:t>
      </w:r>
      <w:r>
        <w:rPr>
          <w:rFonts w:ascii="Arial" w:cs="Arial" w:eastAsia="Arial" w:hAnsi="Arial"/>
          <w:sz w:val="17"/>
          <w:szCs w:val="17"/>
          <w:b w:val="1"/>
          <w:bCs w:val="1"/>
          <w:color w:val="auto"/>
        </w:rPr>
        <w:t>Dilutive Issuance</w:t>
      </w:r>
      <w:r>
        <w:rPr>
          <w:rFonts w:ascii="Arial" w:cs="Arial" w:eastAsia="Arial" w:hAnsi="Arial"/>
          <w:sz w:val="17"/>
          <w:szCs w:val="17"/>
          <w:color w:val="auto"/>
        </w:rPr>
        <w:t>”), then, immediately after such Dilutive Issuance, the Conversion Price then in effect shall be reduced to an amount equal to the New Issuance Price. For purposes of determining the adjusted Conversion Price under this Section 7(a), the following shall be applicable:</w:t>
      </w:r>
    </w:p>
    <w:p>
      <w:pPr>
        <w:spacing w:after="0" w:line="178" w:lineRule="exact"/>
        <w:rPr>
          <w:rFonts w:ascii="Arial" w:cs="Arial" w:eastAsia="Arial" w:hAnsi="Arial"/>
          <w:sz w:val="17"/>
          <w:szCs w:val="17"/>
          <w:color w:val="auto"/>
        </w:rPr>
      </w:pPr>
    </w:p>
    <w:p>
      <w:pPr>
        <w:jc w:val="both"/>
        <w:ind w:left="324" w:firstLine="973"/>
        <w:spacing w:after="0" w:line="285" w:lineRule="auto"/>
        <w:tabs>
          <w:tab w:leader="none" w:pos="2001" w:val="left"/>
        </w:tabs>
        <w:numPr>
          <w:ilvl w:val="2"/>
          <w:numId w:val="71"/>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7(a)(i), the “lowest price per share for which one share of Common Stock is issuable upon the exercise of any such Options or upon c onversion, exercise or exchange of any Convertible Securities issuable upon exercise of any such Option”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upon the actual issuance of such share of Common Stock upon conversion, exercise or exchange of such Convertible Securities.</w:t>
      </w:r>
    </w:p>
    <w:p>
      <w:pPr>
        <w:spacing w:after="0" w:line="200" w:lineRule="exact"/>
        <w:rPr>
          <w:sz w:val="20"/>
          <w:szCs w:val="20"/>
          <w:color w:val="auto"/>
        </w:rPr>
      </w:pPr>
    </w:p>
    <w:p>
      <w:pPr>
        <w:spacing w:after="0" w:line="34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62" w:name="page63"/>
    <w:bookmarkEnd w:id="62"/>
    <w:p>
      <w:pPr>
        <w:jc w:val="both"/>
        <w:ind w:left="-220" w:firstLine="973"/>
        <w:spacing w:after="0" w:line="268" w:lineRule="auto"/>
        <w:tabs>
          <w:tab w:leader="none" w:pos="160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Issuance of Convertible Securities</w:t>
      </w:r>
      <w:r>
        <w:rPr>
          <w:rFonts w:ascii="Arial" w:cs="Arial" w:eastAsia="Arial" w:hAnsi="Arial"/>
          <w:sz w:val="17"/>
          <w:szCs w:val="17"/>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7(a)(ii),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Conversion Price shall be made upon the actual issuance of such share of Common Stock upon conversion, exercise or exchange of such Convertible Securities, and if any such issue or sale of such Convertible S ecurities is made upon exercise of any Options for which adjustment of the Conversion Price has been or is to be made pursuant to other provisions of this Section 7(a), except as contemplated below, no further adjustment of the Conversion Price shall be made by reason of such issue or sale.</w:t>
      </w:r>
    </w:p>
    <w:p>
      <w:pPr>
        <w:spacing w:after="0" w:line="183" w:lineRule="exact"/>
        <w:rPr>
          <w:rFonts w:ascii="Arial" w:cs="Arial" w:eastAsia="Arial" w:hAnsi="Arial"/>
          <w:sz w:val="17"/>
          <w:szCs w:val="17"/>
          <w:color w:val="auto"/>
        </w:rPr>
      </w:pPr>
    </w:p>
    <w:p>
      <w:pPr>
        <w:jc w:val="both"/>
        <w:ind w:left="-220" w:firstLine="973"/>
        <w:spacing w:after="0" w:line="288" w:lineRule="auto"/>
        <w:tabs>
          <w:tab w:leader="none" w:pos="173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 onversion rate (as the case may be) at the time initially granted, issued or sold. For purposes of this Section 7(a)(iii), if the terms of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63" w:name="page64"/>
    <w:bookmarkEnd w:id="63"/>
    <w:p>
      <w:pPr>
        <w:jc w:val="both"/>
        <w:ind w:firstLine="973"/>
        <w:spacing w:after="0" w:line="285" w:lineRule="auto"/>
        <w:tabs>
          <w:tab w:leader="none" w:pos="1781"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or Convertible Security is issued or deemed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 ation Value of each such Option or Convertible Security (as applicable). If any shares of Common Stock, Options or Convertible Securities are issued or sold or deemed to have been issued or sold for cash, the consideration received therefor will be deemed to be the net amount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average VWAP of such security for the five (5) Trading Day period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“Valuation Event”),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70" w:lineRule="exact"/>
        <w:rPr>
          <w:rFonts w:ascii="Arial" w:cs="Arial" w:eastAsia="Arial" w:hAnsi="Arial"/>
          <w:sz w:val="16"/>
          <w:szCs w:val="16"/>
          <w:color w:val="auto"/>
        </w:rPr>
      </w:pPr>
    </w:p>
    <w:p>
      <w:pPr>
        <w:ind w:left="1720" w:hanging="747"/>
        <w:spacing w:after="0"/>
        <w:tabs>
          <w:tab w:leader="none" w:pos="172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If the Company takes a record of the holders of shares of Common Stock for the purpose of entitling them</w:t>
      </w:r>
    </w:p>
    <w:p>
      <w:pPr>
        <w:spacing w:after="0" w:line="46" w:lineRule="exact"/>
        <w:rPr>
          <w:rFonts w:ascii="Arial" w:cs="Arial" w:eastAsia="Arial" w:hAnsi="Arial"/>
          <w:sz w:val="16"/>
          <w:szCs w:val="16"/>
          <w:color w:val="auto"/>
        </w:rPr>
      </w:pPr>
    </w:p>
    <w:p>
      <w:pPr>
        <w:jc w:val="both"/>
        <w:spacing w:after="0" w:line="254" w:lineRule="auto"/>
        <w:tabs>
          <w:tab w:leader="none" w:pos="3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receive a dividend or other distribution payable in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00" w:lineRule="exact"/>
        <w:rPr>
          <w:sz w:val="20"/>
          <w:szCs w:val="20"/>
          <w:color w:val="auto"/>
        </w:rPr>
      </w:pPr>
    </w:p>
    <w:p>
      <w:pPr>
        <w:spacing w:after="0" w:line="35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73025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1220" w:top="490" w:right="239" w:bottom="1440" w:gutter="0" w:footer="0" w:header="0"/>
        </w:sectPr>
      </w:pPr>
    </w:p>
    <w:bookmarkStart w:id="64" w:name="page65"/>
    <w:bookmarkEnd w:id="64"/>
    <w:p>
      <w:pPr>
        <w:jc w:val="both"/>
        <w:ind w:left="4" w:firstLine="645"/>
        <w:spacing w:after="0" w:line="270" w:lineRule="auto"/>
        <w:tabs>
          <w:tab w:leader="none" w:pos="1384"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Without limiting any provision of Section 5, if the Company at any time on or after the Subscription Date subdivides (by any stock split, stock dividend, recapitalization or otherwise) one or more classes of its outstanding shares of Common Stock into a greater number of shares, the Conversion Price in effect immediately prior to such subdivision will be proportionately reduced. Without limiting any provision of Section 5, if the Company at any time on or after the Subscription Date combines (by combination, reverse stock split or otherwise) one or more classes of its outstanding shares of Common Stock into a sma 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181" w:lineRule="exact"/>
        <w:rPr>
          <w:rFonts w:ascii="Arial" w:cs="Arial" w:eastAsia="Arial" w:hAnsi="Arial"/>
          <w:sz w:val="17"/>
          <w:szCs w:val="17"/>
          <w:color w:val="auto"/>
        </w:rPr>
      </w:pPr>
    </w:p>
    <w:p>
      <w:pPr>
        <w:jc w:val="both"/>
        <w:ind w:left="4" w:firstLine="645"/>
        <w:spacing w:after="0" w:line="270" w:lineRule="auto"/>
        <w:tabs>
          <w:tab w:leader="none" w:pos="1509"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7(c)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1" w:lineRule="exact"/>
        <w:rPr>
          <w:rFonts w:ascii="Arial" w:cs="Arial" w:eastAsia="Arial" w:hAnsi="Arial"/>
          <w:sz w:val="17"/>
          <w:szCs w:val="17"/>
          <w:color w:val="auto"/>
        </w:rPr>
      </w:pPr>
    </w:p>
    <w:p>
      <w:pPr>
        <w:ind w:left="624" w:hanging="624"/>
        <w:spacing w:after="0"/>
        <w:tabs>
          <w:tab w:leader="none" w:pos="62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COMPANY INSTALLMENT CONVERSION OR REDEMPTION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90" w:lineRule="auto"/>
        <w:tabs>
          <w:tab w:leader="none" w:pos="1563"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each applicable Installment Date, the Company shall pay to the Holder of this Note the applicable Installment Amount due on such date by converting such Installment Amount in accordance with this Section 8 (a “</w:t>
      </w:r>
      <w:r>
        <w:rPr>
          <w:rFonts w:ascii="Arial" w:cs="Arial" w:eastAsia="Arial" w:hAnsi="Arial"/>
          <w:sz w:val="16"/>
          <w:szCs w:val="16"/>
          <w:b w:val="1"/>
          <w:bCs w:val="1"/>
          <w:color w:val="auto"/>
        </w:rPr>
        <w:t>Company Conversion</w:t>
      </w:r>
      <w:r>
        <w:rPr>
          <w:rFonts w:ascii="Arial" w:cs="Arial" w:eastAsia="Arial" w:hAnsi="Arial"/>
          <w:sz w:val="16"/>
          <w:szCs w:val="16"/>
          <w:color w:val="auto"/>
        </w:rPr>
        <w:t>”); provided, however, the Company may, at its option as described below, pay all or any part of such Installment Amount by redeeming such Installment Amount in cash (a “</w:t>
      </w:r>
      <w:r>
        <w:rPr>
          <w:rFonts w:ascii="Arial" w:cs="Arial" w:eastAsia="Arial" w:hAnsi="Arial"/>
          <w:sz w:val="16"/>
          <w:szCs w:val="16"/>
          <w:b w:val="1"/>
          <w:bCs w:val="1"/>
          <w:color w:val="auto"/>
        </w:rPr>
        <w:t>Company Redemption</w:t>
      </w:r>
      <w:r>
        <w:rPr>
          <w:rFonts w:ascii="Arial" w:cs="Arial" w:eastAsia="Arial" w:hAnsi="Arial"/>
          <w:sz w:val="16"/>
          <w:szCs w:val="16"/>
          <w:color w:val="auto"/>
        </w:rPr>
        <w:t>”) or by any combination of a Company Conversion and a Company Redemption so long as the entire amount of such Installment Amount due shall be conv erted and/or redeemed by the Company on the applicable Installment Date, subject to the provisions of this Section 8, provided further that the Company shall not be entitled to effect a Company Conversion with respect to any portion of such Installment Amount and shall be required to elect and to pay the entire amount of such Installment Amount in cash pursuant to a Company Redemption if on the applicable Installment Notice Due Date or on the applicable Installment Date (as the case may be) there is an</w:t>
      </w:r>
    </w:p>
    <w:p>
      <w:pPr>
        <w:spacing w:after="0" w:line="200" w:lineRule="exact"/>
        <w:rPr>
          <w:sz w:val="20"/>
          <w:szCs w:val="20"/>
          <w:color w:val="auto"/>
        </w:rPr>
      </w:pPr>
    </w:p>
    <w:p>
      <w:pPr>
        <w:spacing w:after="0" w:line="33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65" w:name="page66"/>
    <w:bookmarkEnd w:id="65"/>
    <w:p>
      <w:pPr>
        <w:jc w:val="both"/>
        <w:spacing w:after="0" w:line="280" w:lineRule="auto"/>
        <w:rPr>
          <w:sz w:val="20"/>
          <w:szCs w:val="20"/>
          <w:color w:val="auto"/>
        </w:rPr>
      </w:pPr>
      <w:r>
        <w:rPr>
          <w:rFonts w:ascii="Arial" w:cs="Arial" w:eastAsia="Arial" w:hAnsi="Arial"/>
          <w:sz w:val="16"/>
          <w:szCs w:val="16"/>
          <w:color w:val="auto"/>
        </w:rPr>
        <w:t>Equity Conditions Failure, a Dollar Failure or a Volume Failure. On or prior to the date which is the twenty-third (23</w:t>
      </w:r>
      <w:r>
        <w:rPr>
          <w:rFonts w:ascii="Arial" w:cs="Arial" w:eastAsia="Arial" w:hAnsi="Arial"/>
          <w:sz w:val="22"/>
          <w:szCs w:val="22"/>
          <w:color w:val="auto"/>
          <w:vertAlign w:val="superscript"/>
        </w:rPr>
        <w:t>rd</w:t>
      </w:r>
      <w:r>
        <w:rPr>
          <w:rFonts w:ascii="Arial" w:cs="Arial" w:eastAsia="Arial" w:hAnsi="Arial"/>
          <w:sz w:val="16"/>
          <w:szCs w:val="16"/>
          <w:color w:val="auto"/>
        </w:rPr>
        <w:t>) Trading Day prior to each Installment Date (each, an “</w:t>
      </w:r>
      <w:r>
        <w:rPr>
          <w:rFonts w:ascii="Arial" w:cs="Arial" w:eastAsia="Arial" w:hAnsi="Arial"/>
          <w:sz w:val="16"/>
          <w:szCs w:val="16"/>
          <w:b w:val="1"/>
          <w:bCs w:val="1"/>
          <w:color w:val="auto"/>
        </w:rPr>
        <w:t>Installment Notice Due Date</w:t>
      </w:r>
      <w:r>
        <w:rPr>
          <w:rFonts w:ascii="Arial" w:cs="Arial" w:eastAsia="Arial" w:hAnsi="Arial"/>
          <w:sz w:val="16"/>
          <w:szCs w:val="16"/>
          <w:color w:val="auto"/>
        </w:rPr>
        <w:t>”), the Company shall deliver written notice (each, a “</w:t>
      </w:r>
      <w:r>
        <w:rPr>
          <w:rFonts w:ascii="Arial" w:cs="Arial" w:eastAsia="Arial" w:hAnsi="Arial"/>
          <w:sz w:val="16"/>
          <w:szCs w:val="16"/>
          <w:b w:val="1"/>
          <w:bCs w:val="1"/>
          <w:color w:val="auto"/>
        </w:rPr>
        <w:t>Company Installment Notice</w:t>
      </w:r>
      <w:r>
        <w:rPr>
          <w:rFonts w:ascii="Arial" w:cs="Arial" w:eastAsia="Arial" w:hAnsi="Arial"/>
          <w:sz w:val="16"/>
          <w:szCs w:val="16"/>
          <w:color w:val="auto"/>
        </w:rPr>
        <w:t>” and the date all of the holders receive such notice is referred to as to the “</w:t>
      </w:r>
      <w:r>
        <w:rPr>
          <w:rFonts w:ascii="Arial" w:cs="Arial" w:eastAsia="Arial" w:hAnsi="Arial"/>
          <w:sz w:val="16"/>
          <w:szCs w:val="16"/>
          <w:b w:val="1"/>
          <w:bCs w:val="1"/>
          <w:color w:val="auto"/>
        </w:rPr>
        <w:t>Company Installment Notice Date</w:t>
      </w:r>
      <w:r>
        <w:rPr>
          <w:rFonts w:ascii="Arial" w:cs="Arial" w:eastAsia="Arial" w:hAnsi="Arial"/>
          <w:sz w:val="16"/>
          <w:szCs w:val="16"/>
          <w:color w:val="auto"/>
        </w:rPr>
        <w:t>”), to each holder of Notes and such Company Installment Notice shall (i) either (A) confirm that the applicable Installment Amount of such holder’s Note shall be converted in whole pursuant to a Company Conversion or (B) (1) state that the Company elects to redeem, or is required to elect and redeem in accordance with the provisions of the Notes, in whole or in part, the applicable Installment Amount pursuant to a Company Redemption and (2) specify the portion of the applicable Installment Amount which the Company elects, or is required to elect and redeem, pursuant to a Company Redemption (such amount to be redeemed in cash, the “</w:t>
      </w:r>
      <w:r>
        <w:rPr>
          <w:rFonts w:ascii="Arial" w:cs="Arial" w:eastAsia="Arial" w:hAnsi="Arial"/>
          <w:sz w:val="16"/>
          <w:szCs w:val="16"/>
          <w:b w:val="1"/>
          <w:bCs w:val="1"/>
          <w:color w:val="auto"/>
        </w:rPr>
        <w:t>Company Redemption Amount</w:t>
      </w:r>
      <w:r>
        <w:rPr>
          <w:rFonts w:ascii="Arial" w:cs="Arial" w:eastAsia="Arial" w:hAnsi="Arial"/>
          <w:sz w:val="16"/>
          <w:szCs w:val="16"/>
          <w:color w:val="auto"/>
        </w:rPr>
        <w:t>”) and the portion of the applicable Installment Amount, if any, pursuant to which the Company will effect (but only if permitted to effect in accordance with the provisions of the Notes), a Company Conversion (such amount of the applicable Installment Amount properly specified to be so converted pursuant to this Section 8 is referred to herein as the “</w:t>
      </w:r>
      <w:r>
        <w:rPr>
          <w:rFonts w:ascii="Arial" w:cs="Arial" w:eastAsia="Arial" w:hAnsi="Arial"/>
          <w:sz w:val="16"/>
          <w:szCs w:val="16"/>
          <w:b w:val="1"/>
          <w:bCs w:val="1"/>
          <w:color w:val="auto"/>
        </w:rPr>
        <w:t>Company 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which amounts when added together, must equal the entire applicable Installment Amount and (ii) if the applicable Installment Amount</w:t>
      </w:r>
      <w:r>
        <w:rPr>
          <w:rFonts w:ascii="Arial" w:cs="Arial" w:eastAsia="Arial" w:hAnsi="Arial"/>
          <w:sz w:val="16"/>
          <w:szCs w:val="16"/>
          <w:b w:val="1"/>
          <w:bCs w:val="1"/>
          <w:color w:val="auto"/>
        </w:rPr>
        <w:t xml:space="preserve"> </w:t>
      </w:r>
      <w:r>
        <w:rPr>
          <w:rFonts w:ascii="Arial" w:cs="Arial" w:eastAsia="Arial" w:hAnsi="Arial"/>
          <w:sz w:val="16"/>
          <w:szCs w:val="16"/>
          <w:color w:val="auto"/>
        </w:rPr>
        <w:t>is to be paid, in whole or in part, pursuant to a Company Conversion, certify that there is not then an Equity Conditions Failure, a Dollar Failure or a Volume Failure, in each case, as of the date of the Company Installment Notice. Each Company Installment Notice shall be irrevocable and may not be revoked by the Company. If the Company does not timely deliver a Company Installment Notice in accordance with this Section 8 with respect to any Installment Date, then the Company shall be deemed to have delivered an irrevocable Company Installment Notice confirming a Company Conversion of the entire Installment Amount payable on such Installment Date and shall be deemed to have certified that there is not then an Equity Conditions Failure, a Dollar Failure or a Volume Failure, in each case, in connection with such Company Conversion. Notwithstanding the foregoing, if the Company d elivers, or is deemed to have delivered, a Company Installment Notice confirming or specifying (as the case may be) a Company Conversion with respect to all or a portion of the applicable Installment Amount and the Holder delivers (via facsimile or otherwise) a written notice to the Company prior to the applicable Delivery Date specifying the portion of the applicable Installment Amount with respect to which such Company Conversion would result in a violation of Section 3(d) if such Company Conversion were effected (such amount so specified is referred to herein as the “</w:t>
      </w:r>
      <w:r>
        <w:rPr>
          <w:rFonts w:ascii="Arial" w:cs="Arial" w:eastAsia="Arial" w:hAnsi="Arial"/>
          <w:sz w:val="16"/>
          <w:szCs w:val="16"/>
          <w:b w:val="1"/>
          <w:bCs w:val="1"/>
          <w:color w:val="auto"/>
        </w:rPr>
        <w:t>Specified Amount</w:t>
      </w:r>
      <w:r>
        <w:rPr>
          <w:rFonts w:ascii="Arial" w:cs="Arial" w:eastAsia="Arial" w:hAnsi="Arial"/>
          <w:sz w:val="16"/>
          <w:szCs w:val="16"/>
          <w:color w:val="auto"/>
        </w:rPr>
        <w:t>”), then such Company Installment Notice shall be deemed to have, at the time it was delivered, (I) stated that the Company elected a Company Redemption with respect to the applicable Specified Amount and that the applicable Specified Amount will be the applicable Company Redemption Amount on the applicable Installment Date and (II) confirmed a Company Convers ion with respect to the remaining portion of the applicable Installment Amount equal to the difference between the applicable Installment Amount and the applicable Specified Amount. No later than two (2) Trading Days after delivery or deemed delivery (as applicable) of the applicable Company Installment Notice setting forth a Company Conversion Amount (the “</w:t>
      </w:r>
      <w:r>
        <w:rPr>
          <w:rFonts w:ascii="Arial" w:cs="Arial" w:eastAsia="Arial" w:hAnsi="Arial"/>
          <w:sz w:val="16"/>
          <w:szCs w:val="16"/>
          <w:b w:val="1"/>
          <w:bCs w:val="1"/>
          <w:color w:val="auto"/>
        </w:rPr>
        <w:t>Delivery Date</w:t>
      </w:r>
      <w:r>
        <w:rPr>
          <w:rFonts w:ascii="Arial" w:cs="Arial" w:eastAsia="Arial" w:hAnsi="Arial"/>
          <w:sz w:val="16"/>
          <w:szCs w:val="16"/>
          <w:color w:val="auto"/>
        </w:rPr>
        <w:t>”), the Company shall deliver to the Holder’s account with DTC such number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66" w:name="page67"/>
    <w:bookmarkEnd w:id="66"/>
    <w:p>
      <w:pPr>
        <w:jc w:val="both"/>
        <w:spacing w:after="0" w:line="292" w:lineRule="auto"/>
        <w:rPr>
          <w:sz w:val="20"/>
          <w:szCs w:val="20"/>
          <w:color w:val="auto"/>
        </w:rPr>
      </w:pPr>
      <w:r>
        <w:rPr>
          <w:rFonts w:ascii="Arial" w:cs="Arial" w:eastAsia="Arial" w:hAnsi="Arial"/>
          <w:sz w:val="16"/>
          <w:szCs w:val="16"/>
          <w:color w:val="auto"/>
        </w:rPr>
        <w:t>shares of Common Stock (the “</w:t>
      </w:r>
      <w:r>
        <w:rPr>
          <w:rFonts w:ascii="Arial" w:cs="Arial" w:eastAsia="Arial" w:hAnsi="Arial"/>
          <w:sz w:val="16"/>
          <w:szCs w:val="16"/>
          <w:b w:val="1"/>
          <w:bCs w:val="1"/>
          <w:color w:val="auto"/>
        </w:rPr>
        <w:t>Pre-Installment Conversion Shares</w:t>
      </w:r>
      <w:r>
        <w:rPr>
          <w:rFonts w:ascii="Arial" w:cs="Arial" w:eastAsia="Arial" w:hAnsi="Arial"/>
          <w:sz w:val="16"/>
          <w:szCs w:val="16"/>
          <w:color w:val="auto"/>
        </w:rPr>
        <w:t>”) equal to the quotient of (x) such Company Conversion Amount divided by (y) the Pre-Installment Conversion Price, and as to which the Holder shall be the owner thereof as of such time of delivery or deemed delivery (as the case may be) of such Company Installment Notice. Except as expressly provided in this Section 8(a),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Company Conversion Amount (whether set fort h in the applicable Company Installment Notice or by operation of this Section 8) shall be converted in accordance with Section 8(b) and the applicable Company Redemption Amount shall be redeemed in accordance with Section 8(c).</w:t>
      </w:r>
    </w:p>
    <w:p>
      <w:pPr>
        <w:spacing w:after="0" w:line="166" w:lineRule="exact"/>
        <w:rPr>
          <w:sz w:val="20"/>
          <w:szCs w:val="20"/>
          <w:color w:val="auto"/>
        </w:rPr>
      </w:pPr>
    </w:p>
    <w:p>
      <w:pPr>
        <w:jc w:val="both"/>
        <w:ind w:firstLine="645"/>
        <w:spacing w:after="0" w:line="267" w:lineRule="auto"/>
        <w:tabs>
          <w:tab w:leader="none" w:pos="142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Mechanics of Company Conversion</w:t>
      </w:r>
      <w:r>
        <w:rPr>
          <w:rFonts w:ascii="Arial" w:cs="Arial" w:eastAsia="Arial" w:hAnsi="Arial"/>
          <w:sz w:val="17"/>
          <w:szCs w:val="17"/>
          <w:color w:val="auto"/>
        </w:rPr>
        <w:t>. Subject to Section 3(d), if the Company delivers a Company Installment Notice and elects, or is deemed to have delivered a Company Installment Notice and deemed to have elected, in whole or in part, a Company Conversion in accordance with Section 8(a), then the remainder of this Section 8(b) shall apply. The applicable Company Conversion Amount, if any, which remains outstanding as of the applicable Installment Date shall be converted as of the applicable Installment Date by converting on such Installment Date such Company Conversion Amount at the Company Conversion Price, and the Company shall, on the applicable Installment Date, deliver to the Holder’s account w ith DTC such shares of Common Stock issued upon such conversion (subject to the reduction contemplated by the immediately following sentence and, if applicable, the last sentence of this Section 8(b)), provided that the Equity Conditions are then satisfied (or waived in writing by the Holder) on such Installment Date, a Company Conversion is not otherwise prohibited under any other provision of this Note (including, without limitation, as a result of the occurrence of a Dollar Failure or a Volume Failure (each determined as of the applicable Installment Date)) and the Holder shall not have delivered (via facsimile or otherwise) to the Company written notice after the applicable Delivery Date but prior to the applicable Installment Date stating that such Company Conversion would result in a violation of Section 3(d) if such Company Conversion were effected (which written notice is referred to herein as a “</w:t>
      </w:r>
      <w:r>
        <w:rPr>
          <w:rFonts w:ascii="Arial" w:cs="Arial" w:eastAsia="Arial" w:hAnsi="Arial"/>
          <w:sz w:val="17"/>
          <w:szCs w:val="17"/>
          <w:b w:val="1"/>
          <w:bCs w:val="1"/>
          <w:color w:val="auto"/>
        </w:rPr>
        <w:t>Blocker Notice</w:t>
      </w:r>
      <w:r>
        <w:rPr>
          <w:rFonts w:ascii="Arial" w:cs="Arial" w:eastAsia="Arial" w:hAnsi="Arial"/>
          <w:sz w:val="17"/>
          <w:szCs w:val="17"/>
          <w:color w:val="auto"/>
        </w:rPr>
        <w:t>” and shall specify the portion of the applicable Installment Amount with respect to which such Company Conversion would result in a violation of Section 3(d) if such Company Conversion were effected (such amount so specified is referred to herein as the “</w:t>
      </w:r>
      <w:r>
        <w:rPr>
          <w:rFonts w:ascii="Arial" w:cs="Arial" w:eastAsia="Arial" w:hAnsi="Arial"/>
          <w:sz w:val="17"/>
          <w:szCs w:val="17"/>
          <w:b w:val="1"/>
          <w:bCs w:val="1"/>
          <w:color w:val="auto"/>
        </w:rPr>
        <w:t>Designated Specified Amount</w:t>
      </w:r>
      <w:r>
        <w:rPr>
          <w:rFonts w:ascii="Arial" w:cs="Arial" w:eastAsia="Arial" w:hAnsi="Arial"/>
          <w:sz w:val="17"/>
          <w:szCs w:val="17"/>
          <w:color w:val="auto"/>
        </w:rPr>
        <w:t>”)). The number of shares of Common Stock to be delivered upon such Company Conversion shall be reduced by the number of any Pre-Installment Conversion Shares delivered in connection with such Installment Date. If an Event of Default occurs during any applicable Company Conversion Measuring Period, then either (i) the Holder shall return any Pre-Installment Conversion Shares delivered in connection with the applicable Installment Date or (ii) the Conversion Amount used to calculate the Event of Default Redemption Price shall be reduced by the product of (x) the Company Conversion Amount applicable to such Installment Date multiplie d by (y) the Conversion Share Ratio (as defined below). If any of the Equity Conditions are not satisfied (or waived in writing by the Holder) on such Installment Date, a Company Conversion is not otherwise permitted under any other provision of this Note (including, without limitation, as a result of the occurrence of a</w:t>
      </w:r>
    </w:p>
    <w:p>
      <w:pPr>
        <w:spacing w:after="0" w:line="200" w:lineRule="exact"/>
        <w:rPr>
          <w:sz w:val="20"/>
          <w:szCs w:val="20"/>
          <w:color w:val="auto"/>
        </w:rPr>
      </w:pPr>
    </w:p>
    <w:p>
      <w:pPr>
        <w:spacing w:after="0" w:line="3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86" w:right="239" w:bottom="1440" w:gutter="0" w:footer="0" w:header="0"/>
        </w:sectPr>
      </w:pPr>
    </w:p>
    <w:bookmarkStart w:id="67" w:name="page68"/>
    <w:bookmarkEnd w:id="67"/>
    <w:p>
      <w:pPr>
        <w:jc w:val="both"/>
        <w:spacing w:after="0" w:line="280" w:lineRule="auto"/>
        <w:rPr>
          <w:sz w:val="20"/>
          <w:szCs w:val="20"/>
          <w:color w:val="auto"/>
        </w:rPr>
      </w:pPr>
      <w:r>
        <w:rPr>
          <w:rFonts w:ascii="Arial" w:cs="Arial" w:eastAsia="Arial" w:hAnsi="Arial"/>
          <w:sz w:val="16"/>
          <w:szCs w:val="16"/>
          <w:color w:val="auto"/>
        </w:rPr>
        <w:t>Dollar Failure or a Volume Failure (each determined as of the applicable Installment Date)) or the Holder shall have delivered (via facsimile or otherwise) to the Company a Blocker Notice after the applicable Delivery Date but prior to the applicable Installment Date, then, at the option of the Holder designated in writing to the Company, the Holder may require the Company to do any one or more of the following: (i) the Company shall redeem all or any part designated by the Holder of the unconverted Company Conversion Amount (such designated amount is referred to as the “</w:t>
      </w:r>
      <w:r>
        <w:rPr>
          <w:rFonts w:ascii="Arial" w:cs="Arial" w:eastAsia="Arial" w:hAnsi="Arial"/>
          <w:sz w:val="16"/>
          <w:szCs w:val="16"/>
          <w:b w:val="1"/>
          <w:bCs w:val="1"/>
          <w:color w:val="auto"/>
        </w:rPr>
        <w:t>Designated Redemption Amount</w:t>
      </w:r>
      <w:r>
        <w:rPr>
          <w:rFonts w:ascii="Arial" w:cs="Arial" w:eastAsia="Arial" w:hAnsi="Arial"/>
          <w:sz w:val="16"/>
          <w:szCs w:val="16"/>
          <w:color w:val="auto"/>
        </w:rPr>
        <w:t>”) (or, if a Blocker Notice was delivered (via facsimile or otherwise) to the Company by the Holder after the applicable Delivery Date but prior to the applicable Installme nt Date, the entire Designated Specified Amount) and the Company shall pay to the Holder, by wire transfer of immediately available funds, an amount in cash equal to 125% of such Designated Redemption Amount within three (3) days of such Installment Date (or 100% of the Designated Specified Amount on the applicable Installment Date solely if the Holder delivered (via facsimile or otherwise) a Blocker Notice to the Company after the applicable Delivery Date but prior to prior to the applicable Installment Date) (as applicable), and/or (ii) the Company Conversion shall be null and void with respect to all or any part designated by the Holder of the unconverted Company Conversion Amount (other than the Designated Specified Amount which shall be paid to the Holder in accordance with clause (i) above) and the Holder shall be entitled to all the rights of a holder of this Note with respect to such designated part of the Company Conversion Amount; provided, however, the Conversion Price for such designat ed part of such unconverted Company Conversion Amount shall thereafter be adjusted to equal the lesser of (A) the Company Conversion Price as in effect on the date on which the Holder voided the Company Conversion and (B) the Company Conversion Price that would be in effect on the date on which the Holder delivers a Conversion Notice relating thereto as if such date was an Installment Date. In addition, if any of the Equity Conditions are not satisfied (or waived in writing by the Holder) on such Installment Date, a Company Conversion is not otherwise permitted under any other provision of this Note (including, without limitation, as a result of the occurrence of a Dollar Failure or a Volume Failure (each determined as of the applicable Installment Date)) or if the Holder shall have delivered (via facsimile or otherwise) to the Company a Blocker Notice after the applicable Delivery Date but prior to the applicable Installment Date, then, at the Holder’s option, either (I) the Holder shall return any Pr e-Installment Conversion Shares delivered in connection with the applicable Installment Date or (II) the applicable Designated Redemption Amount shall be reduced by the product of (X) the Company Conversion Amount applicable to such Installment Date multiplied by (Y) the Conversion Share Ratio. If the Company fails to redeem any Designated Redemption Amount by the third (3</w:t>
      </w:r>
      <w:r>
        <w:rPr>
          <w:rFonts w:ascii="Arial" w:cs="Arial" w:eastAsia="Arial" w:hAnsi="Arial"/>
          <w:sz w:val="22"/>
          <w:szCs w:val="22"/>
          <w:color w:val="auto"/>
          <w:vertAlign w:val="superscript"/>
        </w:rPr>
        <w:t>rd</w:t>
      </w:r>
      <w:r>
        <w:rPr>
          <w:rFonts w:ascii="Arial" w:cs="Arial" w:eastAsia="Arial" w:hAnsi="Arial"/>
          <w:sz w:val="16"/>
          <w:szCs w:val="16"/>
          <w:color w:val="auto"/>
        </w:rPr>
        <w:t>) day following the applicable Installment Date by payment of such amount on the applicable Installment Date, then the Holder shall have the rights set forth in Section 11(a) as if the Company failed to pay the applicable Company Installment Redemption Price (as defined below) and all other rights under this Note (including, without limitation, such failure constituting an Event of Default described in Section 4(a)(xv)). Notwithstanding anything to the contrary in this Section 8(b), but subject to 3(d), until the Company delivers Common Stock representing the C ompany Conversion Amount to the Holder, the Company Conversion Amount may be converted by the Holder into Common Stock pursuant to Section 3. In the event that the Holder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68" w:name="page69"/>
    <w:bookmarkEnd w:id="68"/>
    <w:p>
      <w:pPr>
        <w:jc w:val="both"/>
        <w:ind w:left="660"/>
        <w:spacing w:after="0" w:line="271" w:lineRule="auto"/>
        <w:rPr>
          <w:sz w:val="20"/>
          <w:szCs w:val="20"/>
          <w:color w:val="auto"/>
        </w:rPr>
      </w:pPr>
      <w:r>
        <w:rPr>
          <w:rFonts w:ascii="Arial" w:cs="Arial" w:eastAsia="Arial" w:hAnsi="Arial"/>
          <w:sz w:val="17"/>
          <w:szCs w:val="17"/>
          <w:color w:val="auto"/>
        </w:rPr>
        <w:t>elects to convert the Company Conversion Amount prior to the applicable Installment Date as set forth in the immediately preceding sentence, the Company Conversion Amount so converted shall be deducted from the Installment Amount(s) relating to the applicable Installment Date(s) as set forth in the applicable Conversion Notice. If, with respect to an Installment Date, the number of Pre-Installment Conversion Shares delivered to the Holder exceeds the number of Post-Installment Conversion Shares with respect to such Installment Date, then the number of shares of Common Stock equal to such excess shall constitute a credit against the number of shares of Common Stock to be issued to such Holder pursuant to Sections 3 and 8(a) hereof and shall reduce the number of shares of Common Stock required to be actually issued by the Company to the Holder under such sections on a share-for-share basis until such time as the number of shares that would have been issued by the Company to such Holder (not taking account of such credit) equals the amount of such excess.</w:t>
      </w:r>
    </w:p>
    <w:p>
      <w:pPr>
        <w:spacing w:after="0" w:line="179" w:lineRule="exact"/>
        <w:rPr>
          <w:sz w:val="20"/>
          <w:szCs w:val="20"/>
          <w:color w:val="auto"/>
        </w:rPr>
      </w:pPr>
    </w:p>
    <w:p>
      <w:pPr>
        <w:jc w:val="both"/>
        <w:ind w:left="660" w:firstLine="645"/>
        <w:spacing w:after="0" w:line="268" w:lineRule="auto"/>
        <w:tabs>
          <w:tab w:leader="none" w:pos="2057"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Mechanics of Company Redemption</w:t>
      </w:r>
      <w:r>
        <w:rPr>
          <w:rFonts w:ascii="Arial" w:cs="Arial" w:eastAsia="Arial" w:hAnsi="Arial"/>
          <w:sz w:val="17"/>
          <w:szCs w:val="17"/>
          <w:color w:val="auto"/>
        </w:rPr>
        <w:t>. If the Company elects, or is required to elect, a Company Redemption, in whole or in part, in accordance with Section 8(a), then the Company Redemption Amount, if any, which is to be paid to the Holder on the applicable Installment Date shall be redeemed by the Company on such Installment Date, and the Company shall pay to the Holder on such Installment Date, by wire transfer of immediately available funds, in an amount in cash equal to the applicable Company Redemption Amount (the “</w:t>
      </w:r>
      <w:r>
        <w:rPr>
          <w:rFonts w:ascii="Arial" w:cs="Arial" w:eastAsia="Arial" w:hAnsi="Arial"/>
          <w:sz w:val="17"/>
          <w:szCs w:val="17"/>
          <w:b w:val="1"/>
          <w:bCs w:val="1"/>
          <w:color w:val="auto"/>
        </w:rPr>
        <w:t>Company Installment Redemption</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If the Company fails to redeem the applicable Company Redemption Amount on the app licable Installment Date by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Installment Redemption Price on such date, then, at the option of the Holder designated in writing to the Company (any such designation shall be a “Conversion Notice” for purposes of this Note), the Holder may require the Company to convert all or any part of the Company Redemption Amount at the Company Conversion Price (determined as of the date of such designation as if such date were an Installment Date). Conversions required by this Section 8(c) shall be made in accordance with the provisions of Section 3(c). Notwithstanding anything to the contrary in this Section 8(c), but subject to Section 3(d), until the Company Installment Redemption Price is paid in full, the Company Redemption Amount may be converted, in whole or in part, by the Holder into Common Stock pursuant to Section 3. In the event the Holder elects to convert all or any portion of the Company Redemption Amount prior to the applicable Installment Date as set forth in the immedi ately preceding sentence, the Company Redemption Amount so converted shall be deducted from the Installment Amounts relating to the applicable Installment Date(s) as set forth in the applicable Conversion Notice.</w:t>
      </w:r>
    </w:p>
    <w:p>
      <w:pPr>
        <w:spacing w:after="0" w:line="185" w:lineRule="exact"/>
        <w:rPr>
          <w:rFonts w:ascii="Arial" w:cs="Arial" w:eastAsia="Arial" w:hAnsi="Arial"/>
          <w:sz w:val="17"/>
          <w:szCs w:val="17"/>
          <w:color w:val="auto"/>
        </w:rPr>
      </w:pPr>
    </w:p>
    <w:p>
      <w:pPr>
        <w:jc w:val="both"/>
        <w:ind w:firstLine="656"/>
        <w:spacing w:after="0" w:line="273" w:lineRule="auto"/>
        <w:tabs>
          <w:tab w:leader="none" w:pos="154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 g, the Company (i) shall not increase the par value of any shares of Common Stock receivable upon conversion of this Note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18"/>
          <w:szCs w:val="18"/>
          <w:color w:val="auto"/>
        </w:rPr>
        <w:t>above the Conversion Price then in effect, (ii) shall take all such actions as may be necessary or appropriate in order that the Company may validly and legally issue fully paid and nonassessable shares of Common Stock upon the conversion of this Note, and (iii) shall, so long as any of the Notes are outstanding, take all action necessary to reserve and keep available out of its authorized and unissued shares of Common Stock, solely for the purpose of effecting the conversion of the Notes, the maximum number of shares of Common Stock as shall from time to time be necessary to effect the conversion of the Notes then outstanding (without regard to any limitations on conversion).</w:t>
      </w:r>
    </w:p>
    <w:p>
      <w:pPr>
        <w:spacing w:after="0" w:line="188" w:lineRule="exact"/>
        <w:rPr>
          <w:sz w:val="20"/>
          <w:szCs w:val="20"/>
          <w:color w:val="auto"/>
        </w:rPr>
      </w:pPr>
    </w:p>
    <w:p>
      <w:pPr>
        <w:ind w:left="1380" w:hanging="724"/>
        <w:spacing w:after="0"/>
        <w:tabs>
          <w:tab w:leader="none" w:pos="13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RESERVATION OF AUTHORIZED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87" w:lineRule="auto"/>
        <w:tabs>
          <w:tab w:leader="none" w:pos="2246"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Reservation</w:t>
      </w:r>
      <w:r>
        <w:rPr>
          <w:rFonts w:ascii="Arial" w:cs="Arial" w:eastAsia="Arial" w:hAnsi="Arial"/>
          <w:sz w:val="16"/>
          <w:szCs w:val="16"/>
          <w:color w:val="auto"/>
        </w:rPr>
        <w:t>. The Company shall initially reserve out of its authorized and unissued Common Stock a number of shares of Common Stock for each of the Notes equal to 133% of the entire Conversion Rate with respect to the entire Conversion Amount of each such Note as of the Issuance Date. So long as any of the Notes are outstanding, the Company shall take all action necessary to reserve and keep available out of its authorized and unissued Common Stock, solely for the purpose of effecting the conversion of the Notes, 133% of the number of shares of Common Stock as shall from time to time be necessary to effect the conversion of all of the Notes then outstanding, provided that at no time shall the number of shares of Common Stock so reserved be less than the number of shares required to be reserved by the previous sentence (without regard to any limitations on conversions)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The initial number of shares of Common Stock reserved for conversions of the Notes and each increase in the number of shares so reserved shall be allocated pro rata among the holders of the Notes based on the original principal amount of the Notes held by each holder on the Closing Date or increase in the number of reserved shares (as the case may be) (the “</w:t>
      </w:r>
      <w:r>
        <w:rPr>
          <w:rFonts w:ascii="Arial" w:cs="Arial" w:eastAsia="Arial" w:hAnsi="Arial"/>
          <w:sz w:val="16"/>
          <w:szCs w:val="16"/>
          <w:b w:val="1"/>
          <w:bCs w:val="1"/>
          <w:color w:val="auto"/>
        </w:rPr>
        <w:t>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Share Allocation</w:t>
      </w:r>
      <w:r>
        <w:rPr>
          <w:rFonts w:ascii="Arial" w:cs="Arial" w:eastAsia="Arial" w:hAnsi="Arial"/>
          <w:sz w:val="16"/>
          <w:szCs w:val="16"/>
          <w:color w:val="auto"/>
        </w:rPr>
        <w:t>”). In the event that a holder shall sell or otherwise transfer any of such holder’s Notes, each transferee shall be allocated a 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68" w:lineRule="exact"/>
        <w:rPr>
          <w:rFonts w:ascii="Arial" w:cs="Arial" w:eastAsia="Arial" w:hAnsi="Arial"/>
          <w:sz w:val="16"/>
          <w:szCs w:val="16"/>
          <w:color w:val="auto"/>
        </w:rPr>
      </w:pPr>
    </w:p>
    <w:p>
      <w:pPr>
        <w:jc w:val="both"/>
        <w:ind w:left="660" w:firstLine="645"/>
        <w:spacing w:after="0" w:line="287" w:lineRule="auto"/>
        <w:tabs>
          <w:tab w:leader="none" w:pos="2027"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notwithstanding Section 10(a),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 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(or receive written consent signed by the majority of its shareholders in lieu of such meeting in accordance with Section 78.315 of the Nevada Revised Statutes) for the approval of an increase in the number of authorized shares of Common Stock. In connection with such meeting, if necessary,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0" w:name="page71"/>
    <w:bookmarkEnd w:id="70"/>
    <w:p>
      <w:pPr>
        <w:ind w:left="704" w:hanging="704"/>
        <w:spacing w:after="0"/>
        <w:tabs>
          <w:tab w:leader="none" w:pos="70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HOLDER’S REDEMPTIONS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3" w:lineRule="auto"/>
        <w:tabs>
          <w:tab w:leader="none" w:pos="1468"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Mechanics</w:t>
      </w:r>
      <w:r>
        <w:rPr>
          <w:rFonts w:ascii="Arial" w:cs="Arial" w:eastAsia="Arial" w:hAnsi="Arial"/>
          <w:sz w:val="16"/>
          <w:szCs w:val="16"/>
          <w:color w:val="auto"/>
        </w:rPr>
        <w:t>. The Company shall deliver the applicable Event of Default Redemption Price to the Holder in cash within five (5) Business Days after the Company’s receipt of the Holder’s Event of Default Redemption Notice. If the Holder has submitted a Fundamental Transaction Redemption Notice in accordance with Section 5(b), the Company shall deliver the applicable Fundamental Transaction Redemption Price to the Holder in cash concurrently with the consummation of such Fundamental Transaction if such notice is received prior to the consummation of such Fundamental Transaction and within five (5) Business Days after the Company’s receipt of such notice otherwise. The Company shall deliver the applicable Company Installment Redemption Price to the Holder in cash on the applicable Installment Date. In the event of a redemption of less than all of the Conversion Amount of this Note, the Company shall promptly cause to be issued and delivered to the Holder a new Note (in accordance with Section 18(d))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has not been paid. Upon the Company’s receipt of such notice, (x) the applicable Redemption Notice shall be null and void with respect to such Conversion Amount, (y ) the Company shall immediately return this Note, or issue a new Note (in accordance with Section 18(d)), to the Holder, and in each case the principal amount of this Note or such new Note (as the case may be) shall be increased by an amount equal to the difference between</w:t>
      </w:r>
    </w:p>
    <w:p>
      <w:pPr>
        <w:spacing w:after="0" w:line="2" w:lineRule="exact"/>
        <w:rPr>
          <w:rFonts w:ascii="Arial" w:cs="Arial" w:eastAsia="Arial" w:hAnsi="Arial"/>
          <w:sz w:val="16"/>
          <w:szCs w:val="16"/>
          <w:color w:val="auto"/>
        </w:rPr>
      </w:pPr>
    </w:p>
    <w:p>
      <w:pPr>
        <w:jc w:val="both"/>
        <w:ind w:left="4"/>
        <w:spacing w:after="0" w:line="252" w:lineRule="auto"/>
        <w:rPr>
          <w:rFonts w:ascii="Arial" w:cs="Arial" w:eastAsia="Arial" w:hAnsi="Arial"/>
          <w:sz w:val="16"/>
          <w:szCs w:val="16"/>
          <w:color w:val="auto"/>
        </w:rPr>
      </w:pPr>
      <w:r>
        <w:rPr>
          <w:rFonts w:ascii="Arial" w:cs="Arial" w:eastAsia="Arial" w:hAnsi="Arial"/>
          <w:sz w:val="18"/>
          <w:szCs w:val="18"/>
          <w:color w:val="auto"/>
        </w:rPr>
        <w:t>(1) the applicable Event of Default Redemption Price or Fundamental Transaction Redemption Price (as the case may be) minus (2)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80% of the lowest Closing Bid Price of the Common Stock during the period beginning on and including the date on which the applicable Redemption Notice is delivered to the Company and ending on and including the date on which the applicable Redemption Notice is void ed and (C) 80% of the VWAP for the five (5) Trading Day period immediately preceding the Conversion Date of the applicable conversion.</w:t>
      </w:r>
    </w:p>
    <w:p>
      <w:pPr>
        <w:spacing w:after="0" w:line="193" w:lineRule="exact"/>
        <w:rPr>
          <w:rFonts w:ascii="Arial" w:cs="Arial" w:eastAsia="Arial" w:hAnsi="Arial"/>
          <w:sz w:val="16"/>
          <w:szCs w:val="16"/>
          <w:color w:val="auto"/>
        </w:rPr>
      </w:pPr>
    </w:p>
    <w:p>
      <w:pPr>
        <w:jc w:val="both"/>
        <w:ind w:left="4" w:firstLine="645"/>
        <w:spacing w:after="0" w:line="293" w:lineRule="auto"/>
        <w:tabs>
          <w:tab w:leader="none" w:pos="1411"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Redemption by Other Holders</w:t>
      </w:r>
      <w:r>
        <w:rPr>
          <w:rFonts w:ascii="Arial" w:cs="Arial" w:eastAsia="Arial" w:hAnsi="Arial"/>
          <w:sz w:val="16"/>
          <w:szCs w:val="16"/>
          <w:color w:val="auto"/>
        </w:rPr>
        <w:t>. Upon the Company’s receipt of notice from any of the holders of the Other Notes for redemption or repayment as a result of an event or occurrence substantially similar to the events or occurrences described in Section 4(b) or Section 5(b) (each, an “</w:t>
      </w:r>
      <w:r>
        <w:rPr>
          <w:rFonts w:ascii="Arial" w:cs="Arial" w:eastAsia="Arial" w:hAnsi="Arial"/>
          <w:sz w:val="16"/>
          <w:szCs w:val="16"/>
          <w:b w:val="1"/>
          <w:bCs w:val="1"/>
          <w:color w:val="auto"/>
        </w:rPr>
        <w:t>Other Redemption Notice</w:t>
      </w:r>
      <w:r>
        <w:rPr>
          <w:rFonts w:ascii="Arial" w:cs="Arial" w:eastAsia="Arial" w:hAnsi="Arial"/>
          <w:sz w:val="16"/>
          <w:szCs w:val="16"/>
          <w:color w:val="auto"/>
        </w:rPr>
        <w:t>”), the Company shall immediately, but no later than one (1) Business Day of its receipt thereof, forward to the Holder by facsimile a copy of such notice. If the Company receives a Redemption Notice and one or more Other Redemption Notices, during the seven (7) Business Day period beginning on and including the date which is three ( 3) Business Days prior to the Company’s receipt of the Holder’s applicable Redemption Notice and ending on and including the date which is three (3) Business Days after the Company’s receipt of the</w:t>
      </w:r>
    </w:p>
    <w:p>
      <w:pPr>
        <w:spacing w:after="0" w:line="200" w:lineRule="exact"/>
        <w:rPr>
          <w:sz w:val="20"/>
          <w:szCs w:val="20"/>
          <w:color w:val="auto"/>
        </w:rPr>
      </w:pPr>
    </w:p>
    <w:p>
      <w:pPr>
        <w:spacing w:after="0" w:line="33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71" w:name="page72"/>
    <w:bookmarkEnd w:id="71"/>
    <w:p>
      <w:pPr>
        <w:jc w:val="both"/>
        <w:ind w:left="660"/>
        <w:spacing w:after="0" w:line="302" w:lineRule="auto"/>
        <w:rPr>
          <w:sz w:val="20"/>
          <w:szCs w:val="20"/>
          <w:color w:val="auto"/>
        </w:rPr>
      </w:pPr>
      <w:r>
        <w:rPr>
          <w:rFonts w:ascii="Arial" w:cs="Arial" w:eastAsia="Arial" w:hAnsi="Arial"/>
          <w:sz w:val="16"/>
          <w:szCs w:val="16"/>
          <w:color w:val="auto"/>
        </w:rPr>
        <w:t>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54" w:lineRule="exact"/>
        <w:rPr>
          <w:sz w:val="20"/>
          <w:szCs w:val="20"/>
          <w:color w:val="auto"/>
        </w:rPr>
      </w:pPr>
    </w:p>
    <w:p>
      <w:pPr>
        <w:ind w:firstLine="656"/>
        <w:spacing w:after="0" w:line="277" w:lineRule="auto"/>
        <w:tabs>
          <w:tab w:leader="none" w:pos="155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without limitation, Chapters 78 and 92A of the Nevada Revised Statutes) and as expressly provided in this Note.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Until all of the Notes have been converted, redeemed or otherwise satisfied in accordance with their terms:</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224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xml:space="preserve">. All payments due under this Note (a)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Notes and (b) shall be senior to all other Indebtedness of the Company and its Subsidiaries other than Permitted Senior Indebtedness.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18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Permitted Indebtedness).</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2125"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Existence of Liens</w:t>
      </w:r>
      <w:r>
        <w:rPr>
          <w:rFonts w:ascii="Arial" w:cs="Arial" w:eastAsia="Arial" w:hAnsi="Arial"/>
          <w:sz w:val="17"/>
          <w:szCs w:val="17"/>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7"/>
          <w:szCs w:val="17"/>
          <w:b w:val="1"/>
          <w:bCs w:val="1"/>
          <w:color w:val="auto"/>
        </w:rPr>
        <w:t>Liens</w:t>
      </w:r>
      <w:r>
        <w:rPr>
          <w:rFonts w:ascii="Arial" w:cs="Arial" w:eastAsia="Arial" w:hAnsi="Arial"/>
          <w:sz w:val="17"/>
          <w:szCs w:val="17"/>
          <w:color w:val="auto"/>
        </w:rPr>
        <w:t>”) other than Permitted Liens.</w:t>
      </w:r>
    </w:p>
    <w:p>
      <w:pPr>
        <w:spacing w:after="0" w:line="165" w:lineRule="exact"/>
        <w:rPr>
          <w:rFonts w:ascii="Arial" w:cs="Arial" w:eastAsia="Arial" w:hAnsi="Arial"/>
          <w:sz w:val="17"/>
          <w:szCs w:val="17"/>
          <w:color w:val="auto"/>
        </w:rPr>
      </w:pPr>
    </w:p>
    <w:p>
      <w:pPr>
        <w:jc w:val="both"/>
        <w:ind w:left="660" w:firstLine="645"/>
        <w:spacing w:after="0" w:line="255" w:lineRule="auto"/>
        <w:tabs>
          <w:tab w:leader="none" w:pos="2081"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Permitted Senior Indebtedness), whether by way of payment in respect of principal of (or premium, if any) or interest on, such Indebtedness if at the time such payment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189" w:lineRule="exact"/>
        <w:rPr>
          <w:rFonts w:ascii="Arial" w:cs="Arial" w:eastAsia="Arial" w:hAnsi="Arial"/>
          <w:sz w:val="18"/>
          <w:szCs w:val="18"/>
          <w:color w:val="auto"/>
        </w:rPr>
      </w:pPr>
    </w:p>
    <w:p>
      <w:pPr>
        <w:jc w:val="both"/>
        <w:ind w:left="660" w:firstLine="645"/>
        <w:spacing w:after="0" w:line="264" w:lineRule="auto"/>
        <w:tabs>
          <w:tab w:leader="none" w:pos="204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Restriction on Redemption and Cash Dividends</w:t>
      </w:r>
      <w:r>
        <w:rPr>
          <w:rFonts w:ascii="Arial" w:cs="Arial" w:eastAsia="Arial" w:hAnsi="Arial"/>
          <w:sz w:val="18"/>
          <w:szCs w:val="18"/>
          <w:color w:val="auto"/>
        </w:rPr>
        <w:t>. The Company shall not, and the Company shall cause each of its Subsidiaries to not, directly or indirectly, redeem, repurchase or declare or pay any cash dividend or distribution on any of its capital stock without the prior express written consent of the Holder.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2" w:name="page73"/>
    <w:bookmarkEnd w:id="72"/>
    <w:p>
      <w:pPr>
        <w:jc w:val="both"/>
        <w:ind w:left="4" w:firstLine="645"/>
        <w:spacing w:after="0" w:line="283" w:lineRule="auto"/>
        <w:tabs>
          <w:tab w:leader="none" w:pos="1354"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Restriction on Transfer of Assets</w:t>
      </w:r>
      <w:r>
        <w:rPr>
          <w:rFonts w:ascii="Arial" w:cs="Arial" w:eastAsia="Arial" w:hAnsi="Arial"/>
          <w:sz w:val="16"/>
          <w:szCs w:val="16"/>
          <w:color w:val="auto"/>
        </w:rPr>
        <w:t>. The Company shall not, and the Company shall cause each of its Subsidiaries to not, directly or indirectly, sell, lease, license, assign, transfer,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that, in the aggregate, do not have a fair market value in excess of $250,000 in any twelve (12) month period, (ii) sales of inventory in the ordinary course of business, (iii) a license of “TAP” intellectual property and know how to the Aeras Global TB Vaccine Foundation (which is a not-for-profit entity) solely for development of a “TAP” inclusive tuberculosis vaccine, provided that such license is non-exclusive, terminable at will by the Company, royalty free, non-transferable, non-assignable and non-sublicensable, and the use of such intellectual property and know how thereunder and such vaccine is solely for not-for-profit purposes in undeveloped third world countries (which, for clarification purposes, does not include China) and (iv) licenses of intellectual property of the Company and its Subsidiaries to unaffiliated third Persons (other than as contemplated by clause (iii) above), provided that no such license shall</w:t>
      </w:r>
    </w:p>
    <w:p>
      <w:pPr>
        <w:spacing w:after="0" w:line="5" w:lineRule="exact"/>
        <w:rPr>
          <w:rFonts w:ascii="Arial" w:cs="Arial" w:eastAsia="Arial" w:hAnsi="Arial"/>
          <w:sz w:val="16"/>
          <w:szCs w:val="16"/>
          <w:color w:val="auto"/>
        </w:rPr>
      </w:pPr>
    </w:p>
    <w:p>
      <w:pPr>
        <w:jc w:val="both"/>
        <w:ind w:left="4" w:hanging="4"/>
        <w:spacing w:after="0" w:line="255"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for any exclusive use or right or other type of exclusivity, (2) transfer any ownership rights in any such intellectual property to any such third Person, (3) exceed a term of five (5) years (including renewals thereof) or (4) result in a license of all or substantially all of the assets of the Company or any of its Subsidiaries.</w:t>
      </w:r>
    </w:p>
    <w:p>
      <w:pPr>
        <w:spacing w:after="0" w:line="190" w:lineRule="exact"/>
        <w:rPr>
          <w:rFonts w:ascii="Arial" w:cs="Arial" w:eastAsia="Arial" w:hAnsi="Arial"/>
          <w:sz w:val="18"/>
          <w:szCs w:val="18"/>
          <w:color w:val="auto"/>
        </w:rPr>
      </w:pPr>
    </w:p>
    <w:p>
      <w:pPr>
        <w:jc w:val="both"/>
        <w:ind w:left="4" w:firstLine="645"/>
        <w:spacing w:after="0" w:line="264" w:lineRule="auto"/>
        <w:tabs>
          <w:tab w:leader="none" w:pos="1587"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Maturity of Indebtedness</w:t>
      </w:r>
      <w:r>
        <w:rPr>
          <w:rFonts w:ascii="Arial" w:cs="Arial" w:eastAsia="Arial" w:hAnsi="Arial"/>
          <w:sz w:val="18"/>
          <w:szCs w:val="18"/>
          <w:color w:val="auto"/>
        </w:rPr>
        <w:t>. The Company shall not, and the Company shall cause each of its Subsidiaries to not, directly or indirectly, permit any Indebtedness of the Company or any of the Subsidiaries to mature or accelerate prior to the Maturity Date, other than Permitted Senior Indebtedness.</w:t>
      </w:r>
    </w:p>
    <w:p>
      <w:pPr>
        <w:spacing w:after="0" w:line="181" w:lineRule="exact"/>
        <w:rPr>
          <w:rFonts w:ascii="Arial" w:cs="Arial" w:eastAsia="Arial" w:hAnsi="Arial"/>
          <w:sz w:val="18"/>
          <w:szCs w:val="18"/>
          <w:color w:val="auto"/>
        </w:rPr>
      </w:pPr>
    </w:p>
    <w:p>
      <w:pPr>
        <w:jc w:val="both"/>
        <w:ind w:left="4" w:firstLine="645"/>
        <w:spacing w:after="0" w:line="264" w:lineRule="auto"/>
        <w:tabs>
          <w:tab w:leader="none" w:pos="1397"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New Subsidiaries</w:t>
      </w:r>
      <w:r>
        <w:rPr>
          <w:rFonts w:ascii="Arial" w:cs="Arial" w:eastAsia="Arial" w:hAnsi="Arial"/>
          <w:sz w:val="18"/>
          <w:szCs w:val="18"/>
          <w:color w:val="auto"/>
        </w:rPr>
        <w:t>. Simultaneously with the acquisition or formation of each New Subsidiary, the Company shall cause such New Subsidiary to execute, and deliver to each holder of Notes, all Security Documents (as defined in the Securities Purchase Agreement) and Guaranties (as defined in the Securities Purchase Agreement) as requested by the Holder.</w:t>
      </w:r>
    </w:p>
    <w:p>
      <w:pPr>
        <w:spacing w:after="0" w:line="181" w:lineRule="exact"/>
        <w:rPr>
          <w:rFonts w:ascii="Arial" w:cs="Arial" w:eastAsia="Arial" w:hAnsi="Arial"/>
          <w:sz w:val="18"/>
          <w:szCs w:val="18"/>
          <w:color w:val="auto"/>
        </w:rPr>
      </w:pPr>
    </w:p>
    <w:p>
      <w:pPr>
        <w:jc w:val="both"/>
        <w:ind w:left="4" w:right="20" w:firstLine="645"/>
        <w:spacing w:after="0" w:line="279" w:lineRule="auto"/>
        <w:tabs>
          <w:tab w:leader="none" w:pos="1425"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Change in Nature of Business</w:t>
      </w:r>
      <w:r>
        <w:rPr>
          <w:rFonts w:ascii="Arial" w:cs="Arial" w:eastAsia="Arial" w:hAnsi="Arial"/>
          <w:sz w:val="17"/>
          <w:szCs w:val="17"/>
          <w:color w:val="auto"/>
        </w:rPr>
        <w:t>. The Company shall not, and the Company shall cause each of its Subsidiaries to not, directly or indirectly, engage in any material line of business substantially different from those lines of business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w:t>
      </w:r>
    </w:p>
    <w:p>
      <w:pPr>
        <w:spacing w:after="0" w:line="171" w:lineRule="exact"/>
        <w:rPr>
          <w:rFonts w:ascii="Arial" w:cs="Arial" w:eastAsia="Arial" w:hAnsi="Arial"/>
          <w:sz w:val="17"/>
          <w:szCs w:val="17"/>
          <w:color w:val="auto"/>
        </w:rPr>
      </w:pPr>
    </w:p>
    <w:p>
      <w:pPr>
        <w:jc w:val="both"/>
        <w:ind w:left="4" w:firstLine="645"/>
        <w:spacing w:after="0" w:line="232" w:lineRule="auto"/>
        <w:tabs>
          <w:tab w:leader="none" w:pos="161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Without limiting any obligation of the Company under any other provision of this Note (including, without limitation, Sections 4 and 29), the Company shall provide to the Holder on the second (2</w:t>
      </w:r>
      <w:r>
        <w:rPr>
          <w:rFonts w:ascii="Arial" w:cs="Arial" w:eastAsia="Arial" w:hAnsi="Arial"/>
          <w:sz w:val="25"/>
          <w:szCs w:val="25"/>
          <w:color w:val="auto"/>
          <w:vertAlign w:val="superscript"/>
        </w:rPr>
        <w:t>nd</w:t>
      </w:r>
      <w:r>
        <w:rPr>
          <w:rFonts w:ascii="Arial" w:cs="Arial" w:eastAsia="Arial" w:hAnsi="Arial"/>
          <w:sz w:val="18"/>
          <w:szCs w:val="18"/>
          <w:color w:val="auto"/>
        </w:rPr>
        <w:t>) Business Day following the end of each calendar month a certification (executed on behalf of the Company by the Chief Financial Officer of the Company) as to (i) whether an Event of Default occurred under Section 4(a)(xxii) with respect to the calendar month immediately preceding the date of</w:t>
      </w:r>
    </w:p>
    <w:p>
      <w:pPr>
        <w:spacing w:after="0" w:line="200" w:lineRule="exact"/>
        <w:rPr>
          <w:sz w:val="20"/>
          <w:szCs w:val="20"/>
          <w:color w:val="auto"/>
        </w:rPr>
      </w:pPr>
    </w:p>
    <w:p>
      <w:pPr>
        <w:spacing w:after="0" w:line="3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73" w:name="page74"/>
    <w:bookmarkEnd w:id="73"/>
    <w:p>
      <w:pPr>
        <w:jc w:val="both"/>
        <w:ind w:left="660"/>
        <w:spacing w:after="0" w:line="276" w:lineRule="auto"/>
        <w:rPr>
          <w:sz w:val="20"/>
          <w:szCs w:val="20"/>
          <w:color w:val="auto"/>
        </w:rPr>
      </w:pPr>
      <w:r>
        <w:rPr>
          <w:rFonts w:ascii="Arial" w:cs="Arial" w:eastAsia="Arial" w:hAnsi="Arial"/>
          <w:sz w:val="17"/>
          <w:szCs w:val="17"/>
          <w:color w:val="auto"/>
        </w:rPr>
        <w:t>such certification, (ii) the aggregate Available Excess Amount (if any) expended in the calendar month immediately preceding the date of such certification, (iii) the Available Subsequent Placement Excess Amount as of such time of determination and (iv) the Remaining Available Excess Amount (if any) as of the end of the calendar month immediately preceding the date of such certification. Without limiting any obligation of the Company under any other provision of this Note (including, without limitation, Sections 4 and 29), the Company shall immediately publicly disclose (on a Current Report on Form 8-K or otherwise) any such Event of Default on the date of such certification.</w:t>
      </w:r>
    </w:p>
    <w:p>
      <w:pPr>
        <w:spacing w:after="0" w:line="173" w:lineRule="exact"/>
        <w:rPr>
          <w:sz w:val="20"/>
          <w:szCs w:val="20"/>
          <w:color w:val="auto"/>
        </w:rPr>
      </w:pPr>
    </w:p>
    <w:p>
      <w:pPr>
        <w:ind w:firstLine="656"/>
        <w:spacing w:after="0" w:line="277" w:lineRule="auto"/>
        <w:tabs>
          <w:tab w:leader="none" w:pos="138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and the Other Notes are secured to the extent and in the manner set forth in the Transaction Documents (including, without limitation, the Security Agreement, the other Security Documents and the Guaranties).</w:t>
      </w:r>
    </w:p>
    <w:p>
      <w:pPr>
        <w:spacing w:after="0" w:line="170" w:lineRule="exact"/>
        <w:rPr>
          <w:rFonts w:ascii="Arial" w:cs="Arial" w:eastAsia="Arial" w:hAnsi="Arial"/>
          <w:sz w:val="18"/>
          <w:szCs w:val="18"/>
          <w:color w:val="auto"/>
        </w:rPr>
      </w:pPr>
    </w:p>
    <w:p>
      <w:pPr>
        <w:jc w:val="both"/>
        <w:ind w:firstLine="656"/>
        <w:spacing w:after="0" w:line="290" w:lineRule="auto"/>
        <w:tabs>
          <w:tab w:leader="none" w:pos="1422"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In addition to any adjustments pursuant to Section 7, the Holder, as the holder of this Note, shall be entitled to receive such dividends paid and distributions made to the holders of Common Stock to the same extent as if the Holder had converted this Note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 (provided, however, to the extent that the Holder’s right to participate in any such dividend or distribution would re sult in the Holder exceeding the Maximum Percentage, then the Holder shall not be entitled to participate in such dividend or distribution to such extent (or the beneficial ownership of any such shares of Common Stock as a result of such dividend or distribution to such extent) and such dividend or distribution to such extent shall be held in abeyance for the benefit of the Holder until such time, if ever, as its right thereto would not result in the Holder exceeding the Maximum Percentage).</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449"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AMENDING THE TERMS OF THIS NOTE</w:t>
      </w:r>
      <w:r>
        <w:rPr>
          <w:rFonts w:ascii="Arial" w:cs="Arial" w:eastAsia="Arial" w:hAnsi="Arial"/>
          <w:sz w:val="18"/>
          <w:szCs w:val="18"/>
          <w:color w:val="auto"/>
        </w:rPr>
        <w:t>. The prior written consent of the Holder shall be required for any change or amendment to this Note. No consideration shall be offered or paid to the Holder to amend or consent to a waiver or modification of any provision of this Note unless the same consideration is also offered to all of the holders of the Other Notes. The Holder shall be entitled, at its option, to the benefit of any amendment to any of the Other Notes.</w:t>
      </w:r>
    </w:p>
    <w:p>
      <w:pPr>
        <w:spacing w:after="0" w:line="186" w:lineRule="exact"/>
        <w:rPr>
          <w:rFonts w:ascii="Arial" w:cs="Arial" w:eastAsia="Arial" w:hAnsi="Arial"/>
          <w:sz w:val="18"/>
          <w:szCs w:val="18"/>
          <w:color w:val="auto"/>
        </w:rPr>
      </w:pPr>
    </w:p>
    <w:p>
      <w:pPr>
        <w:ind w:right="20" w:firstLine="656"/>
        <w:spacing w:after="0" w:line="308" w:lineRule="auto"/>
        <w:tabs>
          <w:tab w:leader="none" w:pos="1638"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This Note and any shares of Common Stock issued upon conversion of this Note may be offered, sold, assigned or transferred by the Holder without the consent of the Company, subject only to the provisions of Section 2(g) of the Securities Purchase Agreement.</w:t>
      </w:r>
    </w:p>
    <w:p>
      <w:pPr>
        <w:spacing w:after="0" w:line="146" w:lineRule="exact"/>
        <w:rPr>
          <w:rFonts w:ascii="Arial" w:cs="Arial" w:eastAsia="Arial" w:hAnsi="Arial"/>
          <w:sz w:val="17"/>
          <w:szCs w:val="17"/>
          <w:color w:val="auto"/>
        </w:rPr>
      </w:pPr>
    </w:p>
    <w:p>
      <w:pPr>
        <w:ind w:left="1380" w:hanging="724"/>
        <w:spacing w:after="0"/>
        <w:tabs>
          <w:tab w:leader="none" w:pos="13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152"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If this Note is to be transferred, the Holder shall surrender this Note to the Company, whereupon the Company will forthwith issue and deliver upon the order of the Holder a new Note (in accordance with Section 18(d)), registered as the Holder may request, representing the outstanding Principal being transferred by the Holder and, if less than the entire outstanding Principal is being transferred, a new Note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4" w:name="page75"/>
    <w:bookmarkEnd w:id="74"/>
    <w:p>
      <w:pPr>
        <w:jc w:val="both"/>
        <w:ind w:left="660"/>
        <w:spacing w:after="0" w:line="286" w:lineRule="auto"/>
        <w:rPr>
          <w:sz w:val="20"/>
          <w:szCs w:val="20"/>
          <w:color w:val="auto"/>
        </w:rPr>
      </w:pPr>
      <w:r>
        <w:rPr>
          <w:rFonts w:ascii="Arial" w:cs="Arial" w:eastAsia="Arial" w:hAnsi="Arial"/>
          <w:sz w:val="17"/>
          <w:szCs w:val="17"/>
          <w:color w:val="auto"/>
        </w:rPr>
        <w:t>(in accordance with Section 18(d))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66" w:lineRule="exact"/>
        <w:rPr>
          <w:sz w:val="20"/>
          <w:szCs w:val="20"/>
          <w:color w:val="auto"/>
        </w:rPr>
      </w:pPr>
    </w:p>
    <w:p>
      <w:pPr>
        <w:jc w:val="both"/>
        <w:ind w:left="660" w:firstLine="645"/>
        <w:spacing w:after="0" w:line="257" w:lineRule="auto"/>
        <w:tabs>
          <w:tab w:leader="none" w:pos="2135"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Note</w:t>
      </w:r>
      <w:r>
        <w:rPr>
          <w:rFonts w:ascii="Arial" w:cs="Arial" w:eastAsia="Arial" w:hAnsi="Arial"/>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18(d)) representing the outstanding Principal.</w:t>
      </w:r>
    </w:p>
    <w:p>
      <w:pPr>
        <w:spacing w:after="0" w:line="188" w:lineRule="exact"/>
        <w:rPr>
          <w:rFonts w:ascii="Arial" w:cs="Arial" w:eastAsia="Arial" w:hAnsi="Arial"/>
          <w:sz w:val="18"/>
          <w:szCs w:val="18"/>
          <w:color w:val="auto"/>
        </w:rPr>
      </w:pPr>
    </w:p>
    <w:p>
      <w:pPr>
        <w:jc w:val="both"/>
        <w:ind w:left="660" w:firstLine="645"/>
        <w:spacing w:after="0" w:line="259" w:lineRule="auto"/>
        <w:tabs>
          <w:tab w:leader="none" w:pos="219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Note Exchangeable for Different Denominations</w:t>
      </w:r>
      <w:r>
        <w:rPr>
          <w:rFonts w:ascii="Arial" w:cs="Arial" w:eastAsia="Arial" w:hAnsi="Arial"/>
          <w:sz w:val="18"/>
          <w:szCs w:val="18"/>
          <w:color w:val="auto"/>
        </w:rPr>
        <w:t>. This Note is exchangeable, upon the surrender hereof by the Holder at the principal office of the Company, for a new Note or Notes (in accordance with Section 18(d) and in principal amounts of at least $10,000) representing in the aggregate the outstanding Principal of this Note, and each such new Note will represent such portion of such outstanding Principal as is designated by the Holder at the time of such surrender.</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Issuance of New Notes</w:t>
      </w:r>
      <w:r>
        <w:rPr>
          <w:rFonts w:ascii="Arial" w:cs="Arial" w:eastAsia="Arial" w:hAnsi="Arial"/>
          <w:sz w:val="16"/>
          <w:szCs w:val="16"/>
          <w:color w:val="auto"/>
        </w:rPr>
        <w:t>. Whenever the Company is required to issue a new Note pursuant to the terms of this Note, such new Note</w:t>
      </w:r>
    </w:p>
    <w:p>
      <w:pPr>
        <w:spacing w:after="0" w:line="46" w:lineRule="exact"/>
        <w:rPr>
          <w:rFonts w:ascii="Arial" w:cs="Arial" w:eastAsia="Arial" w:hAnsi="Arial"/>
          <w:sz w:val="16"/>
          <w:szCs w:val="16"/>
          <w:color w:val="auto"/>
        </w:rPr>
      </w:pPr>
    </w:p>
    <w:p>
      <w:pPr>
        <w:jc w:val="both"/>
        <w:ind w:left="660" w:hanging="4"/>
        <w:spacing w:after="0" w:line="252"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shall be of like tenor with this Note, (ii) shall represent, as indicated on the face of such new Note, the Principal remaining outstanding (or in the case of a new Note being issued pursuant to Section 18(a) or Section 18(c),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from the Issuance Date.</w:t>
      </w:r>
    </w:p>
    <w:p>
      <w:pPr>
        <w:spacing w:after="0" w:line="194" w:lineRule="exact"/>
        <w:rPr>
          <w:sz w:val="20"/>
          <w:szCs w:val="20"/>
          <w:color w:val="auto"/>
        </w:rPr>
      </w:pPr>
    </w:p>
    <w:p>
      <w:pPr>
        <w:jc w:val="both"/>
        <w:ind w:firstLine="656"/>
        <w:spacing w:after="0" w:line="271" w:lineRule="auto"/>
        <w:tabs>
          <w:tab w:leader="none" w:pos="13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 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5" w:name="page76"/>
    <w:bookmarkEnd w:id="75"/>
    <w:p>
      <w:pPr>
        <w:jc w:val="both"/>
        <w:spacing w:after="0" w:line="279" w:lineRule="auto"/>
        <w:rPr>
          <w:sz w:val="20"/>
          <w:szCs w:val="20"/>
          <w:color w:val="auto"/>
        </w:rPr>
      </w:pPr>
      <w:r>
        <w:rPr>
          <w:rFonts w:ascii="Arial" w:cs="Arial" w:eastAsia="Arial" w:hAnsi="Arial"/>
          <w:sz w:val="17"/>
          <w:szCs w:val="17"/>
          <w:color w:val="auto"/>
        </w:rPr>
        <w:t>therefore agrees that, in the event of any breach or any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171" w:lineRule="exact"/>
        <w:rPr>
          <w:sz w:val="20"/>
          <w:szCs w:val="20"/>
          <w:color w:val="auto"/>
        </w:rPr>
      </w:pPr>
    </w:p>
    <w:p>
      <w:pPr>
        <w:jc w:val="both"/>
        <w:ind w:firstLine="656"/>
        <w:spacing w:after="0" w:line="255" w:lineRule="auto"/>
        <w:tabs>
          <w:tab w:leader="none" w:pos="155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PAYMENT OF COLLECTION, ENFORCEMENT AND OTHER COSTS</w:t>
      </w:r>
      <w:r>
        <w:rPr>
          <w:rFonts w:ascii="Arial" w:cs="Arial" w:eastAsia="Arial" w:hAnsi="Arial"/>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 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55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 Terms used in this Note but defined in the other Transaction Documents shall have the meanings ascribed to such terms on the Closing Date in such other Transaction Documents unless otherwise consented to in writing by the Holder.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58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86" w:lineRule="exact"/>
        <w:rPr>
          <w:rFonts w:ascii="Arial" w:cs="Arial" w:eastAsia="Arial" w:hAnsi="Arial"/>
          <w:sz w:val="18"/>
          <w:szCs w:val="18"/>
          <w:color w:val="auto"/>
        </w:rPr>
      </w:pPr>
    </w:p>
    <w:p>
      <w:pPr>
        <w:jc w:val="both"/>
        <w:ind w:firstLine="656"/>
        <w:spacing w:after="0" w:line="289" w:lineRule="auto"/>
        <w:tabs>
          <w:tab w:leader="none" w:pos="1382"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Conversion Price, the Closing Bid Price, the Closing Sale Price or fair market value (as the case may be) or the arithmetic calculation of the Conversion Rate or the applicable Redemption Price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issuance or sale or deemed issuance or sale was an issuance or sale or deemed issuance or sale of Excluded Securities). If the Holder and the Company are unable to agree upon such determination or calculation within two (2) Business Days of such disputed determination or arithmetic calculation (as the case may be) being submitted to the Company or the Holder (as the case may be), then the Company shall, within two (2) Business Days, submit via facsimile (a) the disputed determination of the Conversion Price, the Closing Bid Price, the Closing Sale Price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or fair market value (as the case may be) to an independent, reputable investment bank selected by the Company and approved by the Holder or (b) the disputed arithmetic calculation of the Conversion Rate or any Redemption Price (as the case may be)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193" w:lineRule="exact"/>
        <w:rPr>
          <w:sz w:val="20"/>
          <w:szCs w:val="20"/>
          <w:color w:val="auto"/>
        </w:rPr>
      </w:pPr>
    </w:p>
    <w:p>
      <w:pPr>
        <w:ind w:left="1380" w:hanging="724"/>
        <w:spacing w:after="0"/>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89" w:lineRule="auto"/>
        <w:tabs>
          <w:tab w:leader="none" w:pos="2044"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 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62" w:lineRule="exact"/>
        <w:rPr>
          <w:rFonts w:ascii="Arial" w:cs="Arial" w:eastAsia="Arial" w:hAnsi="Arial"/>
          <w:sz w:val="16"/>
          <w:szCs w:val="16"/>
          <w:color w:val="auto"/>
        </w:rPr>
      </w:pPr>
    </w:p>
    <w:p>
      <w:pPr>
        <w:jc w:val="both"/>
        <w:ind w:left="660" w:firstLine="645"/>
        <w:spacing w:after="0" w:line="256" w:lineRule="auto"/>
        <w:tabs>
          <w:tab w:leader="none" w:pos="2054"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referred to in this Note are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and all amounts owing under this Note shall be paid in U.S. Dollars. All amounts denominated in other currencies (if any) shall be converted in the U.S. Dollar equivalent amount in accordance with the Exchange Rate on the date of calculation. “</w:t>
      </w:r>
      <w:r>
        <w:rPr>
          <w:rFonts w:ascii="Arial" w:cs="Arial" w:eastAsia="Arial" w:hAnsi="Arial"/>
          <w:sz w:val="18"/>
          <w:szCs w:val="18"/>
          <w:b w:val="1"/>
          <w:bCs w:val="1"/>
          <w:color w:val="auto"/>
        </w:rPr>
        <w:t>Exchange Rate</w:t>
      </w:r>
      <w:r>
        <w:rPr>
          <w:rFonts w:ascii="Arial" w:cs="Arial" w:eastAsia="Arial" w:hAnsi="Arial"/>
          <w:sz w:val="18"/>
          <w:szCs w:val="18"/>
          <w:color w:val="auto"/>
        </w:rPr>
        <w:t>” means, in relation to any amount of currency to be converted into U.S. Dollars pursuant to this Note, the U.S. Dollar exchange rate as publishe 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91" w:lineRule="exact"/>
        <w:rPr>
          <w:rFonts w:ascii="Arial" w:cs="Arial" w:eastAsia="Arial" w:hAnsi="Arial"/>
          <w:sz w:val="18"/>
          <w:szCs w:val="18"/>
          <w:color w:val="auto"/>
        </w:rPr>
      </w:pPr>
    </w:p>
    <w:p>
      <w:pPr>
        <w:jc w:val="both"/>
        <w:ind w:left="660" w:firstLine="645"/>
        <w:spacing w:after="0" w:line="291" w:lineRule="auto"/>
        <w:tabs>
          <w:tab w:leader="none" w:pos="2084"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 ten notice setting out such request and the Holder’s wire transfer instructions. Whenever any amount expressed to be due by the terms of this Note is due on any day which is not a Business Day, the same shall instead be due on the next succeeding day which is a Business Day.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7" w:name="page78"/>
    <w:bookmarkEnd w:id="77"/>
    <w:p>
      <w:pPr>
        <w:ind w:firstLine="656"/>
        <w:spacing w:after="0" w:line="277" w:lineRule="auto"/>
        <w:tabs>
          <w:tab w:leader="none" w:pos="140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8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81" w:lineRule="exact"/>
        <w:rPr>
          <w:rFonts w:ascii="Arial" w:cs="Arial" w:eastAsia="Arial" w:hAnsi="Arial"/>
          <w:sz w:val="18"/>
          <w:szCs w:val="18"/>
          <w:color w:val="auto"/>
        </w:rPr>
      </w:pPr>
    </w:p>
    <w:p>
      <w:pPr>
        <w:jc w:val="both"/>
        <w:ind w:firstLine="656"/>
        <w:spacing w:after="0" w:line="283" w:lineRule="auto"/>
        <w:tabs>
          <w:tab w:leader="none" w:pos="157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Note shall be construed and enforced in accordance with, and all questions concerning the construction, validity, interpretation and performance of this Note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The Company hereby irrevocably submits to the exclusive jurisdiction of the state and federal courts sitting in Chicago, Illinois, for the adjudication of any dispute hereunder or in connection herewith or wit 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w:t>
      </w:r>
    </w:p>
    <w:p>
      <w:pPr>
        <w:spacing w:after="0" w:line="3"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TO, AND AGREES NOT TO REQUEST, A JURY TRIAL FOR THE ADJUDICATION OF ANY DISPUTE HEREUNDER OR IN CONNECTION WITH OR ARISING OUT OF THIS NOTE OR ANY TRANSACTION CONTEMPLATED HEREBY.</w:t>
      </w:r>
    </w:p>
    <w:p>
      <w:pPr>
        <w:spacing w:after="0" w:line="190" w:lineRule="exact"/>
        <w:rPr>
          <w:rFonts w:ascii="Arial" w:cs="Arial" w:eastAsia="Arial" w:hAnsi="Arial"/>
          <w:sz w:val="16"/>
          <w:szCs w:val="16"/>
          <w:color w:val="auto"/>
        </w:rPr>
      </w:pPr>
    </w:p>
    <w:p>
      <w:pPr>
        <w:ind w:left="1380" w:hanging="724"/>
        <w:spacing w:after="0"/>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221" w:lineRule="exact"/>
        <w:rPr>
          <w:rFonts w:ascii="Arial" w:cs="Arial" w:eastAsia="Arial" w:hAnsi="Arial"/>
          <w:sz w:val="18"/>
          <w:szCs w:val="18"/>
          <w:color w:val="auto"/>
        </w:rPr>
      </w:pPr>
    </w:p>
    <w:p>
      <w:pPr>
        <w:ind w:left="660" w:firstLine="645"/>
        <w:spacing w:after="0" w:line="282" w:lineRule="auto"/>
        <w:tabs>
          <w:tab w:leader="none" w:pos="2071"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Excess Amount</w:t>
      </w:r>
      <w:r>
        <w:rPr>
          <w:rFonts w:ascii="Arial" w:cs="Arial" w:eastAsia="Arial" w:hAnsi="Arial"/>
          <w:sz w:val="18"/>
          <w:szCs w:val="18"/>
          <w:color w:val="auto"/>
        </w:rPr>
        <w:t>” means, as of the applicable time of determination, an amount equal to 50% of the Excess Amount, provided that the “Available Excess Amount” shall in no event exceed $375,000.</w:t>
      </w:r>
    </w:p>
    <w:p>
      <w:pPr>
        <w:spacing w:after="0" w:line="161" w:lineRule="exact"/>
        <w:rPr>
          <w:rFonts w:ascii="Arial" w:cs="Arial" w:eastAsia="Arial" w:hAnsi="Arial"/>
          <w:sz w:val="18"/>
          <w:szCs w:val="18"/>
          <w:color w:val="auto"/>
        </w:rPr>
      </w:pPr>
    </w:p>
    <w:p>
      <w:pPr>
        <w:ind w:left="660" w:right="20" w:firstLine="645"/>
        <w:spacing w:after="0" w:line="282" w:lineRule="auto"/>
        <w:tabs>
          <w:tab w:leader="none" w:pos="2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Subsequent Placement Excess Amount</w:t>
      </w:r>
      <w:r>
        <w:rPr>
          <w:rFonts w:ascii="Arial" w:cs="Arial" w:eastAsia="Arial" w:hAnsi="Arial"/>
          <w:sz w:val="18"/>
          <w:szCs w:val="18"/>
          <w:color w:val="auto"/>
        </w:rPr>
        <w:t>” means, as of the applicable time of determination, an amount equal to 50% of the Subsequent Placement Excess Amount.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8" w:name="page79"/>
    <w:bookmarkEnd w:id="78"/>
    <w:p>
      <w:pPr>
        <w:jc w:val="both"/>
        <w:ind w:left="-540" w:firstLine="645"/>
        <w:spacing w:after="0" w:line="291" w:lineRule="auto"/>
        <w:tabs>
          <w:tab w:leader="none" w:pos="938"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Consideration Value</w:t>
      </w:r>
      <w:r>
        <w:rPr>
          <w:rFonts w:ascii="Arial" w:cs="Arial" w:eastAsia="Arial" w:hAnsi="Arial"/>
          <w:sz w:val="16"/>
          <w:szCs w:val="16"/>
          <w:color w:val="auto"/>
        </w:rPr>
        <w:t>” means the value of the applicable Option or Convertible Security (as the case may be) calculated using the Black Scholes Option Pricing Model obtained from the “OV” function on Bloomberg as of the applicable date of determination and for purposes of such calculation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 ining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as of the Trading Day immediately following the date of issuance of such Option or Convertible Security (as the case may be).</w:t>
      </w:r>
    </w:p>
    <w:p>
      <w:pPr>
        <w:spacing w:after="0" w:line="160" w:lineRule="exact"/>
        <w:rPr>
          <w:rFonts w:ascii="Arial" w:cs="Arial" w:eastAsia="Arial" w:hAnsi="Arial"/>
          <w:sz w:val="16"/>
          <w:szCs w:val="16"/>
          <w:color w:val="auto"/>
        </w:rPr>
      </w:pPr>
    </w:p>
    <w:p>
      <w:pPr>
        <w:ind w:left="800" w:hanging="695"/>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left="-540" w:firstLine="645"/>
        <w:spacing w:after="0" w:line="282" w:lineRule="auto"/>
        <w:tabs>
          <w:tab w:leader="none" w:pos="8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jc w:val="both"/>
        <w:ind w:left="-540" w:firstLine="645"/>
        <w:spacing w:after="0" w:line="286" w:lineRule="auto"/>
        <w:tabs>
          <w:tab w:leader="none" w:pos="864"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Pink Sheets LLC (formerly the National Quotation Bureau,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 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79" w:name="page80"/>
    <w:bookmarkEnd w:id="79"/>
    <w:p>
      <w:pPr>
        <w:ind w:left="-540" w:right="20" w:firstLine="645"/>
        <w:spacing w:after="0" w:line="282" w:lineRule="auto"/>
        <w:tabs>
          <w:tab w:leader="none" w:pos="1002"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the Securities Purchase Agreement, which date is the date the Company initially issued Notes pursuant to the terms of the Securities Purchase Agreement.</w:t>
      </w:r>
    </w:p>
    <w:p>
      <w:pPr>
        <w:spacing w:after="0" w:line="161" w:lineRule="exact"/>
        <w:rPr>
          <w:rFonts w:ascii="Arial" w:cs="Arial" w:eastAsia="Arial" w:hAnsi="Arial"/>
          <w:sz w:val="18"/>
          <w:szCs w:val="18"/>
          <w:color w:val="auto"/>
        </w:rPr>
      </w:pPr>
    </w:p>
    <w:p>
      <w:pPr>
        <w:ind w:left="-540" w:firstLine="645"/>
        <w:spacing w:after="0" w:line="313" w:lineRule="auto"/>
        <w:tabs>
          <w:tab w:leader="none" w:pos="894"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38" w:lineRule="exact"/>
        <w:rPr>
          <w:rFonts w:ascii="Arial" w:cs="Arial" w:eastAsia="Arial" w:hAnsi="Arial"/>
          <w:sz w:val="17"/>
          <w:szCs w:val="17"/>
          <w:color w:val="auto"/>
        </w:rPr>
      </w:pPr>
    </w:p>
    <w:p>
      <w:pPr>
        <w:jc w:val="both"/>
        <w:ind w:left="-540" w:firstLine="645"/>
        <w:spacing w:after="0" w:line="277" w:lineRule="auto"/>
        <w:tabs>
          <w:tab w:leader="none" w:pos="926"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Conversion Price</w:t>
      </w:r>
      <w:r>
        <w:rPr>
          <w:rFonts w:ascii="Arial" w:cs="Arial" w:eastAsia="Arial" w:hAnsi="Arial"/>
          <w:sz w:val="17"/>
          <w:szCs w:val="17"/>
          <w:color w:val="auto"/>
        </w:rPr>
        <w:t>” means, with respect to a particular date of determination, the lower of (i) the Conversion Price then in effect and (ii) the price which shall be computed as 85% of the quotient of (I) the sum of each of the VWAPs of the Common Stock for each of the twenty (20) consecutive Trading Days immediately preceding the applicable Installment Date (each such period, a “</w:t>
      </w:r>
      <w:r>
        <w:rPr>
          <w:rFonts w:ascii="Arial" w:cs="Arial" w:eastAsia="Arial" w:hAnsi="Arial"/>
          <w:sz w:val="17"/>
          <w:szCs w:val="17"/>
          <w:b w:val="1"/>
          <w:bCs w:val="1"/>
          <w:color w:val="auto"/>
        </w:rPr>
        <w:t>Company 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Measuring Period</w:t>
      </w:r>
      <w:r>
        <w:rPr>
          <w:rFonts w:ascii="Arial" w:cs="Arial" w:eastAsia="Arial" w:hAnsi="Arial"/>
          <w:sz w:val="17"/>
          <w:szCs w:val="17"/>
          <w:color w:val="auto"/>
        </w:rPr>
        <w:t>”) divided by (II) twenty (20). All such determinations to be appropriately adjusted for any stock split, stock dividend, stock</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or other similar transaction during any such Company Conversion Measuring Period.</w:t>
      </w:r>
    </w:p>
    <w:p>
      <w:pPr>
        <w:spacing w:after="0" w:line="168" w:lineRule="exact"/>
        <w:rPr>
          <w:rFonts w:ascii="Arial" w:cs="Arial" w:eastAsia="Arial" w:hAnsi="Arial"/>
          <w:sz w:val="17"/>
          <w:szCs w:val="17"/>
          <w:color w:val="auto"/>
        </w:rPr>
      </w:pPr>
    </w:p>
    <w:p>
      <w:pPr>
        <w:jc w:val="both"/>
        <w:ind w:left="-540" w:firstLine="645"/>
        <w:spacing w:after="0" w:line="266" w:lineRule="auto"/>
        <w:tabs>
          <w:tab w:leader="none" w:pos="10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 Ratio</w:t>
      </w:r>
      <w:r>
        <w:rPr>
          <w:rFonts w:ascii="Arial" w:cs="Arial" w:eastAsia="Arial" w:hAnsi="Arial"/>
          <w:sz w:val="18"/>
          <w:szCs w:val="18"/>
          <w:color w:val="auto"/>
        </w:rPr>
        <w:t>” means as to any applicable Installment Date, the quotient of (i) the number of Pre-Installment Conversion Shares delivered in connection with such Installment Date divided by (ii) the number of Post-Installment Conversion Shares applicable to such Installment Date.</w:t>
      </w:r>
    </w:p>
    <w:p>
      <w:pPr>
        <w:spacing w:after="0" w:line="176" w:lineRule="exact"/>
        <w:rPr>
          <w:rFonts w:ascii="Arial" w:cs="Arial" w:eastAsia="Arial" w:hAnsi="Arial"/>
          <w:sz w:val="18"/>
          <w:szCs w:val="18"/>
          <w:color w:val="auto"/>
        </w:rPr>
      </w:pPr>
    </w:p>
    <w:p>
      <w:pPr>
        <w:jc w:val="both"/>
        <w:ind w:left="-540" w:firstLine="645"/>
        <w:spacing w:after="0" w:line="266" w:lineRule="auto"/>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6" w:lineRule="exact"/>
        <w:rPr>
          <w:rFonts w:ascii="Arial" w:cs="Arial" w:eastAsia="Arial" w:hAnsi="Arial"/>
          <w:sz w:val="18"/>
          <w:szCs w:val="18"/>
          <w:color w:val="auto"/>
        </w:rPr>
      </w:pPr>
    </w:p>
    <w:p>
      <w:pPr>
        <w:jc w:val="both"/>
        <w:ind w:left="-540" w:firstLine="645"/>
        <w:spacing w:after="0" w:line="266" w:lineRule="auto"/>
        <w:tabs>
          <w:tab w:leader="none" w:pos="841"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Subsidiary</w:t>
      </w:r>
      <w:r>
        <w:rPr>
          <w:rFonts w:ascii="Arial" w:cs="Arial" w:eastAsia="Arial" w:hAnsi="Arial"/>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Arial" w:cs="Arial" w:eastAsia="Arial" w:hAnsi="Arial"/>
          <w:sz w:val="18"/>
          <w:szCs w:val="18"/>
          <w:b w:val="1"/>
          <w:bCs w:val="1"/>
          <w:color w:val="auto"/>
        </w:rPr>
        <w:t>Current Subsidiaries</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left="-540" w:firstLine="645"/>
        <w:spacing w:after="0" w:line="314" w:lineRule="auto"/>
        <w:tabs>
          <w:tab w:leader="none" w:pos="904"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Failure</w:t>
      </w:r>
      <w:r>
        <w:rPr>
          <w:rFonts w:ascii="Arial" w:cs="Arial" w:eastAsia="Arial" w:hAnsi="Arial"/>
          <w:sz w:val="16"/>
          <w:szCs w:val="16"/>
          <w:color w:val="auto"/>
        </w:rPr>
        <w:t>” means, with respect to a particular date of determination, that the aggregate dollar trading volume (as reported on Bloomberg) of the Common Stock on any of the twenty (20) consecutive Trading Days immediately preceding such date of determination is less than $150,000 per day on the Eligible Market on which the Common Stock is listed or designated for quotation as of such date of determination.</w:t>
      </w:r>
    </w:p>
    <w:p>
      <w:pPr>
        <w:spacing w:after="0" w:line="142" w:lineRule="exact"/>
        <w:rPr>
          <w:rFonts w:ascii="Arial" w:cs="Arial" w:eastAsia="Arial" w:hAnsi="Arial"/>
          <w:sz w:val="16"/>
          <w:szCs w:val="16"/>
          <w:color w:val="auto"/>
        </w:rPr>
      </w:pPr>
    </w:p>
    <w:p>
      <w:pPr>
        <w:ind w:left="-540" w:firstLine="645"/>
        <w:spacing w:after="0" w:line="282" w:lineRule="auto"/>
        <w:tabs>
          <w:tab w:leader="none" w:pos="1016"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jc w:val="both"/>
        <w:ind w:left="-540" w:firstLine="645"/>
        <w:spacing w:after="0" w:line="266" w:lineRule="auto"/>
        <w:tabs>
          <w:tab w:leader="none" w:pos="8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w:t>
      </w:r>
      <w:r>
        <w:rPr>
          <w:rFonts w:ascii="Arial" w:cs="Arial" w:eastAsia="Arial" w:hAnsi="Arial"/>
          <w:sz w:val="18"/>
          <w:szCs w:val="18"/>
          <w:color w:val="auto"/>
        </w:rPr>
        <w:t>” means: (i) (1) with respect to the Installment Dates that are September [__], 2010, October [__], 2010, and November [__], 2010, on the applicable date of determination, or (2) with respect to all other Installment Dates, on each day during the period beginning one month prior to the applicable date of</w:t>
      </w: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0" w:name="page81"/>
    <w:bookmarkEnd w:id="80"/>
    <w:p>
      <w:pPr>
        <w:jc w:val="both"/>
        <w:spacing w:after="0" w:line="284" w:lineRule="auto"/>
        <w:rPr>
          <w:sz w:val="20"/>
          <w:szCs w:val="20"/>
          <w:color w:val="auto"/>
        </w:rPr>
      </w:pPr>
      <w:r>
        <w:rPr>
          <w:rFonts w:ascii="Arial" w:cs="Arial" w:eastAsia="Arial" w:hAnsi="Arial"/>
          <w:sz w:val="16"/>
          <w:szCs w:val="16"/>
          <w:color w:val="auto"/>
        </w:rPr>
        <w:t>determination and ending on and including the applicable date of determination (as applicable), in each case, either (x) one or more Registration Statements filed pursuant to the Registration Rights Agreement shall be effective and the prospectus contained therein shall be available for the resale by the Holder of all of the Registrable Securities (which, solely for clarification purposes, includes all shares of Common Stock issuable upon conversion of this Note, including, without limitation, under Sections 3 and 8) in accordance with the terms of the Registration Rights Agreement and there shall not have been during such period any Grace Periods (as defined in the Registration Rights Agreement) or (y) all Registrable Securities shall be eligible for sale without restriction under Rule 144 (as defined in the Securities Purchase Agreement) (including, without limitation, volume restrictions) and without the need for current public information required by Rule 144(c)(1) (or Rule 144(i)(2), if applicable) and without the need for registration under any applicable federal or state securities laws (in each case, disregarding any limitation on conversion of the Notes and exercise of the Warrants); (ii) on each day during the period beginning three months prior to the applicable date of determination and ending on and including the applicable date of determination (the “</w:t>
      </w:r>
      <w:r>
        <w:rPr>
          <w:rFonts w:ascii="Arial" w:cs="Arial" w:eastAsia="Arial" w:hAnsi="Arial"/>
          <w:sz w:val="16"/>
          <w:szCs w:val="16"/>
          <w:b w:val="1"/>
          <w:bCs w:val="1"/>
          <w:color w:val="auto"/>
        </w:rPr>
        <w:t>Equity Conditions Measuring Period</w:t>
      </w:r>
      <w:r>
        <w:rPr>
          <w:rFonts w:ascii="Arial" w:cs="Arial" w:eastAsia="Arial" w:hAnsi="Arial"/>
          <w:sz w:val="16"/>
          <w:szCs w:val="16"/>
          <w:color w:val="auto"/>
        </w:rPr>
        <w:t>”), the Common Stock (including all Registrable Securities)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or pending either (A) in writing by such Eligible Market or (B) by falling below the minimum listing maintenance requirements of the Eligible Market on which the Common Stock is then listed or designated for quotation (as applicable); (iii) on each day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may be issued in full without violating the rules or regulations of the Eligible Market on which the Common Stock is then listed or designated for quotation (as applicable); (v) on each day during the Equity Cond itions Measuring Period, no public announcement of a pending, proposed or intended Fundamental Transaction shall have occurred which has not been abandoned, terminated or consummated; (vi) the Company shall have no knowledge of any fact that would reasonably be expected to cause (1) any Registration Statement filed pursuant to the Registration Rights Agreement to not be effective or any prospectus contained therein to not be available for the resale of all of the Registrable Securities in accordance with the terms of the Registration Rights Agreement or (2) any Registrable Securities to not be eligible for sale without restriction pursuant to Rule 144 (including, without limitation, volume restrictions) and without the need for current public information required by Rule 144(c)(1) (or Rule 144(i)(2), if applicable) or any applicable state securities laws (in each case, disregarding any limitation on conversion of the Notes and exercise of the Warrants); (vii) the Holder shall not be in (and no other Buyer sh all be in) possession of any material, non-public information provided to any of them by the Company, any of its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81" w:name="page82"/>
    <w:bookmarkEnd w:id="81"/>
    <w:p>
      <w:pPr>
        <w:jc w:val="both"/>
        <w:spacing w:after="0" w:line="279" w:lineRule="auto"/>
        <w:rPr>
          <w:sz w:val="20"/>
          <w:szCs w:val="20"/>
          <w:color w:val="auto"/>
        </w:rPr>
      </w:pPr>
      <w:r>
        <w:rPr>
          <w:rFonts w:ascii="Arial" w:cs="Arial" w:eastAsia="Arial" w:hAnsi="Arial"/>
          <w:sz w:val="17"/>
          <w:szCs w:val="17"/>
          <w:color w:val="auto"/>
        </w:rPr>
        <w:t>affiliates or any of their respective employees, officers, representatives, agents or the like; (viii) on each day during the Equity Conditions Measuring Period, the Company otherwise shall have been in compliance with each, and shall not have breached any, provision, covenant, representation or warranty of any Transaction Document; and (ix) on each day during the Equity Conditions Measuring Period, there shall not have occurred an Event of Default or an event that with the passage of time or giving of notice would constitute an Event of Default.</w:t>
      </w:r>
    </w:p>
    <w:p>
      <w:pPr>
        <w:spacing w:after="0" w:line="167" w:lineRule="exact"/>
        <w:rPr>
          <w:sz w:val="20"/>
          <w:szCs w:val="20"/>
          <w:color w:val="auto"/>
        </w:rPr>
      </w:pPr>
    </w:p>
    <w:p>
      <w:pPr>
        <w:jc w:val="both"/>
        <w:ind w:firstLine="645"/>
        <w:spacing w:after="0" w:line="273" w:lineRule="auto"/>
        <w:tabs>
          <w:tab w:leader="none" w:pos="1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Conditions Failure</w:t>
      </w:r>
      <w:r>
        <w:rPr>
          <w:rFonts w:ascii="Arial" w:cs="Arial" w:eastAsia="Arial" w:hAnsi="Arial"/>
          <w:sz w:val="17"/>
          <w:szCs w:val="17"/>
          <w:color w:val="auto"/>
        </w:rPr>
        <w:t>” means (1) with respect to the Installment Dates that are September [__], 2010, October [__], 2010, and November [__], 2010, that on any day during the period commencing five (5) Trading Days prior to the applicable Company Installment Notice Date through the later of the applicable Installment Date and the date on which the applicable shares of Common Stock are actually delivered to the Holder, the Equity Conditions have not been satisfied (or waived in writing by the Holder) or (2) with respect to all other Installment Dates, on any day during the period commencing twenty (20) Trading Days prior to the applicable Company Installment Notice Date through the later of the a pplicable Installment Date and the date on which the applicable shares of Common Stock are actually delivered to the Holder, the Equity Conditions have not been satisfied (or waived in writing by the Holder).</w:t>
      </w:r>
    </w:p>
    <w:p>
      <w:pPr>
        <w:spacing w:after="0" w:line="172" w:lineRule="exact"/>
        <w:rPr>
          <w:rFonts w:ascii="Arial" w:cs="Arial" w:eastAsia="Arial" w:hAnsi="Arial"/>
          <w:sz w:val="17"/>
          <w:szCs w:val="17"/>
          <w:color w:val="auto"/>
        </w:rPr>
      </w:pPr>
    </w:p>
    <w:p>
      <w:pPr>
        <w:ind w:left="1340" w:hanging="695"/>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Value Redemption Premium</w:t>
      </w:r>
      <w:r>
        <w:rPr>
          <w:rFonts w:ascii="Arial" w:cs="Arial" w:eastAsia="Arial" w:hAnsi="Arial"/>
          <w:sz w:val="18"/>
          <w:szCs w:val="18"/>
          <w:color w:val="auto"/>
        </w:rPr>
        <w:t>” means 125%.</w:t>
      </w:r>
    </w:p>
    <w:p>
      <w:pPr>
        <w:spacing w:after="0" w:line="225" w:lineRule="exact"/>
        <w:rPr>
          <w:rFonts w:ascii="Arial" w:cs="Arial" w:eastAsia="Arial" w:hAnsi="Arial"/>
          <w:sz w:val="18"/>
          <w:szCs w:val="18"/>
          <w:color w:val="auto"/>
        </w:rPr>
      </w:pPr>
    </w:p>
    <w:p>
      <w:pPr>
        <w:jc w:val="both"/>
        <w:ind w:firstLine="645"/>
        <w:spacing w:after="0" w:line="314" w:lineRule="auto"/>
        <w:tabs>
          <w:tab w:leader="none" w:pos="1368"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Amount</w:t>
      </w:r>
      <w:r>
        <w:rPr>
          <w:rFonts w:ascii="Arial" w:cs="Arial" w:eastAsia="Arial" w:hAnsi="Arial"/>
          <w:sz w:val="16"/>
          <w:szCs w:val="16"/>
          <w:color w:val="auto"/>
        </w:rPr>
        <w:t>” means, as of the applicable time of determination, the amount of aggregate net cash proceeds the Company has received as of such time of determination from the Excluded 60 Day Issuance (as defined in the Securities Purchase Agreement) that are in excess of $250,000 (but only to the extent of such excess), provided that the “Excess Amount” shall in no event exceed $750,000.</w:t>
      </w:r>
    </w:p>
    <w:p>
      <w:pPr>
        <w:spacing w:after="0" w:line="142" w:lineRule="exact"/>
        <w:rPr>
          <w:rFonts w:ascii="Arial" w:cs="Arial" w:eastAsia="Arial" w:hAnsi="Arial"/>
          <w:sz w:val="16"/>
          <w:szCs w:val="16"/>
          <w:color w:val="auto"/>
        </w:rPr>
      </w:pPr>
    </w:p>
    <w:p>
      <w:pPr>
        <w:jc w:val="both"/>
        <w:ind w:firstLine="645"/>
        <w:spacing w:after="0" w:line="288" w:lineRule="auto"/>
        <w:tabs>
          <w:tab w:leader="none" w:pos="1441"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w:t>
      </w:r>
    </w:p>
    <w:p>
      <w:pPr>
        <w:spacing w:after="0" w:line="200" w:lineRule="exact"/>
        <w:rPr>
          <w:sz w:val="20"/>
          <w:szCs w:val="20"/>
          <w:color w:val="auto"/>
        </w:rPr>
      </w:pPr>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82" w:name="page83"/>
    <w:bookmarkEnd w:id="82"/>
    <w:p>
      <w:pPr>
        <w:jc w:val="both"/>
        <w:ind w:left="4"/>
        <w:spacing w:after="0" w:line="264" w:lineRule="auto"/>
        <w:rPr>
          <w:sz w:val="20"/>
          <w:szCs w:val="20"/>
          <w:color w:val="auto"/>
        </w:rPr>
      </w:pPr>
      <w:r>
        <w:rPr>
          <w:rFonts w:ascii="Arial" w:cs="Arial" w:eastAsia="Arial" w:hAnsi="Arial"/>
          <w:sz w:val="18"/>
          <w:szCs w:val="18"/>
          <w:color w:val="auto"/>
        </w:rPr>
        <w:t>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77" w:lineRule="exact"/>
        <w:rPr>
          <w:sz w:val="20"/>
          <w:szCs w:val="20"/>
          <w:color w:val="auto"/>
        </w:rPr>
      </w:pPr>
    </w:p>
    <w:p>
      <w:pPr>
        <w:ind w:left="1364" w:hanging="715"/>
        <w:spacing w:after="0"/>
        <w:tabs>
          <w:tab w:leader="none" w:pos="13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Transaction Redemption Premium</w:t>
      </w:r>
      <w:r>
        <w:rPr>
          <w:rFonts w:ascii="Arial" w:cs="Arial" w:eastAsia="Arial" w:hAnsi="Arial"/>
          <w:sz w:val="18"/>
          <w:szCs w:val="18"/>
          <w:color w:val="auto"/>
        </w:rPr>
        <w:t>” means 125%.</w:t>
      </w:r>
    </w:p>
    <w:p>
      <w:pPr>
        <w:spacing w:after="0" w:line="225" w:lineRule="exact"/>
        <w:rPr>
          <w:rFonts w:ascii="Arial" w:cs="Arial" w:eastAsia="Arial" w:hAnsi="Arial"/>
          <w:sz w:val="18"/>
          <w:szCs w:val="18"/>
          <w:color w:val="auto"/>
        </w:rPr>
      </w:pPr>
    </w:p>
    <w:p>
      <w:pPr>
        <w:ind w:left="1404" w:hanging="755"/>
        <w:spacing w:after="0"/>
        <w:tabs>
          <w:tab w:leader="none" w:pos="140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rFonts w:ascii="Arial" w:cs="Arial" w:eastAsia="Arial" w:hAnsi="Arial"/>
          <w:sz w:val="18"/>
          <w:szCs w:val="18"/>
          <w:color w:val="auto"/>
        </w:rPr>
      </w:pPr>
    </w:p>
    <w:p>
      <w:pPr>
        <w:jc w:val="both"/>
        <w:ind w:left="4" w:firstLine="645"/>
        <w:spacing w:after="0" w:line="266" w:lineRule="auto"/>
        <w:tabs>
          <w:tab w:leader="none" w:pos="1492"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Pro Rata Amount</w:t>
      </w:r>
      <w:r>
        <w:rPr>
          <w:rFonts w:ascii="Arial" w:cs="Arial" w:eastAsia="Arial" w:hAnsi="Arial"/>
          <w:sz w:val="18"/>
          <w:szCs w:val="18"/>
          <w:color w:val="auto"/>
        </w:rPr>
        <w:t>” means a fraction (i) the numerator of which is the original Principal amount of this Note on the Closing Date and (ii) the denominator of which is the aggregate original principal amount of all Notes issued to the initial purchasers pursuant to the Securities Purchase Agreement on the Closing Date.</w:t>
      </w:r>
    </w:p>
    <w:p>
      <w:pPr>
        <w:spacing w:after="0" w:line="176" w:lineRule="exact"/>
        <w:rPr>
          <w:rFonts w:ascii="Arial" w:cs="Arial" w:eastAsia="Arial" w:hAnsi="Arial"/>
          <w:sz w:val="18"/>
          <w:szCs w:val="18"/>
          <w:color w:val="auto"/>
        </w:rPr>
      </w:pPr>
    </w:p>
    <w:p>
      <w:pPr>
        <w:jc w:val="both"/>
        <w:ind w:left="4" w:firstLine="645"/>
        <w:spacing w:after="0" w:line="255" w:lineRule="auto"/>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Installment Amount</w:t>
      </w:r>
      <w:r>
        <w:rPr>
          <w:rFonts w:ascii="Arial" w:cs="Arial" w:eastAsia="Arial" w:hAnsi="Arial"/>
          <w:sz w:val="18"/>
          <w:szCs w:val="18"/>
          <w:color w:val="auto"/>
        </w:rPr>
        <w:t>” means (i) with respect to any Installment Date other than the Maturity Date, the lesser of (A) the product of (I) $170,000, multiplied by (II) the Holder Pro Rata Amount and (B)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pursuant to the terms of this Note, whether upon conversion, redemption or otherwise, together with, in each case of clauses (i) and (ii), any accrued and unpaid Interest as of such Installment Date under this Note. In the event the Holder shall sell or otherwise transfer any portion of this Note, the transferee shall be allocated a pro rata portion of each unpaid Installment Amount hereunder.</w:t>
      </w:r>
    </w:p>
    <w:p>
      <w:pPr>
        <w:spacing w:after="0" w:line="189" w:lineRule="exact"/>
        <w:rPr>
          <w:rFonts w:ascii="Arial" w:cs="Arial" w:eastAsia="Arial" w:hAnsi="Arial"/>
          <w:sz w:val="18"/>
          <w:szCs w:val="18"/>
          <w:color w:val="auto"/>
        </w:rPr>
      </w:pPr>
    </w:p>
    <w:p>
      <w:pPr>
        <w:jc w:val="both"/>
        <w:ind w:left="4" w:firstLine="645"/>
        <w:spacing w:after="0" w:line="266" w:lineRule="auto"/>
        <w:tabs>
          <w:tab w:leader="none" w:pos="1465"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Installment Date</w:t>
      </w:r>
      <w:r>
        <w:rPr>
          <w:rFonts w:ascii="Arial" w:cs="Arial" w:eastAsia="Arial" w:hAnsi="Arial"/>
          <w:sz w:val="18"/>
          <w:szCs w:val="18"/>
          <w:color w:val="auto"/>
        </w:rPr>
        <w:t>” means each of the following dates: (i) September [__], 2010, (ii) October [__], 2010, (iii) November [__], 2010, (iv) December [__], 2010, (v) January [__], 2011, (vi) February [__], 2011, (vii) March [__], 2011, (viii) April [__], 2011, and (ix) the Maturity Date.</w:t>
      </w:r>
    </w:p>
    <w:p>
      <w:pPr>
        <w:spacing w:after="0" w:line="176" w:lineRule="exact"/>
        <w:rPr>
          <w:rFonts w:ascii="Arial" w:cs="Arial" w:eastAsia="Arial" w:hAnsi="Arial"/>
          <w:sz w:val="18"/>
          <w:szCs w:val="18"/>
          <w:color w:val="auto"/>
        </w:rPr>
      </w:pPr>
    </w:p>
    <w:p>
      <w:pPr>
        <w:ind w:left="1344" w:hanging="695"/>
        <w:spacing w:after="0"/>
        <w:tabs>
          <w:tab w:leader="none" w:pos="1344"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zero percent (0%) per annum, as may be adjusted from time to time in accordance with Section 2.</w:t>
      </w:r>
    </w:p>
    <w:p>
      <w:pPr>
        <w:spacing w:after="0" w:line="236" w:lineRule="exact"/>
        <w:rPr>
          <w:rFonts w:ascii="Arial" w:cs="Arial" w:eastAsia="Arial" w:hAnsi="Arial"/>
          <w:sz w:val="17"/>
          <w:szCs w:val="17"/>
          <w:color w:val="auto"/>
        </w:rPr>
      </w:pPr>
    </w:p>
    <w:p>
      <w:pPr>
        <w:ind w:left="1404" w:hanging="755"/>
        <w:spacing w:after="0"/>
        <w:tabs>
          <w:tab w:leader="none" w:pos="1404" w:val="left"/>
        </w:tabs>
        <w:numPr>
          <w:ilvl w:val="1"/>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shall mean May [__], 2011; provided, however, the Maturity Date may be extended at the option of the Holder</w:t>
      </w:r>
    </w:p>
    <w:p>
      <w:pPr>
        <w:spacing w:after="0" w:line="50" w:lineRule="exact"/>
        <w:rPr>
          <w:rFonts w:ascii="Arial" w:cs="Arial" w:eastAsia="Arial" w:hAnsi="Arial"/>
          <w:sz w:val="16"/>
          <w:szCs w:val="16"/>
          <w:color w:val="auto"/>
        </w:rPr>
      </w:pPr>
    </w:p>
    <w:p>
      <w:pPr>
        <w:jc w:val="both"/>
        <w:ind w:left="4" w:hanging="4"/>
        <w:spacing w:after="0" w:line="270" w:lineRule="auto"/>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Fundamental Transaction Notice is delivered prior to the Maturity Date, provided further that if a Holde 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200" w:lineRule="exact"/>
        <w:rPr>
          <w:sz w:val="20"/>
          <w:szCs w:val="20"/>
          <w:color w:val="auto"/>
        </w:rPr>
      </w:pPr>
    </w:p>
    <w:p>
      <w:pPr>
        <w:spacing w:after="0" w:line="34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83" w:name="page84"/>
    <w:bookmarkEnd w:id="83"/>
    <w:p>
      <w:pPr>
        <w:jc w:val="both"/>
        <w:ind w:left="4" w:firstLine="645"/>
        <w:spacing w:after="0" w:line="314" w:lineRule="auto"/>
        <w:tabs>
          <w:tab w:leader="none" w:pos="1629"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Subsidiary</w:t>
      </w:r>
      <w:r>
        <w:rPr>
          <w:rFonts w:ascii="Arial" w:cs="Arial" w:eastAsia="Arial" w:hAnsi="Arial"/>
          <w:sz w:val="16"/>
          <w:szCs w:val="16"/>
          <w:color w:val="auto"/>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Arial" w:cs="Arial" w:eastAsia="Arial" w:hAnsi="Arial"/>
          <w:sz w:val="16"/>
          <w:szCs w:val="16"/>
          <w:b w:val="1"/>
          <w:bCs w:val="1"/>
          <w:color w:val="auto"/>
        </w:rPr>
        <w:t>New Subsidiaries</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1444" w:hanging="795"/>
        <w:spacing w:after="0"/>
        <w:tabs>
          <w:tab w:leader="none" w:pos="1444"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48" w:lineRule="exact"/>
        <w:rPr>
          <w:rFonts w:ascii="Arial" w:cs="Arial" w:eastAsia="Arial" w:hAnsi="Arial"/>
          <w:sz w:val="16"/>
          <w:szCs w:val="16"/>
          <w:color w:val="auto"/>
        </w:rPr>
      </w:pPr>
    </w:p>
    <w:p>
      <w:pPr>
        <w:jc w:val="both"/>
        <w:ind w:left="4" w:firstLine="645"/>
        <w:spacing w:after="0" w:line="289" w:lineRule="auto"/>
        <w:tabs>
          <w:tab w:leader="none" w:pos="1440" w:val="left"/>
        </w:tabs>
        <w:numPr>
          <w:ilvl w:val="1"/>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jc w:val="both"/>
        <w:ind w:left="4" w:firstLine="645"/>
        <w:spacing w:after="0" w:line="255" w:lineRule="auto"/>
        <w:tabs>
          <w:tab w:leader="none" w:pos="14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means (i) total Indebtedness of the Company and the Subsidiaries (other than as expressly specified in, and permitted by, clauses (ii) and (iii) below) not to exceed $250,000 in the aggregate outstanding at any time; provided, however, such Indebtedness shall be made expressly subordinate in right of payment to the Indebtedness evidenced by the Notes,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the Interest Rate; (ii) equipment leases and purchase money obligations of the Company and the Subsidiaries not to exceed $50,000 in the aggregate outstanding at any time; and (iii) Indebtedness evidenced by this Note and the Other Notes.</w:t>
      </w:r>
    </w:p>
    <w:p>
      <w:pPr>
        <w:spacing w:after="0" w:line="185" w:lineRule="exact"/>
        <w:rPr>
          <w:rFonts w:ascii="Arial" w:cs="Arial" w:eastAsia="Arial" w:hAnsi="Arial"/>
          <w:sz w:val="18"/>
          <w:szCs w:val="18"/>
          <w:color w:val="auto"/>
        </w:rPr>
      </w:pPr>
    </w:p>
    <w:p>
      <w:pPr>
        <w:jc w:val="both"/>
        <w:ind w:left="4" w:firstLine="645"/>
        <w:spacing w:after="0" w:line="285" w:lineRule="auto"/>
        <w:tabs>
          <w:tab w:leader="none" w:pos="1643"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securing the Company’s obligat ions under the Transaction Documents, (v) Liens securing each Subsidiary’s obligations under the Transaction Documents (including, without limitation, the Guaranties) and</w:t>
      </w:r>
    </w:p>
    <w:p>
      <w:pPr>
        <w:spacing w:after="0" w:line="3" w:lineRule="exact"/>
        <w:rPr>
          <w:rFonts w:ascii="Arial" w:cs="Arial" w:eastAsia="Arial" w:hAnsi="Arial"/>
          <w:sz w:val="16"/>
          <w:szCs w:val="16"/>
          <w:color w:val="auto"/>
        </w:rPr>
      </w:pPr>
    </w:p>
    <w:p>
      <w:pPr>
        <w:ind w:left="304" w:hanging="304"/>
        <w:spacing w:after="0"/>
        <w:tabs>
          <w:tab w:leader="none" w:pos="3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Lien securing Permitted Senior Indebtedness.</w:t>
      </w:r>
    </w:p>
    <w:p>
      <w:pPr>
        <w:spacing w:after="0" w:line="206" w:lineRule="exact"/>
        <w:rPr>
          <w:rFonts w:ascii="Arial" w:cs="Arial" w:eastAsia="Arial" w:hAnsi="Arial"/>
          <w:sz w:val="18"/>
          <w:szCs w:val="18"/>
          <w:color w:val="auto"/>
        </w:rPr>
      </w:pPr>
    </w:p>
    <w:p>
      <w:pPr>
        <w:ind w:left="1464" w:hanging="815"/>
        <w:spacing w:after="0"/>
        <w:tabs>
          <w:tab w:leader="none" w:pos="14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Senior Indebtedness</w:t>
      </w:r>
      <w:r>
        <w:rPr>
          <w:rFonts w:ascii="Arial" w:cs="Arial" w:eastAsia="Arial" w:hAnsi="Arial"/>
          <w:sz w:val="16"/>
          <w:szCs w:val="16"/>
          <w:color w:val="auto"/>
        </w:rPr>
        <w:t>” means the Indebtedness described in, and permitted by, clause (ii) of Permitted Indebtedness.</w:t>
      </w:r>
    </w:p>
    <w:p>
      <w:pPr>
        <w:spacing w:after="0" w:line="248" w:lineRule="exact"/>
        <w:rPr>
          <w:rFonts w:ascii="Arial" w:cs="Arial" w:eastAsia="Arial" w:hAnsi="Arial"/>
          <w:sz w:val="16"/>
          <w:szCs w:val="16"/>
          <w:color w:val="auto"/>
        </w:rPr>
      </w:pPr>
    </w:p>
    <w:p>
      <w:pPr>
        <w:ind w:left="4" w:right="20" w:firstLine="645"/>
        <w:spacing w:after="0" w:line="282" w:lineRule="auto"/>
        <w:tabs>
          <w:tab w:leader="none" w:pos="18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200" w:lineRule="exact"/>
        <w:rPr>
          <w:sz w:val="20"/>
          <w:szCs w:val="20"/>
          <w:color w:val="auto"/>
        </w:rPr>
      </w:pPr>
    </w:p>
    <w:p>
      <w:pPr>
        <w:spacing w:after="0" w:line="33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86" w:right="239" w:bottom="1440" w:gutter="0" w:footer="0" w:header="0"/>
        </w:sectPr>
      </w:pPr>
    </w:p>
    <w:bookmarkStart w:id="84" w:name="page85"/>
    <w:bookmarkEnd w:id="84"/>
    <w:p>
      <w:pPr>
        <w:jc w:val="both"/>
        <w:ind w:left="-540" w:firstLine="645"/>
        <w:spacing w:after="0" w:line="258" w:lineRule="auto"/>
        <w:tabs>
          <w:tab w:leader="none" w:pos="9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Pre-Installment Conversion Price</w:t>
      </w:r>
      <w:r>
        <w:rPr>
          <w:rFonts w:ascii="Arial" w:cs="Arial" w:eastAsia="Arial" w:hAnsi="Arial"/>
          <w:sz w:val="18"/>
          <w:szCs w:val="18"/>
          <w:color w:val="auto"/>
        </w:rPr>
        <w:t>” means, with respect to a particular date of determination, the lower of (i) the Conversion Price then in effect and (ii) the price which shall be computed as 85% of the quotient of (I) the sum of each of the VWAPs of the Common Stock for each of the twenty (20) consecutive Trading Days immediately preceding the delivery or deemed delivery of the applicable Company Installment Notice divided by (II) twenty (20). All such determinations to be appropriately adjusted for any stock split, stock dividend, stock combination or other similar transaction during any such measuring period.</w:t>
      </w:r>
    </w:p>
    <w:p>
      <w:pPr>
        <w:spacing w:after="0" w:line="183" w:lineRule="exact"/>
        <w:rPr>
          <w:rFonts w:ascii="Arial" w:cs="Arial" w:eastAsia="Arial" w:hAnsi="Arial"/>
          <w:sz w:val="18"/>
          <w:szCs w:val="18"/>
          <w:color w:val="auto"/>
        </w:rPr>
      </w:pPr>
    </w:p>
    <w:p>
      <w:pPr>
        <w:ind w:left="900" w:hanging="79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w:t>
      </w:r>
    </w:p>
    <w:p>
      <w:pPr>
        <w:spacing w:after="0" w:line="225" w:lineRule="exact"/>
        <w:rPr>
          <w:rFonts w:ascii="Arial" w:cs="Arial" w:eastAsia="Arial" w:hAnsi="Arial"/>
          <w:sz w:val="18"/>
          <w:szCs w:val="18"/>
          <w:color w:val="auto"/>
        </w:rPr>
      </w:pPr>
    </w:p>
    <w:p>
      <w:pPr>
        <w:ind w:left="-540" w:firstLine="645"/>
        <w:spacing w:after="0" w:line="347" w:lineRule="auto"/>
        <w:tabs>
          <w:tab w:leader="none" w:pos="96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Post-Installment Conversion Shares</w:t>
      </w:r>
      <w:r>
        <w:rPr>
          <w:rFonts w:ascii="Arial" w:cs="Arial" w:eastAsia="Arial" w:hAnsi="Arial"/>
          <w:sz w:val="16"/>
          <w:szCs w:val="16"/>
          <w:color w:val="auto"/>
        </w:rPr>
        <w:t>” means that number of shares of Common Stock that would be required to be delivered pursuant to Section 8 on an applicable Installment Date without taking into account the delivery of any Pre-Installment Conversion Shares.</w:t>
      </w:r>
    </w:p>
    <w:p>
      <w:pPr>
        <w:spacing w:after="0" w:line="116" w:lineRule="exact"/>
        <w:rPr>
          <w:rFonts w:ascii="Arial" w:cs="Arial" w:eastAsia="Arial" w:hAnsi="Arial"/>
          <w:sz w:val="16"/>
          <w:szCs w:val="16"/>
          <w:color w:val="auto"/>
        </w:rPr>
      </w:pPr>
    </w:p>
    <w:p>
      <w:pPr>
        <w:jc w:val="both"/>
        <w:ind w:left="-540" w:firstLine="645"/>
        <w:spacing w:after="0" w:line="289" w:lineRule="auto"/>
        <w:tabs>
          <w:tab w:leader="none" w:pos="984" w:val="left"/>
        </w:tabs>
        <w:numPr>
          <w:ilvl w:val="0"/>
          <w:numId w:val="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w:t>
      </w:r>
      <w:r>
        <w:rPr>
          <w:rFonts w:ascii="Arial" w:cs="Arial" w:eastAsia="Arial" w:hAnsi="Arial"/>
          <w:sz w:val="17"/>
          <w:szCs w:val="17"/>
          <w:color w:val="auto"/>
        </w:rPr>
        <w:t>” means each of: (i) the period beginning on and including January 1 and ending on and including March 31; (ii) the period beginning on and including April 1 and ending on and including June 30; (iii) the period beginning on and including July 1 and ending on and including September 30; and (iv) the period beginning on and including October 1 and ending on and including December 31.</w:t>
      </w:r>
    </w:p>
    <w:p>
      <w:pPr>
        <w:spacing w:after="0" w:line="158" w:lineRule="exact"/>
        <w:rPr>
          <w:rFonts w:ascii="Arial" w:cs="Arial" w:eastAsia="Arial" w:hAnsi="Arial"/>
          <w:sz w:val="17"/>
          <w:szCs w:val="17"/>
          <w:color w:val="auto"/>
        </w:rPr>
      </w:pPr>
    </w:p>
    <w:p>
      <w:pPr>
        <w:ind w:left="-540" w:right="20" w:firstLine="645"/>
        <w:spacing w:after="0" w:line="282"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Notices</w:t>
      </w:r>
      <w:r>
        <w:rPr>
          <w:rFonts w:ascii="Arial" w:cs="Arial" w:eastAsia="Arial" w:hAnsi="Arial"/>
          <w:sz w:val="18"/>
          <w:szCs w:val="18"/>
          <w:color w:val="auto"/>
        </w:rPr>
        <w:t>” means, collectively, Event of Default Redemption Notices and Fundamental Transaction Redemption Notices, and each of the foregoing, individually,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40" w:right="20" w:firstLine="645"/>
        <w:spacing w:after="0" w:line="313" w:lineRule="auto"/>
        <w:tabs>
          <w:tab w:leader="none" w:pos="1012" w:val="left"/>
        </w:tabs>
        <w:numPr>
          <w:ilvl w:val="0"/>
          <w:numId w:val="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Premium</w:t>
      </w:r>
      <w:r>
        <w:rPr>
          <w:rFonts w:ascii="Arial" w:cs="Arial" w:eastAsia="Arial" w:hAnsi="Arial"/>
          <w:sz w:val="17"/>
          <w:szCs w:val="17"/>
          <w:color w:val="auto"/>
        </w:rPr>
        <w:t>” means (i) in the case of the Events of Default described in Section 4(a) (other than Sections 4(a)(ix) through 4(a)(xi)), 125% or (ii) in the case of the Events of Default described in Sections 4(a)(ix) through 4(a)(xi), 100%.</w:t>
      </w:r>
    </w:p>
    <w:p>
      <w:pPr>
        <w:spacing w:after="0" w:line="138" w:lineRule="exact"/>
        <w:rPr>
          <w:rFonts w:ascii="Arial" w:cs="Arial" w:eastAsia="Arial" w:hAnsi="Arial"/>
          <w:sz w:val="17"/>
          <w:szCs w:val="17"/>
          <w:color w:val="auto"/>
        </w:rPr>
      </w:pPr>
    </w:p>
    <w:p>
      <w:pPr>
        <w:ind w:left="-540" w:firstLine="645"/>
        <w:spacing w:after="0" w:line="282" w:lineRule="auto"/>
        <w:tabs>
          <w:tab w:leader="none" w:pos="1119"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Event of Default Redemption Prices, the Fundamental Transaction Redemption Prices and the Company Installment Redemption Prices, and each of the foregoing, individually, a “</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540" w:firstLine="645"/>
        <w:spacing w:after="0" w:line="274" w:lineRule="auto"/>
        <w:tabs>
          <w:tab w:leader="none" w:pos="957" w:val="left"/>
        </w:tabs>
        <w:numPr>
          <w:ilvl w:val="0"/>
          <w:numId w:val="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Remaining Available Excess Amount</w:t>
      </w:r>
      <w:r>
        <w:rPr>
          <w:rFonts w:ascii="Arial" w:cs="Arial" w:eastAsia="Arial" w:hAnsi="Arial"/>
          <w:sz w:val="17"/>
          <w:szCs w:val="17"/>
          <w:color w:val="auto"/>
        </w:rPr>
        <w:t>” means, as of the applicable time of determination, the difference (but not below zero) between (i) the sum of (x) the Available Excess Amount as of such time of determination plus (y) solely with respect to times of determination that occur after the end of the Restricted Period (as defined in the Securities Purchase Agreement), the Available Subsequent Placement Excess Amount as of such time of determination minus (ii) the aggregate amount of cash expended (on a gross basis) by the Company and its Subsidiaries (taken as a whole) as of such time of determination that is in excess of the aggregate Maximum Monthly Amounts that are applicable through such time of de termination (including, for clarification purposes, the calendar month of determination).</w:t>
      </w:r>
    </w:p>
    <w:p>
      <w:pPr>
        <w:spacing w:after="0" w:line="173" w:lineRule="exact"/>
        <w:rPr>
          <w:rFonts w:ascii="Arial" w:cs="Arial" w:eastAsia="Arial" w:hAnsi="Arial"/>
          <w:sz w:val="17"/>
          <w:szCs w:val="17"/>
          <w:color w:val="auto"/>
        </w:rPr>
      </w:pPr>
    </w:p>
    <w:p>
      <w:pPr>
        <w:jc w:val="both"/>
        <w:ind w:left="-540" w:firstLine="645"/>
        <w:spacing w:after="0" w:line="266" w:lineRule="auto"/>
        <w:tabs>
          <w:tab w:leader="none" w:pos="93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that certain registration rights agreement, dated as of the Closing Date, by and among the Company and the initial holders of the Notes relating to, among other things, the registration of the resale of the Common Stock issuable upon conversion of the Notes and exercise of the Warrants, as may be amended from time to time.</w:t>
      </w: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5" w:name="page86"/>
    <w:bookmarkEnd w:id="85"/>
    <w:p>
      <w:pPr>
        <w:ind w:left="860" w:hanging="755"/>
        <w:spacing w:after="0"/>
        <w:tabs>
          <w:tab w:leader="none" w:pos="8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the successor thereto.</w:t>
      </w:r>
    </w:p>
    <w:p>
      <w:pPr>
        <w:spacing w:after="0" w:line="225" w:lineRule="exact"/>
        <w:rPr>
          <w:rFonts w:ascii="Arial" w:cs="Arial" w:eastAsia="Arial" w:hAnsi="Arial"/>
          <w:sz w:val="18"/>
          <w:szCs w:val="18"/>
          <w:color w:val="auto"/>
        </w:rPr>
      </w:pPr>
    </w:p>
    <w:p>
      <w:pPr>
        <w:jc w:val="both"/>
        <w:ind w:left="-540" w:firstLine="645"/>
        <w:spacing w:after="0" w:line="266" w:lineRule="auto"/>
        <w:tabs>
          <w:tab w:leader="none" w:pos="95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that certain securities purchase agreement, dated as of the Subscription Date, by and among the Company and the initial holders of the Notes pursuant to which the Company issued the Notes and Warrants, as may be amended from time to time.</w:t>
      </w:r>
    </w:p>
    <w:p>
      <w:pPr>
        <w:spacing w:after="0" w:line="176" w:lineRule="exact"/>
        <w:rPr>
          <w:rFonts w:ascii="Arial" w:cs="Arial" w:eastAsia="Arial" w:hAnsi="Arial"/>
          <w:sz w:val="18"/>
          <w:szCs w:val="18"/>
          <w:color w:val="auto"/>
        </w:rPr>
      </w:pPr>
    </w:p>
    <w:p>
      <w:pPr>
        <w:ind w:left="-540" w:right="20" w:firstLine="645"/>
        <w:spacing w:after="0" w:line="282" w:lineRule="auto"/>
        <w:tabs>
          <w:tab w:leader="none" w:pos="99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that certain security agreement, dated as of the Closing Date, by and among the Company, the Subsidiaries and the initial holders of the Notes, as may be amended from time to time.</w:t>
      </w:r>
    </w:p>
    <w:p>
      <w:pPr>
        <w:spacing w:after="0" w:line="161" w:lineRule="exact"/>
        <w:rPr>
          <w:rFonts w:ascii="Arial" w:cs="Arial" w:eastAsia="Arial" w:hAnsi="Arial"/>
          <w:sz w:val="18"/>
          <w:szCs w:val="18"/>
          <w:color w:val="auto"/>
        </w:rPr>
      </w:pPr>
    </w:p>
    <w:p>
      <w:pPr>
        <w:ind w:left="860" w:hanging="755"/>
        <w:spacing w:after="0"/>
        <w:tabs>
          <w:tab w:leader="none" w:pos="8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Date</w:t>
      </w:r>
      <w:r>
        <w:rPr>
          <w:rFonts w:ascii="Arial" w:cs="Arial" w:eastAsia="Arial" w:hAnsi="Arial"/>
          <w:sz w:val="18"/>
          <w:szCs w:val="18"/>
          <w:color w:val="auto"/>
        </w:rPr>
        <w:t>” means May 17, 2010.</w:t>
      </w:r>
    </w:p>
    <w:p>
      <w:pPr>
        <w:spacing w:after="0" w:line="225" w:lineRule="exact"/>
        <w:rPr>
          <w:rFonts w:ascii="Arial" w:cs="Arial" w:eastAsia="Arial" w:hAnsi="Arial"/>
          <w:sz w:val="18"/>
          <w:szCs w:val="18"/>
          <w:color w:val="auto"/>
        </w:rPr>
      </w:pPr>
    </w:p>
    <w:p>
      <w:pPr>
        <w:jc w:val="both"/>
        <w:ind w:left="-540" w:firstLine="645"/>
        <w:spacing w:after="0" w:line="314" w:lineRule="auto"/>
        <w:tabs>
          <w:tab w:leader="none" w:pos="95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Subsequent Placement Excess Amount</w:t>
      </w:r>
      <w:r>
        <w:rPr>
          <w:rFonts w:ascii="Arial" w:cs="Arial" w:eastAsia="Arial" w:hAnsi="Arial"/>
          <w:sz w:val="16"/>
          <w:szCs w:val="16"/>
          <w:color w:val="auto"/>
        </w:rPr>
        <w:t>” means, as of the applicable time of determination, the amount of aggregate net cash proceeds in excess of $250,000 (but only to the extent of such excess) that the Company has received as of such time of determination from all Subsequent Placements (as defined in the Securities Purchase Agreement) consummated after the end of the Restricted Period.</w:t>
      </w:r>
    </w:p>
    <w:p>
      <w:pPr>
        <w:spacing w:after="0" w:line="142" w:lineRule="exact"/>
        <w:rPr>
          <w:rFonts w:ascii="Arial" w:cs="Arial" w:eastAsia="Arial" w:hAnsi="Arial"/>
          <w:sz w:val="16"/>
          <w:szCs w:val="16"/>
          <w:color w:val="auto"/>
        </w:rPr>
      </w:pPr>
    </w:p>
    <w:p>
      <w:pPr>
        <w:ind w:left="-540" w:right="20" w:firstLine="645"/>
        <w:spacing w:after="0" w:line="282" w:lineRule="auto"/>
        <w:tabs>
          <w:tab w:leader="none" w:pos="9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means, as of any date of determination, collectively, all Current Subsidiaries and all New Subsidiaries, and each of the foregoing, individually, a “</w:t>
      </w:r>
      <w:r>
        <w:rPr>
          <w:rFonts w:ascii="Arial" w:cs="Arial" w:eastAsia="Arial" w:hAnsi="Arial"/>
          <w:sz w:val="18"/>
          <w:szCs w:val="18"/>
          <w:b w:val="1"/>
          <w:bCs w:val="1"/>
          <w:color w:val="auto"/>
        </w:rPr>
        <w:t>Subsidiary</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540" w:firstLine="645"/>
        <w:spacing w:after="0" w:line="266" w:lineRule="auto"/>
        <w:tabs>
          <w:tab w:leader="none" w:pos="9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jc w:val="both"/>
        <w:ind w:left="-540" w:firstLine="645"/>
        <w:spacing w:after="0" w:line="295" w:lineRule="auto"/>
        <w:tabs>
          <w:tab w:leader="none" w:pos="94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 g at 4:00:00 p.m., New York time) unless such day is otherwise designated as a Trading Day in writing by the Holder.</w:t>
      </w:r>
    </w:p>
    <w:p>
      <w:pPr>
        <w:spacing w:after="0" w:line="155" w:lineRule="exact"/>
        <w:rPr>
          <w:rFonts w:ascii="Arial" w:cs="Arial" w:eastAsia="Arial" w:hAnsi="Arial"/>
          <w:sz w:val="16"/>
          <w:szCs w:val="16"/>
          <w:color w:val="auto"/>
        </w:rPr>
      </w:pPr>
    </w:p>
    <w:p>
      <w:pPr>
        <w:jc w:val="both"/>
        <w:ind w:left="-540" w:firstLine="645"/>
        <w:spacing w:after="0" w:line="261" w:lineRule="auto"/>
        <w:tabs>
          <w:tab w:leader="none" w:pos="9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trustees or other similar governing body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6" w:name="page87"/>
    <w:bookmarkEnd w:id="86"/>
    <w:p>
      <w:pPr>
        <w:jc w:val="both"/>
        <w:ind w:left="660" w:firstLine="645"/>
        <w:spacing w:after="0" w:line="287" w:lineRule="auto"/>
        <w:tabs>
          <w:tab w:leader="none" w:pos="221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 :01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or other similar transaction during such period.</w:t>
      </w:r>
    </w:p>
    <w:p>
      <w:pPr>
        <w:spacing w:after="0" w:line="169" w:lineRule="exact"/>
        <w:rPr>
          <w:sz w:val="20"/>
          <w:szCs w:val="20"/>
          <w:color w:val="auto"/>
        </w:rPr>
      </w:pPr>
    </w:p>
    <w:p>
      <w:pPr>
        <w:jc w:val="both"/>
        <w:ind w:left="660" w:firstLine="645"/>
        <w:spacing w:after="0" w:line="303" w:lineRule="auto"/>
        <w:tabs>
          <w:tab w:leader="none" w:pos="237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Volume Failure</w:t>
      </w:r>
      <w:r>
        <w:rPr>
          <w:rFonts w:ascii="Arial" w:cs="Arial" w:eastAsia="Arial" w:hAnsi="Arial"/>
          <w:sz w:val="16"/>
          <w:szCs w:val="16"/>
          <w:color w:val="auto"/>
        </w:rPr>
        <w:t>” means, with respect to a particular date of determination, the average daily volume (as reported on Bloomberg) of the Common Stock on the Eligible Market on which the Common Stock is listed or designated for quotation as of such date of determination over the twenty (20) consecutive Trading Day period ending on the Trading Day immediately preceding such date of determination is less than 100,000 shares per day (adjusted for any stock dividend, stock split, stock combination or other similar transaction during such period).</w:t>
      </w:r>
    </w:p>
    <w:p>
      <w:pPr>
        <w:spacing w:after="0" w:line="151" w:lineRule="exact"/>
        <w:rPr>
          <w:rFonts w:ascii="Arial" w:cs="Arial" w:eastAsia="Arial" w:hAnsi="Arial"/>
          <w:sz w:val="16"/>
          <w:szCs w:val="16"/>
          <w:color w:val="auto"/>
        </w:rPr>
      </w:pPr>
    </w:p>
    <w:p>
      <w:pPr>
        <w:ind w:left="660" w:firstLine="645"/>
        <w:spacing w:after="0" w:line="282" w:lineRule="auto"/>
        <w:tabs>
          <w:tab w:leader="none" w:pos="210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has the meaning ascribed to such term in the Securities Purchase Agreement, and shall include all warrants issued in exchange therefor or replacement thereof.</w:t>
      </w:r>
    </w:p>
    <w:p>
      <w:pPr>
        <w:spacing w:after="0" w:line="165" w:lineRule="exact"/>
        <w:rPr>
          <w:rFonts w:ascii="Arial" w:cs="Arial" w:eastAsia="Arial" w:hAnsi="Arial"/>
          <w:sz w:val="18"/>
          <w:szCs w:val="18"/>
          <w:color w:val="auto"/>
        </w:rPr>
      </w:pPr>
    </w:p>
    <w:p>
      <w:pPr>
        <w:jc w:val="both"/>
        <w:ind w:firstLine="656"/>
        <w:spacing w:after="0" w:line="271" w:lineRule="auto"/>
        <w:tabs>
          <w:tab w:leader="none" w:pos="1368"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Note, unless the Company has in good faith determined that the matters relating to such notice do not constitute material, non-public information relating to the Company or any of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any of its Subsidiaries, the Company so shall indicate to such Holder contemporaneously with delivery of s uch notice, and in the absence of any such indication, the Holder shall be allowed to presume that all matters relating to such notice do not constitute material, non-public information relating to the Company or its Subsidiaries. Nothing contained in this Section 29 shall limit any obligations of the Company, or any rights of the Holder, under Section 4(i) of the Securities Purchase Agreement.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7" w:name="page88"/>
    <w:bookmarkEnd w:id="87"/>
    <w:p>
      <w:pPr>
        <w:jc w:val="both"/>
        <w:ind w:left="-20" w:firstLine="656"/>
        <w:spacing w:after="0" w:line="279" w:lineRule="auto"/>
        <w:tabs>
          <w:tab w:leader="none" w:pos="1443"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MAXIMUM PAYMENTS</w:t>
      </w:r>
      <w:r>
        <w:rPr>
          <w:rFonts w:ascii="Arial" w:cs="Arial" w:eastAsia="Arial" w:hAnsi="Arial"/>
          <w:sz w:val="17"/>
          <w:szCs w:val="17"/>
          <w:color w:val="auto"/>
        </w:rPr>
        <w:t>. Without limiting Section 9(d) of the Securities Purchase Agreement, nothing contained in this Note shall, or shall be deemed to, establish or require the payment of a rate of interest or other charges in excess of the maximum permitted by applicable law. In the event that the rate of interest required to be paid or other charges under this Note exceeds the maximum permitted by such law, any payments in excess of such maximum shall be credited against amounts owed by the Company to the Holder and thus refunded to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90"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6"/>
          <w:szCs w:val="16"/>
          <w:color w:val="auto"/>
        </w:rPr>
        <w:t>IN WITNESS WHEREOF, the Company has caused this Note to be duly executed as of the Issuance Date set out above.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AP</w:t>
      </w:r>
      <w:r>
        <w:rPr>
          <w:rFonts w:ascii="Arial" w:cs="Arial" w:eastAsia="Arial" w:hAnsi="Arial"/>
          <w:sz w:val="18"/>
          <w:szCs w:val="18"/>
          <w:b w:val="1"/>
          <w:bCs w:val="1"/>
          <w:color w:val="auto"/>
        </w:rPr>
        <w:t>I</w:t>
      </w:r>
      <w:r>
        <w:rPr>
          <w:rFonts w:ascii="Arial" w:cs="Arial" w:eastAsia="Arial" w:hAnsi="Arial"/>
          <w:sz w:val="12"/>
          <w:szCs w:val="12"/>
          <w:b w:val="1"/>
          <w:bCs w:val="1"/>
          <w:color w:val="auto"/>
        </w:rPr>
        <w:t>MMUNE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06"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Reference is made to the Senior Secured Convertible Note (the “</w:t>
      </w:r>
      <w:r>
        <w:rPr>
          <w:rFonts w:ascii="Arial" w:cs="Arial" w:eastAsia="Arial" w:hAnsi="Arial"/>
          <w:sz w:val="17"/>
          <w:szCs w:val="17"/>
          <w:b w:val="1"/>
          <w:bCs w:val="1"/>
          <w:color w:val="auto"/>
        </w:rPr>
        <w:t>Note</w:t>
      </w:r>
      <w:r>
        <w:rPr>
          <w:rFonts w:ascii="Arial" w:cs="Arial" w:eastAsia="Arial" w:hAnsi="Arial"/>
          <w:sz w:val="17"/>
          <w:szCs w:val="17"/>
          <w:color w:val="auto"/>
        </w:rPr>
        <w:t>”) issued to the undersigned by TapImmune Inc. (the “</w:t>
      </w:r>
      <w:r>
        <w:rPr>
          <w:rFonts w:ascii="Arial" w:cs="Arial" w:eastAsia="Arial" w:hAnsi="Arial"/>
          <w:sz w:val="17"/>
          <w:szCs w:val="17"/>
          <w:b w:val="1"/>
          <w:bCs w:val="1"/>
          <w:color w:val="auto"/>
        </w:rPr>
        <w:t>Company</w:t>
      </w:r>
      <w:r>
        <w:rPr>
          <w:rFonts w:ascii="Arial" w:cs="Arial" w:eastAsia="Arial" w:hAnsi="Arial"/>
          <w:sz w:val="17"/>
          <w:szCs w:val="17"/>
          <w:color w:val="auto"/>
        </w:rPr>
        <w:t>”). In accordance with and pursuant to the Note, the undersigned hereby elects to convert the Conversion Amount (as defined in the Note) of the Note indicated below into shares of Common Stock, $0.001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as of the date specified below.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issue the Common Stock into which the Note is being converted in the following name and to the following address: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5715</wp:posOffset>
            </wp:positionV>
            <wp:extent cx="389318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93185" cy="171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160020</wp:posOffset>
            </wp:positionV>
            <wp:extent cx="389318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93185" cy="171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314325</wp:posOffset>
            </wp:positionV>
            <wp:extent cx="389318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89318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electronic book entry transfer)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5715</wp:posOffset>
            </wp:positionV>
            <wp:extent cx="389318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electronic book entry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Installment Amount(s) to be reduced (and corresponding Installment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Date(s)) and amount of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5715</wp:posOffset>
            </wp:positionV>
            <wp:extent cx="389318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acknowledges this Conversion Notice and hereby directs _________________ to issue the above indicated number of shares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in accordance with the Transfer Agent Instructions dated _____________, 20__ from the Company and acknowledged and agreed to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AP</w:t>
      </w:r>
      <w:r>
        <w:rPr>
          <w:rFonts w:ascii="Arial" w:cs="Arial" w:eastAsia="Arial" w:hAnsi="Arial"/>
          <w:sz w:val="18"/>
          <w:szCs w:val="18"/>
          <w:b w:val="1"/>
          <w:bCs w:val="1"/>
          <w:color w:val="auto"/>
        </w:rPr>
        <w:t>I</w:t>
      </w:r>
      <w:r>
        <w:rPr>
          <w:rFonts w:ascii="Arial" w:cs="Arial" w:eastAsia="Arial" w:hAnsi="Arial"/>
          <w:sz w:val="12"/>
          <w:szCs w:val="12"/>
          <w:b w:val="1"/>
          <w:bCs w:val="1"/>
          <w:color w:val="auto"/>
        </w:rPr>
        <w:t>MMUNE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[___], 2010, is made by and among the grantors listed on the signature pages hereof (collectively, jointly and severally, the “</w:t>
      </w:r>
      <w:r>
        <w:rPr>
          <w:rFonts w:ascii="Arial" w:cs="Arial" w:eastAsia="Arial" w:hAnsi="Arial"/>
          <w:sz w:val="18"/>
          <w:szCs w:val="18"/>
          <w:b w:val="1"/>
          <w:bCs w:val="1"/>
          <w:color w:val="auto"/>
        </w:rPr>
        <w:t>Grantors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Grantor</w:t>
      </w:r>
      <w:r>
        <w:rPr>
          <w:rFonts w:ascii="Arial" w:cs="Arial" w:eastAsia="Arial" w:hAnsi="Arial"/>
          <w:sz w:val="18"/>
          <w:szCs w:val="18"/>
          <w:color w:val="auto"/>
        </w:rPr>
        <w:t>”), and the secured parties listed on the signature pages hereof (collectively, the “</w:t>
      </w:r>
      <w:r>
        <w:rPr>
          <w:rFonts w:ascii="Arial" w:cs="Arial" w:eastAsia="Arial" w:hAnsi="Arial"/>
          <w:sz w:val="18"/>
          <w:szCs w:val="18"/>
          <w:b w:val="1"/>
          <w:bCs w:val="1"/>
          <w:color w:val="auto"/>
        </w:rPr>
        <w:t>Secured Parties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Secured Party</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Securities Purchase Agreement, dated as of May 17, 2010 (as may be amended, restated, supplemented,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modified from time to time, including all schedules thereto, collectively,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by and among TapImmune Inc., a Nevada corporation (“</w:t>
      </w:r>
      <w:r>
        <w:rPr>
          <w:rFonts w:ascii="Arial" w:cs="Arial" w:eastAsia="Arial" w:hAnsi="Arial"/>
          <w:sz w:val="18"/>
          <w:szCs w:val="18"/>
          <w:b w:val="1"/>
          <w:bCs w:val="1"/>
          <w:color w:val="auto"/>
        </w:rPr>
        <w:t>Parent</w:t>
      </w:r>
      <w:r>
        <w:rPr>
          <w:rFonts w:ascii="Arial" w:cs="Arial" w:eastAsia="Arial" w:hAnsi="Arial"/>
          <w:sz w:val="18"/>
          <w:szCs w:val="18"/>
          <w:color w:val="auto"/>
        </w:rPr>
        <w:t>”), and each of the Secured Parties, Parent has agreed to sell, and each of the Secured Parties have each agreed to purchase, severally and not jointly, certain Notes and Warrants; and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Grantor other than Parent is a direct or indirect wholly-owned Subsidiary (as defined below) of Parent and will receive direct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benefits from the purchase by each of the Secured Parties of the Notes and Warrants;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Secured Parties to purchase, severally and not jointly, the Notes and Warrants as provided for in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 Grantors have agreed to grant a continuing security interest in and to the Collateral in order to secure the prompt and complete payment, observance and performance of the Secured Obligations.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recitals made above and other good and valuable consideration, the receipt, sufficiency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hereto agree as follows:</w:t>
      </w:r>
    </w:p>
    <w:p>
      <w:pPr>
        <w:spacing w:after="0" w:line="166" w:lineRule="exact"/>
        <w:rPr>
          <w:sz w:val="20"/>
          <w:szCs w:val="20"/>
          <w:color w:val="auto"/>
        </w:rPr>
      </w:pPr>
    </w:p>
    <w:p>
      <w:pPr>
        <w:jc w:val="both"/>
        <w:ind w:firstLine="656"/>
        <w:spacing w:after="0" w:line="257" w:lineRule="auto"/>
        <w:tabs>
          <w:tab w:leader="none" w:pos="130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All capitalized terms used herein (including in the preamble and recitals hereof) without definition shall have the meanings ascribed thereto in the Notes. Any terms used in this Agreement that are defined in the Code shall be construed and defined as set forth in the Code unless otherwise defined herein or in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Code is used to define any term used herein and if such term is defined differently in different Articles of the Code, the definition of such term contained in Article 9 of the Code shall govern. In addition to those te rms defined elsewhere in this Agreement, as used in this Agreement, the following terms shall have the following meanings:</w:t>
      </w:r>
    </w:p>
    <w:p>
      <w:pPr>
        <w:spacing w:after="0" w:line="184" w:lineRule="exact"/>
        <w:rPr>
          <w:rFonts w:ascii="Arial" w:cs="Arial" w:eastAsia="Arial" w:hAnsi="Arial"/>
          <w:sz w:val="18"/>
          <w:szCs w:val="18"/>
          <w:color w:val="auto"/>
        </w:rPr>
      </w:pPr>
    </w:p>
    <w:p>
      <w:pPr>
        <w:ind w:left="2160" w:hanging="693"/>
        <w:spacing w:after="0"/>
        <w:tabs>
          <w:tab w:leader="none" w:pos="2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 account (as that term is defined in the Code).</w:t>
      </w:r>
    </w:p>
    <w:p>
      <w:pPr>
        <w:spacing w:after="0" w:line="225" w:lineRule="exact"/>
        <w:rPr>
          <w:rFonts w:ascii="Arial" w:cs="Arial" w:eastAsia="Arial" w:hAnsi="Arial"/>
          <w:sz w:val="18"/>
          <w:szCs w:val="18"/>
          <w:color w:val="auto"/>
        </w:rPr>
      </w:pPr>
    </w:p>
    <w:p>
      <w:pPr>
        <w:ind w:left="2180" w:hanging="713"/>
        <w:spacing w:after="0"/>
        <w:tabs>
          <w:tab w:leader="none" w:pos="21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means an account debtor (as that term is defined in the Code).</w:t>
      </w:r>
    </w:p>
    <w:p>
      <w:pPr>
        <w:spacing w:after="0" w:line="225" w:lineRule="exact"/>
        <w:rPr>
          <w:rFonts w:ascii="Arial" w:cs="Arial" w:eastAsia="Arial" w:hAnsi="Arial"/>
          <w:sz w:val="18"/>
          <w:szCs w:val="18"/>
          <w:color w:val="auto"/>
        </w:rPr>
      </w:pPr>
    </w:p>
    <w:p>
      <w:pPr>
        <w:ind w:left="2160" w:hanging="693"/>
        <w:spacing w:after="0"/>
        <w:tabs>
          <w:tab w:leader="none" w:pos="2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as in effect from time to time.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92" w:name="page93"/>
    <w:bookmarkEnd w:id="92"/>
    <w:p>
      <w:pPr>
        <w:jc w:val="both"/>
        <w:ind w:firstLine="807"/>
        <w:spacing w:after="0" w:line="289" w:lineRule="auto"/>
        <w:tabs>
          <w:tab w:leader="none" w:pos="183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Books</w:t>
      </w:r>
      <w:r>
        <w:rPr>
          <w:rFonts w:ascii="Arial" w:cs="Arial" w:eastAsia="Arial" w:hAnsi="Arial"/>
          <w:sz w:val="17"/>
          <w:szCs w:val="17"/>
          <w:color w:val="auto"/>
        </w:rPr>
        <w:t>” means books and records (including, without limitation, each Grantor’s Records) indicating, summarizing, or evidencing each Grantor’s assets (including the Collateral) or liabilities, each Grantor’s Records relating to its business operations (including, without limitation, stock ledgers) or financial condition, and each Grantor’s goods or General Intangibles related to such information.</w:t>
      </w:r>
    </w:p>
    <w:p>
      <w:pPr>
        <w:spacing w:after="0" w:line="158" w:lineRule="exact"/>
        <w:rPr>
          <w:rFonts w:ascii="Arial" w:cs="Arial" w:eastAsia="Arial" w:hAnsi="Arial"/>
          <w:sz w:val="17"/>
          <w:szCs w:val="17"/>
          <w:color w:val="auto"/>
        </w:rPr>
      </w:pPr>
    </w:p>
    <w:p>
      <w:pPr>
        <w:ind w:left="1600" w:hanging="793"/>
        <w:spacing w:after="0"/>
        <w:tabs>
          <w:tab w:leader="none" w:pos="1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Chattel Paper</w:t>
      </w:r>
      <w:r>
        <w:rPr>
          <w:rFonts w:ascii="Arial" w:cs="Arial" w:eastAsia="Arial" w:hAnsi="Arial"/>
          <w:sz w:val="16"/>
          <w:szCs w:val="16"/>
          <w:color w:val="auto"/>
        </w:rPr>
        <w:t>” means chattel paper (as that term is defined in the Code) and includes tangible chattel paper and electronic</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chattel paper.</w:t>
      </w:r>
    </w:p>
    <w:p>
      <w:pPr>
        <w:spacing w:after="0" w:line="206" w:lineRule="exact"/>
        <w:rPr>
          <w:rFonts w:ascii="Arial" w:cs="Arial" w:eastAsia="Arial" w:hAnsi="Arial"/>
          <w:sz w:val="16"/>
          <w:szCs w:val="16"/>
          <w:color w:val="auto"/>
        </w:rPr>
      </w:pPr>
    </w:p>
    <w:p>
      <w:pPr>
        <w:jc w:val="both"/>
        <w:ind w:firstLine="807"/>
        <w:spacing w:after="0" w:line="258" w:lineRule="auto"/>
        <w:tabs>
          <w:tab w:leader="none" w:pos="15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Illinois Uniform Commercial Code,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that, by reason of mandatory provisions of law, any or all of the attachment, perfection, priority, or remedies with respect to any Secured Party’s Lien on any Collateral is governed by the Uniform Commercial Code as enacted and in effect in a jurisdiction other than the State of Illinois, the term “Code” shall mean the Uniform Commercial Code as enacted and in effect in such other jurisdiction solely for purposes of the provisions thereof r elating to such attachment, perfection, priority, or remedies.</w:t>
      </w:r>
    </w:p>
    <w:p>
      <w:pPr>
        <w:spacing w:after="0" w:line="183" w:lineRule="exact"/>
        <w:rPr>
          <w:rFonts w:ascii="Arial" w:cs="Arial" w:eastAsia="Arial" w:hAnsi="Arial"/>
          <w:sz w:val="18"/>
          <w:szCs w:val="18"/>
          <w:color w:val="auto"/>
        </w:rPr>
      </w:pPr>
    </w:p>
    <w:p>
      <w:pPr>
        <w:ind w:left="1520" w:hanging="713"/>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has the meaning specified therefor in Section 2.</w:t>
      </w:r>
    </w:p>
    <w:p>
      <w:pPr>
        <w:spacing w:after="0" w:line="225" w:lineRule="exact"/>
        <w:rPr>
          <w:rFonts w:ascii="Arial" w:cs="Arial" w:eastAsia="Arial" w:hAnsi="Arial"/>
          <w:sz w:val="18"/>
          <w:szCs w:val="18"/>
          <w:color w:val="auto"/>
        </w:rPr>
      </w:pPr>
    </w:p>
    <w:p>
      <w:pPr>
        <w:jc w:val="both"/>
        <w:ind w:firstLine="807"/>
        <w:spacing w:after="0" w:line="277" w:lineRule="auto"/>
        <w:tabs>
          <w:tab w:leader="none" w:pos="155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Commencement Notice</w:t>
      </w:r>
      <w:r>
        <w:rPr>
          <w:rFonts w:ascii="Arial" w:cs="Arial" w:eastAsia="Arial" w:hAnsi="Arial"/>
          <w:sz w:val="17"/>
          <w:szCs w:val="17"/>
          <w:color w:val="auto"/>
        </w:rPr>
        <w:t>” means a written notice, given by any Secured Party to the other Secured Parties in accordance with the notice provisions set forth in the Securities Purchase Agreement, pursuant to which such Secured Party notifies the other Secured Parties of the existence of one or more Events of Default and of such Secured Party’s intent to commence the exercise of one or more of the remedies provided for under this Agreement with respect to all or any portion of the Collateral as a consequence thereof, which notice shall incorporate a reasonably detailed description of each Event of Default then existing and of the remedial action proposed to be taken.</w:t>
      </w:r>
    </w:p>
    <w:p>
      <w:pPr>
        <w:spacing w:after="0" w:line="168" w:lineRule="exact"/>
        <w:rPr>
          <w:rFonts w:ascii="Arial" w:cs="Arial" w:eastAsia="Arial" w:hAnsi="Arial"/>
          <w:sz w:val="17"/>
          <w:szCs w:val="17"/>
          <w:color w:val="auto"/>
        </w:rPr>
      </w:pPr>
    </w:p>
    <w:p>
      <w:pPr>
        <w:ind w:right="20" w:firstLine="807"/>
        <w:spacing w:after="0" w:line="282" w:lineRule="auto"/>
        <w:tabs>
          <w:tab w:leader="none" w:pos="14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Tort Claims</w:t>
      </w:r>
      <w:r>
        <w:rPr>
          <w:rFonts w:ascii="Arial" w:cs="Arial" w:eastAsia="Arial" w:hAnsi="Arial"/>
          <w:sz w:val="18"/>
          <w:szCs w:val="18"/>
          <w:color w:val="auto"/>
        </w:rPr>
        <w:t xml:space="preserve">” means commercial tort claims (as that term is defined in the Code), and includes those commercial tort claims listed on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attached hereto.</w:t>
      </w:r>
    </w:p>
    <w:p>
      <w:pPr>
        <w:spacing w:after="0" w:line="161" w:lineRule="exact"/>
        <w:rPr>
          <w:rFonts w:ascii="Arial" w:cs="Arial" w:eastAsia="Arial" w:hAnsi="Arial"/>
          <w:sz w:val="18"/>
          <w:szCs w:val="18"/>
          <w:color w:val="auto"/>
        </w:rPr>
      </w:pPr>
    </w:p>
    <w:p>
      <w:pPr>
        <w:jc w:val="both"/>
        <w:ind w:firstLine="807"/>
        <w:spacing w:after="0" w:line="289" w:lineRule="auto"/>
        <w:tabs>
          <w:tab w:leader="none" w:pos="147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means a control agreement, in form and substance satisfactory to Secured Parties, executed and delivered by a Grantor, one or more Secured Parties, and the applicable securities intermediary (with respect to a Securities Account) or bank (with respect to a Deposit Account), as may be amended, restated, supplemented, or otherwise modified from time to time.</w:t>
      </w:r>
    </w:p>
    <w:p>
      <w:pPr>
        <w:spacing w:after="0" w:line="158" w:lineRule="exact"/>
        <w:rPr>
          <w:rFonts w:ascii="Arial" w:cs="Arial" w:eastAsia="Arial" w:hAnsi="Arial"/>
          <w:sz w:val="17"/>
          <w:szCs w:val="17"/>
          <w:color w:val="auto"/>
        </w:rPr>
      </w:pPr>
    </w:p>
    <w:p>
      <w:pPr>
        <w:jc w:val="both"/>
        <w:ind w:firstLine="807"/>
        <w:spacing w:after="0" w:line="295" w:lineRule="auto"/>
        <w:tabs>
          <w:tab w:leader="none" w:pos="156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xml:space="preserve">” means all copyrights and copyright registrations, and also includes (i) the copyright registrations and recordings thereof and all applications in connection therewith listed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attached hereto and made a part hereof, (ii) all reissues, continuations, extensions or renewals thereof, (iii) all income, royalties, damages and payments now and hereafter due or payable under and with respect thereto, including payments under all licenses entered into in connection therewith and damages and payments for past or future infringements or dilutions thereof, (iv) the right to sue for past, present and fu ture infringements and dilutions thereof, (v) the goodwill of each Grantor’s business symbolized by the foregoing or connected therewith, and (vi) all of each Grantor’s rights corresponding thereto throughout the world.</w:t>
      </w:r>
    </w:p>
    <w:p>
      <w:pPr>
        <w:spacing w:after="0" w:line="200" w:lineRule="exact"/>
        <w:rPr>
          <w:sz w:val="20"/>
          <w:szCs w:val="20"/>
          <w:color w:val="auto"/>
        </w:rPr>
      </w:pPr>
    </w:p>
    <w:p>
      <w:pPr>
        <w:spacing w:after="0" w:line="32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86" w:right="239" w:bottom="1440" w:gutter="0" w:footer="0" w:header="0"/>
        </w:sectPr>
      </w:pPr>
    </w:p>
    <w:bookmarkStart w:id="93" w:name="page94"/>
    <w:bookmarkEnd w:id="93"/>
    <w:p>
      <w:pPr>
        <w:jc w:val="both"/>
        <w:ind w:left="-540" w:firstLine="807"/>
        <w:spacing w:after="0" w:line="289" w:lineRule="auto"/>
        <w:tabs>
          <w:tab w:leader="none" w:pos="105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 Security Agreement</w:t>
      </w:r>
      <w:r>
        <w:rPr>
          <w:rFonts w:ascii="Arial" w:cs="Arial" w:eastAsia="Arial" w:hAnsi="Arial"/>
          <w:sz w:val="17"/>
          <w:szCs w:val="17"/>
          <w:color w:val="auto"/>
        </w:rPr>
        <w:t xml:space="preserve">” means each Copyright Security Agreement among Grantors, or any of them, and Secured Parties, in substantially the form of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hereto, pursuant to which Grantors have granted to each Secured Party a security interest in all their respective Copyrights, as may be amended, restated, supplemented, or otherwise modified from time to time.</w:t>
      </w:r>
    </w:p>
    <w:p>
      <w:pPr>
        <w:spacing w:after="0" w:line="158" w:lineRule="exact"/>
        <w:rPr>
          <w:rFonts w:ascii="Arial" w:cs="Arial" w:eastAsia="Arial" w:hAnsi="Arial"/>
          <w:sz w:val="17"/>
          <w:szCs w:val="17"/>
          <w:color w:val="auto"/>
        </w:rPr>
      </w:pPr>
    </w:p>
    <w:p>
      <w:pPr>
        <w:ind w:left="1020" w:hanging="753"/>
        <w:spacing w:after="0"/>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deposit account (as that term is defined in the Code).</w:t>
      </w:r>
    </w:p>
    <w:p>
      <w:pPr>
        <w:spacing w:after="0" w:line="225" w:lineRule="exact"/>
        <w:rPr>
          <w:rFonts w:ascii="Arial" w:cs="Arial" w:eastAsia="Arial" w:hAnsi="Arial"/>
          <w:sz w:val="18"/>
          <w:szCs w:val="18"/>
          <w:color w:val="auto"/>
        </w:rPr>
      </w:pPr>
    </w:p>
    <w:p>
      <w:pPr>
        <w:ind w:left="980" w:hanging="713"/>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means equipment (as that term is defined in the Code).</w:t>
      </w:r>
    </w:p>
    <w:p>
      <w:pPr>
        <w:spacing w:after="0" w:line="225" w:lineRule="exact"/>
        <w:rPr>
          <w:rFonts w:ascii="Arial" w:cs="Arial" w:eastAsia="Arial" w:hAnsi="Arial"/>
          <w:sz w:val="18"/>
          <w:szCs w:val="18"/>
          <w:color w:val="auto"/>
        </w:rPr>
      </w:pPr>
    </w:p>
    <w:p>
      <w:pPr>
        <w:ind w:left="980" w:hanging="713"/>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therefor in the Notes.</w:t>
      </w:r>
    </w:p>
    <w:p>
      <w:pPr>
        <w:spacing w:after="0" w:line="225" w:lineRule="exact"/>
        <w:rPr>
          <w:rFonts w:ascii="Arial" w:cs="Arial" w:eastAsia="Arial" w:hAnsi="Arial"/>
          <w:sz w:val="18"/>
          <w:szCs w:val="18"/>
          <w:color w:val="auto"/>
        </w:rPr>
      </w:pPr>
    </w:p>
    <w:p>
      <w:pPr>
        <w:jc w:val="both"/>
        <w:ind w:left="-540" w:firstLine="807"/>
        <w:spacing w:after="0" w:line="289" w:lineRule="auto"/>
        <w:tabs>
          <w:tab w:leader="none" w:pos="111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Intangibles</w:t>
      </w:r>
      <w:r>
        <w:rPr>
          <w:rFonts w:ascii="Arial" w:cs="Arial" w:eastAsia="Arial" w:hAnsi="Arial"/>
          <w:sz w:val="16"/>
          <w:szCs w:val="16"/>
          <w:color w:val="auto"/>
        </w:rPr>
        <w:t>” means general intangibles (as that term is defined in the Code) and, in any event, includes payment intangibles, contract rights, rights to payment, rights arising under common law, statutes, or regulations, choses or things in action, goodwill (including the goodwill associated with any Trademark, Patent, or Copyright), Patents, Trademarks, Copyrights, URLs and domain names, industrial designs,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Intellectual Property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Code, and any other personal property other than Commercial Tort Claims, money, Accounts, Chattel Paper, Deposit Accounts, goods, Investment Related Property, Negotiable Collateral, and oil, gas, or other minerals before extraction.</w:t>
      </w:r>
    </w:p>
    <w:p>
      <w:pPr>
        <w:spacing w:after="0" w:line="161" w:lineRule="exact"/>
        <w:rPr>
          <w:rFonts w:ascii="Arial" w:cs="Arial" w:eastAsia="Arial" w:hAnsi="Arial"/>
          <w:sz w:val="16"/>
          <w:szCs w:val="16"/>
          <w:color w:val="auto"/>
        </w:rPr>
      </w:pPr>
    </w:p>
    <w:p>
      <w:pPr>
        <w:jc w:val="both"/>
        <w:ind w:left="-540" w:firstLine="807"/>
        <w:spacing w:after="0" w:line="266" w:lineRule="auto"/>
        <w:tabs>
          <w:tab w:leader="none" w:pos="101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domestic or foreign federal, state, local, or other governmental or administrative body, instrumentality, board, department, or agency or any court, tribunal, administrative hearing body, arbitration panel, commission, or other similar dispute-resolving panel or body.</w:t>
      </w:r>
    </w:p>
    <w:p>
      <w:pPr>
        <w:spacing w:after="0" w:line="176" w:lineRule="exact"/>
        <w:rPr>
          <w:rFonts w:ascii="Arial" w:cs="Arial" w:eastAsia="Arial" w:hAnsi="Arial"/>
          <w:sz w:val="18"/>
          <w:szCs w:val="18"/>
          <w:color w:val="auto"/>
        </w:rPr>
      </w:pPr>
    </w:p>
    <w:p>
      <w:pPr>
        <w:jc w:val="both"/>
        <w:ind w:left="-540" w:firstLine="807"/>
        <w:spacing w:after="0" w:line="261" w:lineRule="auto"/>
        <w:tabs>
          <w:tab w:leader="none" w:pos="102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Guaranties</w:t>
      </w:r>
      <w:r>
        <w:rPr>
          <w:rFonts w:ascii="Arial" w:cs="Arial" w:eastAsia="Arial" w:hAnsi="Arial"/>
          <w:sz w:val="18"/>
          <w:szCs w:val="18"/>
          <w:color w:val="auto"/>
        </w:rPr>
        <w:t>” means each Guaranty dated of even date herewith executed by Guarantors in favor of any or all of the Secured Parties, together with any other guaranty or similar agreement now or hereafter executed by a Guarantor in favor of any or all of the Secured Parties in connection with the Notes or any of the other Transaction Documents, as may be amended, restated, supplemented, or otherwise modified from time to time.</w:t>
      </w:r>
    </w:p>
    <w:p>
      <w:pPr>
        <w:spacing w:after="0" w:line="180" w:lineRule="exact"/>
        <w:rPr>
          <w:rFonts w:ascii="Arial" w:cs="Arial" w:eastAsia="Arial" w:hAnsi="Arial"/>
          <w:sz w:val="18"/>
          <w:szCs w:val="18"/>
          <w:color w:val="auto"/>
        </w:rPr>
      </w:pPr>
    </w:p>
    <w:p>
      <w:pPr>
        <w:ind w:left="960" w:hanging="693"/>
        <w:spacing w:after="0"/>
        <w:tabs>
          <w:tab w:leader="none" w:pos="9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means each Grantor, other than Parent, and each other Person that now or hereafter executes a Guaranty.</w:t>
      </w:r>
    </w:p>
    <w:p>
      <w:pPr>
        <w:spacing w:after="0" w:line="236" w:lineRule="exact"/>
        <w:rPr>
          <w:rFonts w:ascii="Arial" w:cs="Arial" w:eastAsia="Arial" w:hAnsi="Arial"/>
          <w:sz w:val="17"/>
          <w:szCs w:val="17"/>
          <w:color w:val="auto"/>
        </w:rPr>
      </w:pPr>
    </w:p>
    <w:p>
      <w:pPr>
        <w:jc w:val="both"/>
        <w:ind w:left="-540" w:firstLine="807"/>
        <w:spacing w:after="0" w:line="261" w:lineRule="auto"/>
        <w:tabs>
          <w:tab w:leader="none" w:pos="100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any proceeding commenced by or against any Person under any provision of the Bankruptcy Code or under any other state or federal bankruptcy or insolvency law or any equivalent laws in any other jurisdiction, assignments for the benefit of creditors, formal or informal moratoria, compositions, extensions generally with creditors, or proceedings seeking reorganization, arrangement, or other similar relief.</w:t>
      </w: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94" w:name="page95"/>
    <w:bookmarkEnd w:id="94"/>
    <w:p>
      <w:pPr>
        <w:ind w:left="-540" w:firstLine="807"/>
        <w:spacing w:after="0" w:line="282" w:lineRule="auto"/>
        <w:tabs>
          <w:tab w:leader="none" w:pos="107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Patents, Copyrights, Trademarks, the goodwill associated with such Trademarks, trade secrets and customer lists, and Intellectual Property Licenses.</w:t>
      </w:r>
    </w:p>
    <w:p>
      <w:pPr>
        <w:spacing w:after="0" w:line="161" w:lineRule="exact"/>
        <w:rPr>
          <w:rFonts w:ascii="Arial" w:cs="Arial" w:eastAsia="Arial" w:hAnsi="Arial"/>
          <w:sz w:val="18"/>
          <w:szCs w:val="18"/>
          <w:color w:val="auto"/>
        </w:rPr>
      </w:pPr>
    </w:p>
    <w:p>
      <w:pPr>
        <w:jc w:val="both"/>
        <w:ind w:left="-540" w:firstLine="807"/>
        <w:spacing w:after="0" w:line="261" w:lineRule="auto"/>
        <w:tabs>
          <w:tab w:leader="none" w:pos="122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Licenses</w:t>
      </w:r>
      <w:r>
        <w:rPr>
          <w:rFonts w:ascii="Arial" w:cs="Arial" w:eastAsia="Arial" w:hAnsi="Arial"/>
          <w:sz w:val="18"/>
          <w:szCs w:val="18"/>
          <w:color w:val="auto"/>
        </w:rPr>
        <w:t xml:space="preserve">” means rights under or interests in any patent, trademark, copyright or other intellectual property, including software license agreements with any other party, whether the applicable Grantor is a licensee or licensor under any such license agreement, including the license agreements listed on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attached hereto and made a part hereof, as may be amended, restated, supplemented, or otherwise modified from time to time.</w:t>
      </w:r>
    </w:p>
    <w:p>
      <w:pPr>
        <w:spacing w:after="0" w:line="180" w:lineRule="exact"/>
        <w:rPr>
          <w:rFonts w:ascii="Arial" w:cs="Arial" w:eastAsia="Arial" w:hAnsi="Arial"/>
          <w:sz w:val="18"/>
          <w:szCs w:val="18"/>
          <w:color w:val="auto"/>
        </w:rPr>
      </w:pPr>
    </w:p>
    <w:p>
      <w:pPr>
        <w:ind w:left="1060" w:hanging="793"/>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inventory (as that term is defined in the Code).</w:t>
      </w:r>
    </w:p>
    <w:p>
      <w:pPr>
        <w:spacing w:after="0" w:line="225" w:lineRule="exact"/>
        <w:rPr>
          <w:rFonts w:ascii="Arial" w:cs="Arial" w:eastAsia="Arial" w:hAnsi="Arial"/>
          <w:sz w:val="18"/>
          <w:szCs w:val="18"/>
          <w:color w:val="auto"/>
        </w:rPr>
      </w:pPr>
    </w:p>
    <w:p>
      <w:pPr>
        <w:jc w:val="both"/>
        <w:ind w:left="-540" w:firstLine="807"/>
        <w:spacing w:after="0" w:line="266" w:lineRule="auto"/>
        <w:tabs>
          <w:tab w:leader="none" w:pos="132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Related Property</w:t>
      </w:r>
      <w:r>
        <w:rPr>
          <w:rFonts w:ascii="Arial" w:cs="Arial" w:eastAsia="Arial" w:hAnsi="Arial"/>
          <w:sz w:val="18"/>
          <w:szCs w:val="18"/>
          <w:color w:val="auto"/>
        </w:rPr>
        <w:t>” means (i) investment property (as that term is defined in the Code), and (ii) all of the following (regardless of whether classified as investment property under the Code): all Pledged Interests, Pledged Operating Agreements, and Pledged Partnership Agreements.</w:t>
      </w:r>
    </w:p>
    <w:p>
      <w:pPr>
        <w:spacing w:after="0" w:line="176" w:lineRule="exact"/>
        <w:rPr>
          <w:rFonts w:ascii="Arial" w:cs="Arial" w:eastAsia="Arial" w:hAnsi="Arial"/>
          <w:sz w:val="18"/>
          <w:szCs w:val="18"/>
          <w:color w:val="auto"/>
        </w:rPr>
      </w:pPr>
    </w:p>
    <w:p>
      <w:pPr>
        <w:ind w:left="1060" w:hanging="793"/>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has the meaning specified therefor in the Notes.</w:t>
      </w:r>
    </w:p>
    <w:p>
      <w:pPr>
        <w:spacing w:after="0" w:line="225" w:lineRule="exact"/>
        <w:rPr>
          <w:rFonts w:ascii="Arial" w:cs="Arial" w:eastAsia="Arial" w:hAnsi="Arial"/>
          <w:sz w:val="18"/>
          <w:szCs w:val="18"/>
          <w:color w:val="auto"/>
        </w:rPr>
      </w:pPr>
    </w:p>
    <w:p>
      <w:pPr>
        <w:ind w:left="1060" w:hanging="793"/>
        <w:spacing w:after="0"/>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Negotiable Collateral</w:t>
      </w:r>
      <w:r>
        <w:rPr>
          <w:rFonts w:ascii="Arial" w:cs="Arial" w:eastAsia="Arial" w:hAnsi="Arial"/>
          <w:sz w:val="16"/>
          <w:szCs w:val="16"/>
          <w:color w:val="auto"/>
        </w:rPr>
        <w:t>” means letters of credit, letter-of-credit rights, instruments, promissory notes, drafts, and documents.</w:t>
      </w:r>
    </w:p>
    <w:p>
      <w:pPr>
        <w:spacing w:after="0" w:line="248" w:lineRule="exact"/>
        <w:rPr>
          <w:sz w:val="20"/>
          <w:szCs w:val="20"/>
          <w:color w:val="auto"/>
        </w:rPr>
      </w:pPr>
    </w:p>
    <w:p>
      <w:pPr>
        <w:ind w:left="1040" w:hanging="773"/>
        <w:spacing w:after="0"/>
        <w:tabs>
          <w:tab w:leader="none" w:pos="1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Subsidiary</w:t>
      </w:r>
      <w:r>
        <w:rPr>
          <w:rFonts w:ascii="Arial" w:cs="Arial" w:eastAsia="Arial" w:hAnsi="Arial"/>
          <w:sz w:val="18"/>
          <w:szCs w:val="18"/>
          <w:color w:val="auto"/>
        </w:rPr>
        <w:t>” has the meaning specified therefor in the Notes.</w:t>
      </w:r>
    </w:p>
    <w:p>
      <w:pPr>
        <w:spacing w:after="0" w:line="225" w:lineRule="exact"/>
        <w:rPr>
          <w:rFonts w:ascii="Arial" w:cs="Arial" w:eastAsia="Arial" w:hAnsi="Arial"/>
          <w:sz w:val="18"/>
          <w:szCs w:val="18"/>
          <w:color w:val="auto"/>
        </w:rPr>
      </w:pPr>
    </w:p>
    <w:p>
      <w:pPr>
        <w:ind w:left="1060" w:hanging="793"/>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specified therefor in the Securities Purchase Agreement.</w:t>
      </w:r>
    </w:p>
    <w:p>
      <w:pPr>
        <w:spacing w:after="0" w:line="225" w:lineRule="exact"/>
        <w:rPr>
          <w:rFonts w:ascii="Arial" w:cs="Arial" w:eastAsia="Arial" w:hAnsi="Arial"/>
          <w:sz w:val="18"/>
          <w:szCs w:val="18"/>
          <w:color w:val="auto"/>
        </w:rPr>
      </w:pPr>
    </w:p>
    <w:p>
      <w:pPr>
        <w:jc w:val="both"/>
        <w:ind w:left="-540" w:firstLine="807"/>
        <w:spacing w:after="0" w:line="258" w:lineRule="auto"/>
        <w:tabs>
          <w:tab w:leader="none" w:pos="13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xml:space="preserve">” means all patents and patent applications, and also includes (i) the patents and patent applications listed on </w:t>
      </w:r>
      <w:r>
        <w:rPr>
          <w:rFonts w:ascii="Arial" w:cs="Arial" w:eastAsia="Arial" w:hAnsi="Arial"/>
          <w:sz w:val="18"/>
          <w:szCs w:val="18"/>
          <w:b w:val="1"/>
          <w:bCs w:val="1"/>
          <w:u w:val="single" w:color="auto"/>
          <w:color w:val="auto"/>
        </w:rPr>
        <w:t>Schedule 4</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made a part hereof, (ii) all renewals thereof, (iii) all income, royalties, damages and payments now and hereafter due</w:t>
      </w:r>
      <w:r>
        <w:rPr>
          <w:rFonts w:ascii="Arial" w:cs="Arial" w:eastAsia="Arial" w:hAnsi="Arial"/>
          <w:sz w:val="18"/>
          <w:szCs w:val="18"/>
          <w:b w:val="1"/>
          <w:bCs w:val="1"/>
          <w:color w:val="auto"/>
        </w:rPr>
        <w:t xml:space="preserve"> </w:t>
      </w:r>
      <w:r>
        <w:rPr>
          <w:rFonts w:ascii="Arial" w:cs="Arial" w:eastAsia="Arial" w:hAnsi="Arial"/>
          <w:sz w:val="18"/>
          <w:szCs w:val="18"/>
          <w:color w:val="auto"/>
        </w:rPr>
        <w:t>or payable under and with respect thereto, including payments under all licenses entered into in connection therewith and damages and payments for past or future infringements or dilutions thereof, (iv) the right to sue for past, present and future infringements and dilutions thereof, and (v) all of each Grantor’s rights corresponding thereto t hroughout the world.</w:t>
      </w:r>
    </w:p>
    <w:p>
      <w:pPr>
        <w:spacing w:after="0" w:line="183" w:lineRule="exact"/>
        <w:rPr>
          <w:rFonts w:ascii="Arial" w:cs="Arial" w:eastAsia="Arial" w:hAnsi="Arial"/>
          <w:sz w:val="18"/>
          <w:szCs w:val="18"/>
          <w:color w:val="auto"/>
        </w:rPr>
      </w:pPr>
    </w:p>
    <w:p>
      <w:pPr>
        <w:jc w:val="both"/>
        <w:ind w:left="-540" w:firstLine="807"/>
        <w:spacing w:after="0" w:line="266" w:lineRule="auto"/>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Security Agreement</w:t>
      </w:r>
      <w:r>
        <w:rPr>
          <w:rFonts w:ascii="Arial" w:cs="Arial" w:eastAsia="Arial" w:hAnsi="Arial"/>
          <w:sz w:val="18"/>
          <w:szCs w:val="18"/>
          <w:color w:val="auto"/>
        </w:rPr>
        <w:t xml:space="preserve">” means each Patent Security Agreement among Grantors and Secured Parties in substantially the form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pursuant to which Grantors have granted to each Secured Party a security interest in all their respective Patents, as may be amended, restated, supplemented, or otherwise modified from time to time.</w:t>
      </w:r>
    </w:p>
    <w:p>
      <w:pPr>
        <w:spacing w:after="0" w:line="176" w:lineRule="exact"/>
        <w:rPr>
          <w:rFonts w:ascii="Arial" w:cs="Arial" w:eastAsia="Arial" w:hAnsi="Arial"/>
          <w:sz w:val="18"/>
          <w:szCs w:val="18"/>
          <w:color w:val="auto"/>
        </w:rPr>
      </w:pPr>
    </w:p>
    <w:p>
      <w:pPr>
        <w:ind w:left="1080" w:hanging="813"/>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specified therefor in the Notes.</w:t>
      </w:r>
    </w:p>
    <w:p>
      <w:pPr>
        <w:spacing w:after="0" w:line="225" w:lineRule="exact"/>
        <w:rPr>
          <w:rFonts w:ascii="Arial" w:cs="Arial" w:eastAsia="Arial" w:hAnsi="Arial"/>
          <w:sz w:val="18"/>
          <w:szCs w:val="18"/>
          <w:color w:val="auto"/>
        </w:rPr>
      </w:pPr>
    </w:p>
    <w:p>
      <w:pPr>
        <w:jc w:val="both"/>
        <w:ind w:left="-540" w:firstLine="807"/>
        <w:spacing w:after="0" w:line="274" w:lineRule="auto"/>
        <w:tabs>
          <w:tab w:leader="none" w:pos="132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Secured Party</w:t>
      </w:r>
      <w:r>
        <w:rPr>
          <w:rFonts w:ascii="Arial" w:cs="Arial" w:eastAsia="Arial" w:hAnsi="Arial"/>
          <w:sz w:val="17"/>
          <w:szCs w:val="17"/>
          <w:color w:val="auto"/>
        </w:rPr>
        <w:t xml:space="preserve">” means, with respect to the exercise of any remedy provided for under this Agreement, any Secured Party that has delivered a Commencement Notice with respect to the exercise of such remedy to the other Secured Parties and has not received a Veto Notice with respect thereto within the Veto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there shall only be a single Permitted Secured Party that may exercise any specific remedy at any one time (it being agreed that if a Commencement Notice is delivered by more than one Secured Party with respect to any remedy pro vided for under this Agreement, then the first Secured Party to deliver a Commencement Notice and not receive a Veto Notice within the Veto Period shall be the only Secured Party that may exercise such remedy).</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95" w:name="page96"/>
    <w:bookmarkEnd w:id="95"/>
    <w:p>
      <w:pPr>
        <w:ind w:left="1600" w:hanging="793"/>
        <w:spacing w:after="0"/>
        <w:tabs>
          <w:tab w:leader="none" w:pos="1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has the meaning specified therefor in the Securities Purchase Agreement.</w:t>
      </w:r>
    </w:p>
    <w:p>
      <w:pPr>
        <w:spacing w:after="0" w:line="225" w:lineRule="exact"/>
        <w:rPr>
          <w:rFonts w:ascii="Arial" w:cs="Arial" w:eastAsia="Arial" w:hAnsi="Arial"/>
          <w:sz w:val="18"/>
          <w:szCs w:val="18"/>
          <w:color w:val="auto"/>
        </w:rPr>
      </w:pPr>
    </w:p>
    <w:p>
      <w:pPr>
        <w:ind w:firstLine="807"/>
        <w:spacing w:after="0" w:line="282" w:lineRule="auto"/>
        <w:tabs>
          <w:tab w:leader="none" w:pos="172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Companies</w:t>
      </w:r>
      <w:r>
        <w:rPr>
          <w:rFonts w:ascii="Arial" w:cs="Arial" w:eastAsia="Arial" w:hAnsi="Arial"/>
          <w:sz w:val="18"/>
          <w:szCs w:val="18"/>
          <w:color w:val="auto"/>
        </w:rPr>
        <w:t xml:space="preserve">” means, each Person listed on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hereto as a “Pledged Company,” together with each other Person all or a portion of whose Stock is acquired or otherwise owned by a Grantor after the date hereof.</w:t>
      </w:r>
    </w:p>
    <w:p>
      <w:pPr>
        <w:spacing w:after="0" w:line="161" w:lineRule="exact"/>
        <w:rPr>
          <w:rFonts w:ascii="Arial" w:cs="Arial" w:eastAsia="Arial" w:hAnsi="Arial"/>
          <w:sz w:val="18"/>
          <w:szCs w:val="18"/>
          <w:color w:val="auto"/>
        </w:rPr>
      </w:pPr>
    </w:p>
    <w:p>
      <w:pPr>
        <w:jc w:val="both"/>
        <w:ind w:firstLine="807"/>
        <w:spacing w:after="0" w:line="255" w:lineRule="auto"/>
        <w:tabs>
          <w:tab w:leader="none" w:pos="16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Interests</w:t>
      </w:r>
      <w:r>
        <w:rPr>
          <w:rFonts w:ascii="Arial" w:cs="Arial" w:eastAsia="Arial" w:hAnsi="Arial"/>
          <w:sz w:val="18"/>
          <w:szCs w:val="18"/>
          <w:color w:val="auto"/>
        </w:rPr>
        <w:t>” means all of each Grantor’s right, title and interest in and to all of the Stock now or hereafter owned by such Grantor, regardless of class or designation, including all substitutions therefor and replacements thereof, all proceeds thereof and all rights relating thereto, also including any certificates representing the Stock, the right to receive any certificates representing any of the Stock, all warrants, options, share appreciation rights and other rights, contractual or otherwise, in respect thereof, and the right to receive dividends, distributions of income, profits, surplus, or other compensation by way of income or liquidating distributions, in cash o r in kind, and cash, instruments, and other property from time to time received, receivable, or otherwise distributed in respect of or in addition to, in substitution of, on account of, or in exchange for any or all of the foregoing.</w:t>
      </w:r>
    </w:p>
    <w:p>
      <w:pPr>
        <w:spacing w:after="0" w:line="189" w:lineRule="exact"/>
        <w:rPr>
          <w:rFonts w:ascii="Arial" w:cs="Arial" w:eastAsia="Arial" w:hAnsi="Arial"/>
          <w:sz w:val="18"/>
          <w:szCs w:val="18"/>
          <w:color w:val="auto"/>
        </w:rPr>
      </w:pPr>
    </w:p>
    <w:p>
      <w:pPr>
        <w:jc w:val="both"/>
        <w:ind w:firstLine="807"/>
        <w:spacing w:after="0" w:line="266" w:lineRule="auto"/>
        <w:tabs>
          <w:tab w:leader="none" w:pos="187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Operating Agreements</w:t>
      </w:r>
      <w:r>
        <w:rPr>
          <w:rFonts w:ascii="Arial" w:cs="Arial" w:eastAsia="Arial" w:hAnsi="Arial"/>
          <w:sz w:val="18"/>
          <w:szCs w:val="18"/>
          <w:color w:val="auto"/>
        </w:rPr>
        <w:t>” means all of each Grantor’s rights, powers, and remedies under the limited liability company operating agreements of each of the Pledged Companies that are limited liability companies, as may be amended, restated, supplemented, or otherwise modified from time to time.</w:t>
      </w:r>
    </w:p>
    <w:p>
      <w:pPr>
        <w:spacing w:after="0" w:line="176" w:lineRule="exact"/>
        <w:rPr>
          <w:rFonts w:ascii="Arial" w:cs="Arial" w:eastAsia="Arial" w:hAnsi="Arial"/>
          <w:sz w:val="18"/>
          <w:szCs w:val="18"/>
          <w:color w:val="auto"/>
        </w:rPr>
      </w:pPr>
    </w:p>
    <w:p>
      <w:pPr>
        <w:jc w:val="both"/>
        <w:ind w:firstLine="807"/>
        <w:spacing w:after="0" w:line="266" w:lineRule="auto"/>
        <w:tabs>
          <w:tab w:leader="none" w:pos="192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Partnership Agreements</w:t>
      </w:r>
      <w:r>
        <w:rPr>
          <w:rFonts w:ascii="Arial" w:cs="Arial" w:eastAsia="Arial" w:hAnsi="Arial"/>
          <w:sz w:val="18"/>
          <w:szCs w:val="18"/>
          <w:color w:val="auto"/>
        </w:rPr>
        <w:t>” means all of each Grantor’s rights, powers, and remedies under the partnership agreements of each of the Pledged Companies that are partnerships, as may be amended, restated, supplemented, or otherwise modified from time to time.</w:t>
      </w:r>
    </w:p>
    <w:p>
      <w:pPr>
        <w:spacing w:after="0" w:line="176" w:lineRule="exact"/>
        <w:rPr>
          <w:rFonts w:ascii="Arial" w:cs="Arial" w:eastAsia="Arial" w:hAnsi="Arial"/>
          <w:sz w:val="18"/>
          <w:szCs w:val="18"/>
          <w:color w:val="auto"/>
        </w:rPr>
      </w:pPr>
    </w:p>
    <w:p>
      <w:pPr>
        <w:ind w:left="1660" w:hanging="853"/>
        <w:spacing w:after="0"/>
        <w:tabs>
          <w:tab w:leader="none" w:pos="1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PPSA</w:t>
      </w:r>
      <w:r>
        <w:rPr>
          <w:rFonts w:ascii="Arial" w:cs="Arial" w:eastAsia="Arial" w:hAnsi="Arial"/>
          <w:sz w:val="18"/>
          <w:szCs w:val="18"/>
          <w:color w:val="auto"/>
        </w:rPr>
        <w:t>” means the Personal Property Security Act (British Columbia), as in effect from time to time.</w:t>
      </w:r>
    </w:p>
    <w:p>
      <w:pPr>
        <w:spacing w:after="0" w:line="225" w:lineRule="exact"/>
        <w:rPr>
          <w:rFonts w:ascii="Arial" w:cs="Arial" w:eastAsia="Arial" w:hAnsi="Arial"/>
          <w:sz w:val="18"/>
          <w:szCs w:val="18"/>
          <w:color w:val="auto"/>
        </w:rPr>
      </w:pPr>
    </w:p>
    <w:p>
      <w:pPr>
        <w:ind w:left="1660" w:hanging="853"/>
        <w:spacing w:after="0"/>
        <w:tabs>
          <w:tab w:leader="none" w:pos="1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has the meaning specified therefor in Section 2.</w:t>
      </w:r>
    </w:p>
    <w:p>
      <w:pPr>
        <w:spacing w:after="0" w:line="225" w:lineRule="exact"/>
        <w:rPr>
          <w:rFonts w:ascii="Arial" w:cs="Arial" w:eastAsia="Arial" w:hAnsi="Arial"/>
          <w:sz w:val="18"/>
          <w:szCs w:val="18"/>
          <w:color w:val="auto"/>
        </w:rPr>
      </w:pPr>
    </w:p>
    <w:p>
      <w:pPr>
        <w:ind w:left="1760" w:hanging="953"/>
        <w:spacing w:after="0"/>
        <w:tabs>
          <w:tab w:leader="none" w:pos="1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 means any estates or interests in real property now owned or hereafter acquired by any Grantor and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improvements thereto.</w:t>
      </w:r>
    </w:p>
    <w:p>
      <w:pPr>
        <w:spacing w:after="0" w:line="206" w:lineRule="exact"/>
        <w:rPr>
          <w:rFonts w:ascii="Arial" w:cs="Arial" w:eastAsia="Arial" w:hAnsi="Arial"/>
          <w:sz w:val="16"/>
          <w:szCs w:val="16"/>
          <w:color w:val="auto"/>
        </w:rPr>
      </w:pPr>
    </w:p>
    <w:p>
      <w:pPr>
        <w:ind w:firstLine="807"/>
        <w:spacing w:after="0" w:line="282" w:lineRule="auto"/>
        <w:tabs>
          <w:tab w:leader="none" w:pos="16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Records</w:t>
      </w:r>
      <w:r>
        <w:rPr>
          <w:rFonts w:ascii="Arial" w:cs="Arial" w:eastAsia="Arial" w:hAnsi="Arial"/>
          <w:sz w:val="18"/>
          <w:szCs w:val="18"/>
          <w:color w:val="auto"/>
        </w:rPr>
        <w:t>” means information that is inscribed on a tangible medium or which is stored in an electronic or other medium and is retrievable in perceivable form.</w:t>
      </w:r>
    </w:p>
    <w:p>
      <w:pPr>
        <w:spacing w:after="0" w:line="161" w:lineRule="exact"/>
        <w:rPr>
          <w:rFonts w:ascii="Arial" w:cs="Arial" w:eastAsia="Arial" w:hAnsi="Arial"/>
          <w:sz w:val="18"/>
          <w:szCs w:val="18"/>
          <w:color w:val="auto"/>
        </w:rPr>
      </w:pPr>
    </w:p>
    <w:p>
      <w:pPr>
        <w:jc w:val="both"/>
        <w:ind w:firstLine="807"/>
        <w:spacing w:after="0" w:line="261" w:lineRule="auto"/>
        <w:tabs>
          <w:tab w:leader="none" w:pos="161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 all of the present and future payment and performance obligations of Grantors arising under this Agreement, the Notes, the Guaranties, and the other Transaction Documents, including, without duplication, reasonable attorneys’ fees and expenses and any interest, fees, or expenses that accrue after the filing of an Insolvency Proceeding, regardless of whether allowed or allowable in whole or in part as a claim in any Insolvency Proceeding.</w:t>
      </w:r>
    </w:p>
    <w:p>
      <w:pPr>
        <w:spacing w:after="0" w:line="180" w:lineRule="exact"/>
        <w:rPr>
          <w:rFonts w:ascii="Arial" w:cs="Arial" w:eastAsia="Arial" w:hAnsi="Arial"/>
          <w:sz w:val="18"/>
          <w:szCs w:val="18"/>
          <w:color w:val="auto"/>
        </w:rPr>
      </w:pPr>
    </w:p>
    <w:p>
      <w:pPr>
        <w:ind w:left="1600" w:hanging="793"/>
        <w:spacing w:after="0"/>
        <w:tabs>
          <w:tab w:leader="none" w:pos="1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means a securities account (as that term is defined in the Code).</w:t>
      </w:r>
    </w:p>
    <w:p>
      <w:pPr>
        <w:spacing w:after="0" w:line="200" w:lineRule="exact"/>
        <w:rPr>
          <w:sz w:val="20"/>
          <w:szCs w:val="20"/>
          <w:color w:val="auto"/>
        </w:rPr>
      </w:pPr>
    </w:p>
    <w:p>
      <w:pPr>
        <w:spacing w:after="0" w:line="39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86" w:right="239" w:bottom="1440" w:gutter="0" w:footer="0" w:header="0"/>
        </w:sectPr>
      </w:pPr>
    </w:p>
    <w:bookmarkStart w:id="96" w:name="page97"/>
    <w:bookmarkEnd w:id="96"/>
    <w:p>
      <w:pPr>
        <w:jc w:val="both"/>
        <w:ind w:left="-540" w:firstLine="807"/>
        <w:spacing w:after="0" w:line="281" w:lineRule="auto"/>
        <w:tabs>
          <w:tab w:leader="none" w:pos="134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collectively, this Agreement, each Copyright Security Agreement, each Patent Security Agreement, each Trademark Security Agreement, each Control Agreement, and each other security agreement, pledge agreement, assignment, mortgage, security deed, deed of trust, and other agreement or document executed and delivered by a Grantor as security for any of the Secured Obligations, as may be amended, restated, supplemented, or otherwise modified from time to time.</w:t>
      </w:r>
    </w:p>
    <w:p>
      <w:pPr>
        <w:spacing w:after="0" w:line="164" w:lineRule="exact"/>
        <w:rPr>
          <w:rFonts w:ascii="Arial" w:cs="Arial" w:eastAsia="Arial" w:hAnsi="Arial"/>
          <w:sz w:val="17"/>
          <w:szCs w:val="17"/>
          <w:color w:val="auto"/>
        </w:rPr>
      </w:pPr>
    </w:p>
    <w:p>
      <w:pPr>
        <w:ind w:left="1020" w:hanging="753"/>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and “</w:t>
      </w:r>
      <w:r>
        <w:rPr>
          <w:rFonts w:ascii="Arial" w:cs="Arial" w:eastAsia="Arial" w:hAnsi="Arial"/>
          <w:sz w:val="18"/>
          <w:szCs w:val="18"/>
          <w:b w:val="1"/>
          <w:bCs w:val="1"/>
          <w:color w:val="auto"/>
        </w:rPr>
        <w:t>Security Interests</w:t>
      </w:r>
      <w:r>
        <w:rPr>
          <w:rFonts w:ascii="Arial" w:cs="Arial" w:eastAsia="Arial" w:hAnsi="Arial"/>
          <w:sz w:val="18"/>
          <w:szCs w:val="18"/>
          <w:color w:val="auto"/>
        </w:rPr>
        <w:t>” have the meanings specified therefor in Section 2.</w:t>
      </w:r>
    </w:p>
    <w:p>
      <w:pPr>
        <w:spacing w:after="0" w:line="225" w:lineRule="exact"/>
        <w:rPr>
          <w:rFonts w:ascii="Arial" w:cs="Arial" w:eastAsia="Arial" w:hAnsi="Arial"/>
          <w:sz w:val="18"/>
          <w:szCs w:val="18"/>
          <w:color w:val="auto"/>
        </w:rPr>
      </w:pPr>
    </w:p>
    <w:p>
      <w:pPr>
        <w:ind w:left="-540" w:firstLine="807"/>
        <w:spacing w:after="0" w:line="282" w:lineRule="auto"/>
        <w:tabs>
          <w:tab w:leader="none" w:pos="10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Secured Party</w:t>
      </w:r>
      <w:r>
        <w:rPr>
          <w:rFonts w:ascii="Arial" w:cs="Arial" w:eastAsia="Arial" w:hAnsi="Arial"/>
          <w:sz w:val="18"/>
          <w:szCs w:val="18"/>
          <w:color w:val="auto"/>
        </w:rPr>
        <w:t>” means, on any date of determination, any Secured Party holding thirty percent (30%) or more of the aggregate principal amount of Notes outstanding on such date.</w:t>
      </w:r>
    </w:p>
    <w:p>
      <w:pPr>
        <w:spacing w:after="0" w:line="161" w:lineRule="exact"/>
        <w:rPr>
          <w:rFonts w:ascii="Arial" w:cs="Arial" w:eastAsia="Arial" w:hAnsi="Arial"/>
          <w:sz w:val="18"/>
          <w:szCs w:val="18"/>
          <w:color w:val="auto"/>
        </w:rPr>
      </w:pPr>
    </w:p>
    <w:p>
      <w:pPr>
        <w:jc w:val="both"/>
        <w:ind w:left="-540" w:firstLine="807"/>
        <w:spacing w:after="0" w:line="303" w:lineRule="auto"/>
        <w:tabs>
          <w:tab w:leader="none" w:pos="118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w:t>
      </w:r>
      <w:r>
        <w:rPr>
          <w:rFonts w:ascii="Arial" w:cs="Arial" w:eastAsia="Arial" w:hAnsi="Arial"/>
          <w:sz w:val="16"/>
          <w:szCs w:val="16"/>
          <w:color w:val="auto"/>
        </w:rPr>
        <w:t>” means all shares, options, warrants, interests (including, without limitation, membership and partnership interests), participations, or other equivalents (regardless of how designated) of or in a Person, whether voting or nonvoting, including common stock, preferred stock, or any other “equity security” (as such term is defined in Rule 3a11-1 of the General Rules and Regulations promulgated by the United States Securities and Exchange Commission and any successor thereto under the Securities Exchange Act of 1934, as in effect from time to time).</w:t>
      </w:r>
    </w:p>
    <w:p>
      <w:pPr>
        <w:spacing w:after="0" w:line="151" w:lineRule="exact"/>
        <w:rPr>
          <w:rFonts w:ascii="Arial" w:cs="Arial" w:eastAsia="Arial" w:hAnsi="Arial"/>
          <w:sz w:val="16"/>
          <w:szCs w:val="16"/>
          <w:color w:val="auto"/>
        </w:rPr>
      </w:pPr>
    </w:p>
    <w:p>
      <w:pPr>
        <w:ind w:left="1060" w:hanging="793"/>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and “</w:t>
      </w:r>
      <w:r>
        <w:rPr>
          <w:rFonts w:ascii="Arial" w:cs="Arial" w:eastAsia="Arial" w:hAnsi="Arial"/>
          <w:sz w:val="18"/>
          <w:szCs w:val="18"/>
          <w:b w:val="1"/>
          <w:bCs w:val="1"/>
          <w:color w:val="auto"/>
        </w:rPr>
        <w:t>Subsidiary</w:t>
      </w:r>
      <w:r>
        <w:rPr>
          <w:rFonts w:ascii="Arial" w:cs="Arial" w:eastAsia="Arial" w:hAnsi="Arial"/>
          <w:sz w:val="18"/>
          <w:szCs w:val="18"/>
          <w:color w:val="auto"/>
        </w:rPr>
        <w:t>” each have the meanings specified therefor in the Notes.</w:t>
      </w:r>
    </w:p>
    <w:p>
      <w:pPr>
        <w:spacing w:after="0" w:line="225" w:lineRule="exact"/>
        <w:rPr>
          <w:rFonts w:ascii="Arial" w:cs="Arial" w:eastAsia="Arial" w:hAnsi="Arial"/>
          <w:sz w:val="18"/>
          <w:szCs w:val="18"/>
          <w:color w:val="auto"/>
        </w:rPr>
      </w:pPr>
    </w:p>
    <w:p>
      <w:pPr>
        <w:ind w:left="1100" w:hanging="833"/>
        <w:spacing w:after="0"/>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Supporting Obligations</w:t>
      </w:r>
      <w:r>
        <w:rPr>
          <w:rFonts w:ascii="Arial" w:cs="Arial" w:eastAsia="Arial" w:hAnsi="Arial"/>
          <w:sz w:val="18"/>
          <w:szCs w:val="18"/>
          <w:color w:val="auto"/>
        </w:rPr>
        <w:t>” means supporting obligations (as such term is defined in the Code).</w:t>
      </w:r>
    </w:p>
    <w:p>
      <w:pPr>
        <w:spacing w:after="0" w:line="225" w:lineRule="exact"/>
        <w:rPr>
          <w:rFonts w:ascii="Arial" w:cs="Arial" w:eastAsia="Arial" w:hAnsi="Arial"/>
          <w:sz w:val="18"/>
          <w:szCs w:val="18"/>
          <w:color w:val="auto"/>
        </w:rPr>
      </w:pPr>
    </w:p>
    <w:p>
      <w:pPr>
        <w:jc w:val="both"/>
        <w:ind w:left="-540" w:firstLine="807"/>
        <w:spacing w:after="0" w:line="255" w:lineRule="auto"/>
        <w:tabs>
          <w:tab w:leader="none" w:pos="11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xml:space="preserve">” means all trademarks, trade names, trademark applications, service marks, service mark applications, and also includes (i) the trade names, trademarks, trademark applications, service marks, and service mark applications listed on </w:t>
      </w:r>
      <w:r>
        <w:rPr>
          <w:rFonts w:ascii="Arial" w:cs="Arial" w:eastAsia="Arial" w:hAnsi="Arial"/>
          <w:sz w:val="18"/>
          <w:szCs w:val="18"/>
          <w:b w:val="1"/>
          <w:bCs w:val="1"/>
          <w:u w:val="single" w:color="auto"/>
          <w:color w:val="auto"/>
        </w:rPr>
        <w:t>Schedule 6</w:t>
      </w:r>
      <w:r>
        <w:rPr>
          <w:rFonts w:ascii="Arial" w:cs="Arial" w:eastAsia="Arial" w:hAnsi="Arial"/>
          <w:sz w:val="18"/>
          <w:szCs w:val="18"/>
          <w:color w:val="auto"/>
        </w:rPr>
        <w:t xml:space="preserve"> attached hereto and made a part hereof, and (ii) all renewals thereof, (iii) all income, royalties, damages and payments now and hereafter due or payable under and with respect thereto, including payments under all licenses entered into in connection therewith and damages and payments for past or future infringements or dilutions thereof, (iv) the right to su e for past, present and future infringements and dilutions thereof, (v) the goodwill of each Grantor’s business symbolized by the foregoing or connected therewith, and (vi) all of each Grantor’s rights corresponding thereto throughout the world.</w:t>
      </w:r>
    </w:p>
    <w:p>
      <w:pPr>
        <w:spacing w:after="0" w:line="189" w:lineRule="exact"/>
        <w:rPr>
          <w:rFonts w:ascii="Arial" w:cs="Arial" w:eastAsia="Arial" w:hAnsi="Arial"/>
          <w:sz w:val="18"/>
          <w:szCs w:val="18"/>
          <w:color w:val="auto"/>
        </w:rPr>
      </w:pPr>
    </w:p>
    <w:p>
      <w:pPr>
        <w:jc w:val="both"/>
        <w:ind w:left="-540" w:firstLine="807"/>
        <w:spacing w:after="0" w:line="266" w:lineRule="auto"/>
        <w:tabs>
          <w:tab w:leader="none" w:pos="12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Security Agreement</w:t>
      </w:r>
      <w:r>
        <w:rPr>
          <w:rFonts w:ascii="Arial" w:cs="Arial" w:eastAsia="Arial" w:hAnsi="Arial"/>
          <w:sz w:val="18"/>
          <w:szCs w:val="18"/>
          <w:color w:val="auto"/>
        </w:rPr>
        <w:t xml:space="preserve">” means each Trademark Security Agreement among Grantors and Secured Parties in substantially the form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 pursuant to which Grantors have granted to each Secured Party a security interest in all their respective Trademarks.</w:t>
      </w:r>
    </w:p>
    <w:p>
      <w:pPr>
        <w:spacing w:after="0" w:line="176" w:lineRule="exact"/>
        <w:rPr>
          <w:rFonts w:ascii="Arial" w:cs="Arial" w:eastAsia="Arial" w:hAnsi="Arial"/>
          <w:sz w:val="18"/>
          <w:szCs w:val="18"/>
          <w:color w:val="auto"/>
        </w:rPr>
      </w:pPr>
    </w:p>
    <w:p>
      <w:pPr>
        <w:ind w:left="1080" w:hanging="813"/>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has the meaning specified therefor in the Securities Purchase Agreement.</w:t>
      </w:r>
    </w:p>
    <w:p>
      <w:pPr>
        <w:spacing w:after="0" w:line="200" w:lineRule="exact"/>
        <w:rPr>
          <w:sz w:val="20"/>
          <w:szCs w:val="20"/>
          <w:color w:val="auto"/>
        </w:rPr>
      </w:pPr>
    </w:p>
    <w:p>
      <w:pPr>
        <w:spacing w:after="0" w:line="3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97" w:name="page98"/>
    <w:bookmarkEnd w:id="97"/>
    <w:p>
      <w:pPr>
        <w:ind w:left="2280" w:hanging="813"/>
        <w:spacing w:after="0"/>
        <w:tabs>
          <w:tab w:leader="none" w:pos="22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URL</w:t>
      </w:r>
      <w:r>
        <w:rPr>
          <w:rFonts w:ascii="Arial" w:cs="Arial" w:eastAsia="Arial" w:hAnsi="Arial"/>
          <w:sz w:val="18"/>
          <w:szCs w:val="18"/>
          <w:color w:val="auto"/>
        </w:rPr>
        <w:t>” means “uniform resource locator,” an internet web address.</w:t>
      </w:r>
    </w:p>
    <w:p>
      <w:pPr>
        <w:spacing w:after="0" w:line="225" w:lineRule="exact"/>
        <w:rPr>
          <w:rFonts w:ascii="Arial" w:cs="Arial" w:eastAsia="Arial" w:hAnsi="Arial"/>
          <w:sz w:val="18"/>
          <w:szCs w:val="18"/>
          <w:color w:val="auto"/>
        </w:rPr>
      </w:pPr>
    </w:p>
    <w:p>
      <w:pPr>
        <w:jc w:val="both"/>
        <w:ind w:left="660" w:firstLine="807"/>
        <w:spacing w:after="0" w:line="281" w:lineRule="auto"/>
        <w:tabs>
          <w:tab w:leader="none" w:pos="230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Veto Notice</w:t>
      </w:r>
      <w:r>
        <w:rPr>
          <w:rFonts w:ascii="Arial" w:cs="Arial" w:eastAsia="Arial" w:hAnsi="Arial"/>
          <w:sz w:val="17"/>
          <w:szCs w:val="17"/>
          <w:color w:val="auto"/>
        </w:rPr>
        <w:t>” means, with respect to any Commencement Notice, a written notice given by any Significant Secured Party to the other Secured Parties in accordance with the notice provisions set forth in the Securities Purchase Agreement pursuant to which such Significant Secured Party notifies the other Secured Parties of its objection to the commencement of the remedial action specified in such Commencement Notice and certifies that, to the best of its knowledge, it is a Significant Secured Party.</w:t>
      </w:r>
    </w:p>
    <w:p>
      <w:pPr>
        <w:spacing w:after="0" w:line="164" w:lineRule="exact"/>
        <w:rPr>
          <w:rFonts w:ascii="Arial" w:cs="Arial" w:eastAsia="Arial" w:hAnsi="Arial"/>
          <w:sz w:val="17"/>
          <w:szCs w:val="17"/>
          <w:color w:val="auto"/>
        </w:rPr>
      </w:pPr>
    </w:p>
    <w:p>
      <w:pPr>
        <w:ind w:left="660" w:firstLine="807"/>
        <w:spacing w:after="0" w:line="282" w:lineRule="auto"/>
        <w:tabs>
          <w:tab w:leader="none" w:pos="230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Veto Period</w:t>
      </w:r>
      <w:r>
        <w:rPr>
          <w:rFonts w:ascii="Arial" w:cs="Arial" w:eastAsia="Arial" w:hAnsi="Arial"/>
          <w:sz w:val="18"/>
          <w:szCs w:val="18"/>
          <w:color w:val="auto"/>
        </w:rPr>
        <w:t>” means, with respect to any Commencement Notice, the period of ten (10) consecutive calendar days following the delivery of such Commencement Notice to the Secured Parties.</w:t>
      </w:r>
    </w:p>
    <w:p>
      <w:pPr>
        <w:spacing w:after="0" w:line="161" w:lineRule="exact"/>
        <w:rPr>
          <w:rFonts w:ascii="Arial" w:cs="Arial" w:eastAsia="Arial" w:hAnsi="Arial"/>
          <w:sz w:val="18"/>
          <w:szCs w:val="18"/>
          <w:color w:val="auto"/>
        </w:rPr>
      </w:pPr>
    </w:p>
    <w:p>
      <w:pPr>
        <w:ind w:left="2260" w:hanging="793"/>
        <w:spacing w:after="0"/>
        <w:tabs>
          <w:tab w:leader="none" w:pos="2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has the meaning specified therefor in the Securities Purchase Agreement.</w:t>
      </w:r>
    </w:p>
    <w:p>
      <w:pPr>
        <w:spacing w:after="0" w:line="229" w:lineRule="exact"/>
        <w:rPr>
          <w:rFonts w:ascii="Arial" w:cs="Arial" w:eastAsia="Arial" w:hAnsi="Arial"/>
          <w:sz w:val="18"/>
          <w:szCs w:val="18"/>
          <w:color w:val="auto"/>
        </w:rPr>
      </w:pPr>
    </w:p>
    <w:p>
      <w:pPr>
        <w:jc w:val="both"/>
        <w:ind w:firstLine="656"/>
        <w:spacing w:after="0" w:line="279" w:lineRule="auto"/>
        <w:tabs>
          <w:tab w:leader="none" w:pos="1359"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Grant of Security</w:t>
      </w:r>
      <w:r>
        <w:rPr>
          <w:rFonts w:ascii="Arial" w:cs="Arial" w:eastAsia="Arial" w:hAnsi="Arial"/>
          <w:sz w:val="17"/>
          <w:szCs w:val="17"/>
          <w:color w:val="auto"/>
        </w:rPr>
        <w:t>. Each Grantor hereby unconditionally grants, assigns, and pledges to each Secured Party a separate, continuing security interest (each, a “</w:t>
      </w:r>
      <w:r>
        <w:rPr>
          <w:rFonts w:ascii="Arial" w:cs="Arial" w:eastAsia="Arial" w:hAnsi="Arial"/>
          <w:sz w:val="17"/>
          <w:szCs w:val="17"/>
          <w:b w:val="1"/>
          <w:bCs w:val="1"/>
          <w:color w:val="auto"/>
        </w:rPr>
        <w:t>Security Interest</w:t>
      </w:r>
      <w:r>
        <w:rPr>
          <w:rFonts w:ascii="Arial" w:cs="Arial" w:eastAsia="Arial" w:hAnsi="Arial"/>
          <w:sz w:val="17"/>
          <w:szCs w:val="17"/>
          <w:color w:val="auto"/>
        </w:rPr>
        <w:t>” and, collectively, the “</w:t>
      </w:r>
      <w:r>
        <w:rPr>
          <w:rFonts w:ascii="Arial" w:cs="Arial" w:eastAsia="Arial" w:hAnsi="Arial"/>
          <w:sz w:val="17"/>
          <w:szCs w:val="17"/>
          <w:b w:val="1"/>
          <w:bCs w:val="1"/>
          <w:color w:val="auto"/>
        </w:rPr>
        <w:t>Security Interests</w:t>
      </w:r>
      <w:r>
        <w:rPr>
          <w:rFonts w:ascii="Arial" w:cs="Arial" w:eastAsia="Arial" w:hAnsi="Arial"/>
          <w:sz w:val="17"/>
          <w:szCs w:val="17"/>
          <w:color w:val="auto"/>
        </w:rPr>
        <w:t>”) in all assets of such Grantor (other than Real Property) whether now owned or hereafter acquired or arising and wherever located (collectively, the “</w:t>
      </w:r>
      <w:r>
        <w:rPr>
          <w:rFonts w:ascii="Arial" w:cs="Arial" w:eastAsia="Arial" w:hAnsi="Arial"/>
          <w:sz w:val="17"/>
          <w:szCs w:val="17"/>
          <w:b w:val="1"/>
          <w:bCs w:val="1"/>
          <w:color w:val="auto"/>
        </w:rPr>
        <w:t>Collateral</w:t>
      </w:r>
      <w:r>
        <w:rPr>
          <w:rFonts w:ascii="Arial" w:cs="Arial" w:eastAsia="Arial" w:hAnsi="Arial"/>
          <w:sz w:val="17"/>
          <w:szCs w:val="17"/>
          <w:color w:val="auto"/>
        </w:rPr>
        <w:t>”), including, without limitation, such Grantor’s right, title, and interest in and to the following, whether now owned or hereafter acquired or arising and wherever located:</w:t>
      </w:r>
    </w:p>
    <w:p>
      <w:pPr>
        <w:spacing w:after="0" w:line="171" w:lineRule="exact"/>
        <w:rPr>
          <w:rFonts w:ascii="Arial" w:cs="Arial" w:eastAsia="Arial" w:hAnsi="Arial"/>
          <w:sz w:val="17"/>
          <w:szCs w:val="17"/>
          <w:color w:val="auto"/>
        </w:rPr>
      </w:pPr>
    </w:p>
    <w:p>
      <w:pPr>
        <w:ind w:left="2160" w:hanging="693"/>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Accounts;</w:t>
      </w:r>
    </w:p>
    <w:p>
      <w:pPr>
        <w:spacing w:after="0" w:line="225" w:lineRule="exact"/>
        <w:rPr>
          <w:rFonts w:ascii="Arial" w:cs="Arial" w:eastAsia="Arial" w:hAnsi="Arial"/>
          <w:sz w:val="18"/>
          <w:szCs w:val="18"/>
          <w:color w:val="auto"/>
        </w:rPr>
      </w:pPr>
    </w:p>
    <w:p>
      <w:pPr>
        <w:ind w:left="2120" w:hanging="653"/>
        <w:spacing w:after="0"/>
        <w:tabs>
          <w:tab w:leader="none" w:pos="2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Books;</w:t>
      </w:r>
    </w:p>
    <w:p>
      <w:pPr>
        <w:spacing w:after="0" w:line="225" w:lineRule="exact"/>
        <w:rPr>
          <w:rFonts w:ascii="Arial" w:cs="Arial" w:eastAsia="Arial" w:hAnsi="Arial"/>
          <w:sz w:val="18"/>
          <w:szCs w:val="18"/>
          <w:color w:val="auto"/>
        </w:rPr>
      </w:pPr>
    </w:p>
    <w:p>
      <w:pPr>
        <w:ind w:left="2160" w:hanging="693"/>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Chattel Paper;</w:t>
      </w:r>
    </w:p>
    <w:p>
      <w:pPr>
        <w:spacing w:after="0" w:line="225" w:lineRule="exact"/>
        <w:rPr>
          <w:rFonts w:ascii="Arial" w:cs="Arial" w:eastAsia="Arial" w:hAnsi="Arial"/>
          <w:sz w:val="18"/>
          <w:szCs w:val="18"/>
          <w:color w:val="auto"/>
        </w:rPr>
      </w:pPr>
    </w:p>
    <w:p>
      <w:pPr>
        <w:ind w:left="2120" w:hanging="653"/>
        <w:spacing w:after="0"/>
        <w:tabs>
          <w:tab w:leader="none" w:pos="2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Deposit Accounts;</w:t>
      </w:r>
    </w:p>
    <w:p>
      <w:pPr>
        <w:spacing w:after="0" w:line="225" w:lineRule="exact"/>
        <w:rPr>
          <w:rFonts w:ascii="Arial" w:cs="Arial" w:eastAsia="Arial" w:hAnsi="Arial"/>
          <w:sz w:val="18"/>
          <w:szCs w:val="18"/>
          <w:color w:val="auto"/>
        </w:rPr>
      </w:pPr>
    </w:p>
    <w:p>
      <w:pPr>
        <w:ind w:left="2160" w:hanging="693"/>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Equipment and fixtures;</w:t>
      </w:r>
    </w:p>
    <w:p>
      <w:pPr>
        <w:spacing w:after="0" w:line="225" w:lineRule="exact"/>
        <w:rPr>
          <w:rFonts w:ascii="Arial" w:cs="Arial" w:eastAsia="Arial" w:hAnsi="Arial"/>
          <w:sz w:val="18"/>
          <w:szCs w:val="18"/>
          <w:color w:val="auto"/>
        </w:rPr>
      </w:pPr>
    </w:p>
    <w:p>
      <w:pPr>
        <w:ind w:left="2140" w:hanging="673"/>
        <w:spacing w:after="0"/>
        <w:tabs>
          <w:tab w:leader="none" w:pos="2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General Intangibles;</w:t>
      </w:r>
    </w:p>
    <w:p>
      <w:pPr>
        <w:spacing w:after="0" w:line="225" w:lineRule="exact"/>
        <w:rPr>
          <w:rFonts w:ascii="Arial" w:cs="Arial" w:eastAsia="Arial" w:hAnsi="Arial"/>
          <w:sz w:val="18"/>
          <w:szCs w:val="18"/>
          <w:color w:val="auto"/>
        </w:rPr>
      </w:pPr>
    </w:p>
    <w:p>
      <w:pPr>
        <w:ind w:left="2120" w:hanging="653"/>
        <w:spacing w:after="0"/>
        <w:tabs>
          <w:tab w:leader="none" w:pos="2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Inventory;</w:t>
      </w:r>
    </w:p>
    <w:p>
      <w:pPr>
        <w:spacing w:after="0" w:line="225" w:lineRule="exact"/>
        <w:rPr>
          <w:rFonts w:ascii="Arial" w:cs="Arial" w:eastAsia="Arial" w:hAnsi="Arial"/>
          <w:sz w:val="18"/>
          <w:szCs w:val="18"/>
          <w:color w:val="auto"/>
        </w:rPr>
      </w:pPr>
    </w:p>
    <w:p>
      <w:pPr>
        <w:ind w:left="2120" w:hanging="653"/>
        <w:spacing w:after="0"/>
        <w:tabs>
          <w:tab w:leader="none" w:pos="2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Investment Related Property;</w:t>
      </w:r>
    </w:p>
    <w:p>
      <w:pPr>
        <w:spacing w:after="0" w:line="225" w:lineRule="exact"/>
        <w:rPr>
          <w:rFonts w:ascii="Arial" w:cs="Arial" w:eastAsia="Arial" w:hAnsi="Arial"/>
          <w:sz w:val="18"/>
          <w:szCs w:val="18"/>
          <w:color w:val="auto"/>
        </w:rPr>
      </w:pPr>
    </w:p>
    <w:p>
      <w:pPr>
        <w:ind w:left="2180" w:hanging="713"/>
        <w:spacing w:after="0"/>
        <w:tabs>
          <w:tab w:leader="none" w:pos="2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Negotiable Collateral;</w:t>
      </w:r>
    </w:p>
    <w:p>
      <w:pPr>
        <w:spacing w:after="0" w:line="225" w:lineRule="exact"/>
        <w:rPr>
          <w:rFonts w:ascii="Arial" w:cs="Arial" w:eastAsia="Arial" w:hAnsi="Arial"/>
          <w:sz w:val="18"/>
          <w:szCs w:val="18"/>
          <w:color w:val="auto"/>
        </w:rPr>
      </w:pPr>
    </w:p>
    <w:p>
      <w:pPr>
        <w:ind w:left="2180" w:hanging="713"/>
        <w:spacing w:after="0"/>
        <w:tabs>
          <w:tab w:leader="none" w:pos="2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rights in respect of Supporting Obligations;</w:t>
      </w:r>
    </w:p>
    <w:p>
      <w:pPr>
        <w:spacing w:after="0" w:line="225" w:lineRule="exact"/>
        <w:rPr>
          <w:rFonts w:ascii="Arial" w:cs="Arial" w:eastAsia="Arial" w:hAnsi="Arial"/>
          <w:sz w:val="18"/>
          <w:szCs w:val="18"/>
          <w:color w:val="auto"/>
        </w:rPr>
      </w:pPr>
    </w:p>
    <w:p>
      <w:pPr>
        <w:ind w:left="2180" w:hanging="713"/>
        <w:spacing w:after="0"/>
        <w:tabs>
          <w:tab w:leader="none" w:pos="2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Commercial Tort Claims;</w:t>
      </w:r>
    </w:p>
    <w:p>
      <w:pPr>
        <w:spacing w:after="0" w:line="225" w:lineRule="exact"/>
        <w:rPr>
          <w:rFonts w:ascii="Arial" w:cs="Arial" w:eastAsia="Arial" w:hAnsi="Arial"/>
          <w:sz w:val="18"/>
          <w:szCs w:val="18"/>
          <w:color w:val="auto"/>
        </w:rPr>
      </w:pPr>
    </w:p>
    <w:p>
      <w:pPr>
        <w:ind w:left="660" w:firstLine="807"/>
        <w:spacing w:after="0" w:line="277" w:lineRule="auto"/>
        <w:tabs>
          <w:tab w:leader="none" w:pos="229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of such Grantor’s money, cash, cash equivalents, or other assets of each such Grantor that now or hereafter come into the possession, custody, or control of any Secured Party;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8" w:name="page99"/>
    <w:bookmarkEnd w:id="98"/>
    <w:p>
      <w:pPr>
        <w:jc w:val="both"/>
        <w:ind w:left="660" w:firstLine="807"/>
        <w:spacing w:after="0" w:line="269" w:lineRule="auto"/>
        <w:tabs>
          <w:tab w:leader="none" w:pos="233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all of the proceeds and products, whether tangible or intangible, of any of the foregoing, including proceeds of insurance or Commercial Tort Claims covering or relating to any or all of the foregoing, and any and all Accounts, Books, Chattel Paper, Deposit Accounts, Equipment, General Intangibles, Inventory, Investment Related Property, Negotiable Collateral, Supporting Obligations, money, or other tangible or intangible property resulting from the sale, lease, license, exchange, collection, or other disposition of any of the foregoing, the proceeds of any award in condemnation with respect to any of the foregoing, any rebates or refunds, whether for taxes or otherwise, and all proceeds of any such proceeds, or any portion thereof or interest therein, and the proce eds thereof, and all proceeds of any loss of, damage to, or destruction of the above, whether insured or not insured, and, to the extent not otherwise included, any indemnity, warranty, or guaranty payable by reason of loss or damage to, or otherwise with respect to any of the foregoing (the “</w:t>
      </w:r>
      <w:r>
        <w:rPr>
          <w:rFonts w:ascii="Arial" w:cs="Arial" w:eastAsia="Arial" w:hAnsi="Arial"/>
          <w:sz w:val="17"/>
          <w:szCs w:val="17"/>
          <w:b w:val="1"/>
          <w:bCs w:val="1"/>
          <w:color w:val="auto"/>
        </w:rPr>
        <w:t>Proceeds</w:t>
      </w:r>
      <w:r>
        <w:rPr>
          <w:rFonts w:ascii="Arial" w:cs="Arial" w:eastAsia="Arial" w:hAnsi="Arial"/>
          <w:sz w:val="17"/>
          <w:szCs w:val="17"/>
          <w:color w:val="auto"/>
        </w:rPr>
        <w:t>”). Without limiting the generality of the foregoing, the term “Proceeds” includes whatever is receivable or received when Investment Related Property or proceeds are sold, exchanged, collected, or otherwise disposed of, whether such disposition is voluntary or involuntary, and includes proceeds of any indemnity or guaranty payable to any Grantor or any Secured Party from time to time with respect to any of the Investment Related Property.</w:t>
      </w:r>
    </w:p>
    <w:p>
      <w:pPr>
        <w:spacing w:after="0" w:line="182" w:lineRule="exact"/>
        <w:rPr>
          <w:rFonts w:ascii="Arial" w:cs="Arial" w:eastAsia="Arial" w:hAnsi="Arial"/>
          <w:sz w:val="17"/>
          <w:szCs w:val="17"/>
          <w:color w:val="auto"/>
        </w:rPr>
      </w:pPr>
    </w:p>
    <w:p>
      <w:pPr>
        <w:jc w:val="both"/>
        <w:ind w:firstLine="656"/>
        <w:spacing w:after="0" w:line="279" w:lineRule="auto"/>
        <w:tabs>
          <w:tab w:leader="none" w:pos="1427"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Security for Obligations</w:t>
      </w:r>
      <w:r>
        <w:rPr>
          <w:rFonts w:ascii="Arial" w:cs="Arial" w:eastAsia="Arial" w:hAnsi="Arial"/>
          <w:sz w:val="17"/>
          <w:szCs w:val="17"/>
          <w:color w:val="auto"/>
        </w:rPr>
        <w:t>. This Agreement and the Security Interests created hereby secure the payment and performance of the Secured Obligations, whether now existing or arising hereafter. Without limiting the generality of the foregoing, this Agreement secures the payment of all amounts which constitute part of the Secured Obligations and would be owed by Grantors, or any of them, to Secured Parties, or any of them, but for the fact that they are unenforceable or not allowable due to the existence of an Insolvency Proceeding involving any Grantor.</w:t>
      </w:r>
    </w:p>
    <w:p>
      <w:pPr>
        <w:spacing w:after="0" w:line="171" w:lineRule="exact"/>
        <w:rPr>
          <w:rFonts w:ascii="Arial" w:cs="Arial" w:eastAsia="Arial" w:hAnsi="Arial"/>
          <w:sz w:val="17"/>
          <w:szCs w:val="17"/>
          <w:color w:val="auto"/>
        </w:rPr>
      </w:pPr>
    </w:p>
    <w:p>
      <w:pPr>
        <w:jc w:val="both"/>
        <w:ind w:firstLine="656"/>
        <w:spacing w:after="0" w:line="287" w:lineRule="auto"/>
        <w:tabs>
          <w:tab w:leader="none" w:pos="1346"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Grantors Remain Liable</w:t>
      </w:r>
      <w:r>
        <w:rPr>
          <w:rFonts w:ascii="Arial" w:cs="Arial" w:eastAsia="Arial" w:hAnsi="Arial"/>
          <w:sz w:val="16"/>
          <w:szCs w:val="16"/>
          <w:color w:val="auto"/>
        </w:rPr>
        <w:t>. Anything herein to the contrary notwithstanding, (a) each of the Grantors shall remain liable under the contracts and agreements included in the Collateral, including the Pledged Operating Agreements and the Pledged Partnership Agreements, to perform all of the duties and obligations thereunder to the same extent as if this Agreement had not been executed, (b) the exercise by Secured Parties, or any of them, of any of the rights hereunder shall not release any Grantor from any of its duties or obligations under such contracts and agreements included in the Collateral, and (c) no Secured Party shall have any obligation or liability under such contracts and agreements inc luded in the Collateral by reason of this Agreement, nor shall any Secured Party be obligated to perform any of the obligations or duties of any Grantor thereunder or to take any action to collect or enforce any claim for payment assigned hereunder. Until an Event of Default shall occur and be continuing, except as otherwise provided in this Agreement or any other Transaction Document, Grantors shall have the right to possession and enjoyment of the Collateral for the purpose of conducting the ordinary course of their respective businesses, subject to and upon the terms hereof and the other Transaction Documents. Without limiting the generality of the foregoing, it is the intention of the parties hereto that record and beneficial ownership of the Pledged Interests, including all voting, consensual, and dividend rights, shall remain in the applicable Grantor until the occurrence of an Event of Default and until any Secured Party shall notify the applicable Grantor of such Secured Party&amp;# 8217;s exercise of voting, consensual, or dividend rights with respect to the Pledged Interests pursuant to Section 15 hereof.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9" w:name="page100"/>
    <w:bookmarkEnd w:id="99"/>
    <w:p>
      <w:pPr>
        <w:ind w:left="624" w:hanging="624"/>
        <w:spacing w:after="0"/>
        <w:tabs>
          <w:tab w:leader="none" w:pos="62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hereby represents and warrants as follows:</w:t>
      </w:r>
    </w:p>
    <w:p>
      <w:pPr>
        <w:spacing w:after="0" w:line="225" w:lineRule="exact"/>
        <w:rPr>
          <w:rFonts w:ascii="Arial" w:cs="Arial" w:eastAsia="Arial" w:hAnsi="Arial"/>
          <w:sz w:val="18"/>
          <w:szCs w:val="18"/>
          <w:color w:val="auto"/>
        </w:rPr>
      </w:pPr>
    </w:p>
    <w:p>
      <w:pPr>
        <w:ind w:left="1504" w:hanging="693"/>
        <w:spacing w:after="0"/>
        <w:tabs>
          <w:tab w:leader="none" w:pos="150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exact legal name of each of the Grantors is set forth on the signature pages of this Agreement.</w:t>
      </w:r>
    </w:p>
    <w:p>
      <w:pPr>
        <w:spacing w:after="0" w:line="221" w:lineRule="exact"/>
        <w:rPr>
          <w:rFonts w:ascii="Arial" w:cs="Arial" w:eastAsia="Arial" w:hAnsi="Arial"/>
          <w:sz w:val="18"/>
          <w:szCs w:val="18"/>
          <w:color w:val="auto"/>
        </w:rPr>
      </w:pPr>
    </w:p>
    <w:p>
      <w:pPr>
        <w:ind w:left="4" w:firstLine="807"/>
        <w:spacing w:after="0" w:line="282" w:lineRule="auto"/>
        <w:tabs>
          <w:tab w:leader="none" w:pos="1654" w:val="left"/>
        </w:tabs>
        <w:numPr>
          <w:ilvl w:val="1"/>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7</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sets forth (i) all Real Property owned or leased by Grantors, together with all other locations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as of the date hereof, and (ii) the chief executive office of each Grantor as of the date hereof.</w:t>
      </w:r>
    </w:p>
    <w:p>
      <w:pPr>
        <w:spacing w:after="0" w:line="165" w:lineRule="exact"/>
        <w:rPr>
          <w:rFonts w:ascii="Arial" w:cs="Arial" w:eastAsia="Arial" w:hAnsi="Arial"/>
          <w:sz w:val="18"/>
          <w:szCs w:val="18"/>
          <w:color w:val="auto"/>
        </w:rPr>
      </w:pPr>
    </w:p>
    <w:p>
      <w:pPr>
        <w:jc w:val="both"/>
        <w:ind w:left="4" w:firstLine="807"/>
        <w:spacing w:after="0" w:line="270" w:lineRule="auto"/>
        <w:tabs>
          <w:tab w:leader="none" w:pos="167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As of the date hereof, no Grantor has any interest in, or title to, any Copyrights, Intellectual Property Licenses, Patents, or Trademarks except as set forth on </w:t>
      </w:r>
      <w:r>
        <w:rPr>
          <w:rFonts w:ascii="Arial" w:cs="Arial" w:eastAsia="Arial" w:hAnsi="Arial"/>
          <w:sz w:val="17"/>
          <w:szCs w:val="17"/>
          <w:b w:val="1"/>
          <w:bCs w:val="1"/>
          <w:u w:val="single" w:color="auto"/>
          <w:color w:val="auto"/>
        </w:rPr>
        <w:t>Schedules 2, 3, 4</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6</w:t>
      </w:r>
      <w:r>
        <w:rPr>
          <w:rFonts w:ascii="Arial" w:cs="Arial" w:eastAsia="Arial" w:hAnsi="Arial"/>
          <w:sz w:val="17"/>
          <w:szCs w:val="17"/>
          <w:color w:val="auto"/>
        </w:rPr>
        <w:t xml:space="preserve">, respectively, attached hereto. This Agreement is effective to create a valid and continuing Lien on such Copyrights, Intellectual Property Licenses, Patents and Trademarks and, upon filing of the Copyright Security Agreement with the United States Copyright Office and filing of the Patent Security Agreement and the Trademark Security Agreement with the United States Patent and Trademark Office, and the fili ng of appropriate financing statements in the jurisdictions listed on </w:t>
      </w:r>
      <w:r>
        <w:rPr>
          <w:rFonts w:ascii="Arial" w:cs="Arial" w:eastAsia="Arial" w:hAnsi="Arial"/>
          <w:sz w:val="17"/>
          <w:szCs w:val="17"/>
          <w:b w:val="1"/>
          <w:bCs w:val="1"/>
          <w:u w:val="single" w:color="auto"/>
          <w:color w:val="auto"/>
        </w:rPr>
        <w:t>Schedule 8</w:t>
      </w:r>
      <w:r>
        <w:rPr>
          <w:rFonts w:ascii="Arial" w:cs="Arial" w:eastAsia="Arial" w:hAnsi="Arial"/>
          <w:sz w:val="17"/>
          <w:szCs w:val="17"/>
          <w:color w:val="auto"/>
        </w:rPr>
        <w:t xml:space="preserve"> hereto, all action necessary or desirable to protect and perfect the Security Interests in and to each Grantor’s Patents, Trademarks, or Copyrights has been taken and such perfected Security Interests are enforceable as such as against any and all creditors of and purchasers from any Grantor. No Grantor has any interest in any Copyright that is necessary in connection with the operation of such Grantor’s business, except for those Copyrights identified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attached hereto which have been registered with the United States Copyright Office.</w:t>
      </w:r>
    </w:p>
    <w:p>
      <w:pPr>
        <w:spacing w:after="0" w:line="181" w:lineRule="exact"/>
        <w:rPr>
          <w:rFonts w:ascii="Arial" w:cs="Arial" w:eastAsia="Arial" w:hAnsi="Arial"/>
          <w:sz w:val="17"/>
          <w:szCs w:val="17"/>
          <w:color w:val="auto"/>
        </w:rPr>
      </w:pPr>
    </w:p>
    <w:p>
      <w:pPr>
        <w:jc w:val="both"/>
        <w:ind w:left="4" w:firstLine="807"/>
        <w:spacing w:after="0" w:line="271" w:lineRule="auto"/>
        <w:tabs>
          <w:tab w:leader="none" w:pos="158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This Agreement creates a valid security interest in all of the Collateral of each Grantor, to the extent a security interest therein can be created under the Code or the PPSA, as applicable, securing the payment of the Secured Obligations. Except to the extent a security interest in the Collateral cannot be perfected by the filing of a financing statement under the Code or the PPSA, all filings and other actions necessary or desirable to perfect and protect such security interest have been duly taken or will have been taken upon the filing of financing statements listing each applicable Grantor, as a debtor, and Secured Parties, as secured parties, in the jurisdictions listed next to such Grantor’s name on </w:t>
      </w:r>
      <w:r>
        <w:rPr>
          <w:rFonts w:ascii="Arial" w:cs="Arial" w:eastAsia="Arial" w:hAnsi="Arial"/>
          <w:sz w:val="17"/>
          <w:szCs w:val="17"/>
          <w:b w:val="1"/>
          <w:bCs w:val="1"/>
          <w:color w:val="auto"/>
        </w:rPr>
        <w:t>Schedule 8</w:t>
      </w:r>
      <w:r>
        <w:rPr>
          <w:rFonts w:ascii="Arial" w:cs="Arial" w:eastAsia="Arial" w:hAnsi="Arial"/>
          <w:sz w:val="17"/>
          <w:szCs w:val="17"/>
          <w:color w:val="auto"/>
        </w:rPr>
        <w:t xml:space="preserve"> attached hereto. Upon the making of such filings, Secured Parties shall each have a first priority perfected security interest in all of the Collateral of each Grantor to the extent such security interest can be perfected by the filing of a financing statement. All action by any Grantor necessary to protect and perfect such security interest on each item of Collateral has been duly taken.</w:t>
      </w:r>
    </w:p>
    <w:p>
      <w:pPr>
        <w:spacing w:after="0" w:line="200" w:lineRule="exact"/>
        <w:rPr>
          <w:sz w:val="20"/>
          <w:szCs w:val="20"/>
          <w:color w:val="auto"/>
        </w:rPr>
      </w:pPr>
    </w:p>
    <w:p>
      <w:pPr>
        <w:spacing w:after="0" w:line="34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100" w:name="page101"/>
    <w:bookmarkEnd w:id="100"/>
    <w:p>
      <w:pPr>
        <w:jc w:val="both"/>
        <w:ind w:left="-540" w:firstLine="807"/>
        <w:spacing w:after="0" w:line="285" w:lineRule="auto"/>
        <w:tabs>
          <w:tab w:leader="none" w:pos="109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 Except for the Security Interests created hereby, such Grantor is and will at all times be the sole holder of record and the legal and beneficial owner, free and clear of all Liens other than Permitted Liens, of the Pledged Interests indicated on </w:t>
      </w:r>
      <w:r>
        <w:rPr>
          <w:rFonts w:ascii="Arial" w:cs="Arial" w:eastAsia="Arial" w:hAnsi="Arial"/>
          <w:sz w:val="16"/>
          <w:szCs w:val="16"/>
          <w:b w:val="1"/>
          <w:bCs w:val="1"/>
          <w:u w:val="single" w:color="auto"/>
          <w:color w:val="auto"/>
        </w:rPr>
        <w:t>Schedule 5</w:t>
      </w:r>
      <w:r>
        <w:rPr>
          <w:rFonts w:ascii="Arial" w:cs="Arial" w:eastAsia="Arial" w:hAnsi="Arial"/>
          <w:sz w:val="16"/>
          <w:szCs w:val="16"/>
          <w:color w:val="auto"/>
        </w:rPr>
        <w:t xml:space="preserve"> as being owned by such Grantor and, when acquired by such Grantor, any Pledged Interests acquired after the date hereof; (ii) all of the Pledged Interests are duly authorized, validly issued, fully paid and nonassessable and the Pledged Interests constitute or will constitute the percentage of the issued and outstanding Stock of the Pledged Companies of such Grantor identified on </w:t>
      </w:r>
      <w:r>
        <w:rPr>
          <w:rFonts w:ascii="Arial" w:cs="Arial" w:eastAsia="Arial" w:hAnsi="Arial"/>
          <w:sz w:val="16"/>
          <w:szCs w:val="16"/>
          <w:b w:val="1"/>
          <w:bCs w:val="1"/>
          <w:u w:val="single" w:color="auto"/>
          <w:color w:val="auto"/>
        </w:rPr>
        <w:t>Schedule 5</w:t>
      </w:r>
      <w:r>
        <w:rPr>
          <w:rFonts w:ascii="Arial" w:cs="Arial" w:eastAsia="Arial" w:hAnsi="Arial"/>
          <w:sz w:val="16"/>
          <w:szCs w:val="16"/>
          <w:color w:val="auto"/>
        </w:rPr>
        <w:t xml:space="preserve"> hereto; (iii) such Grantor has the right and requisite authority to pledge all Investment Related Property pledged by such Grantor to each Secured Party as provided herein; (iv) all actions necessary or desirable to perfect, establish the first priority of, or otherwise protect, Secured Parties’ respective Liens in the Investment Related Property pledged hereunder, and the proceeds thereof, have been duly taken, (A) upon the execution and delivery of this Agreement; (B) upon the taking of possession by any Secured Party of any certificates constituting the Pledged Interests, to the extent such Pledged Interests are represented by certificates, together with undated powers endorsed in blank by the applicable Grantor; (C) upon the filing of financing statements in the applicable jurisdiction set forth on </w:t>
      </w:r>
      <w:r>
        <w:rPr>
          <w:rFonts w:ascii="Arial" w:cs="Arial" w:eastAsia="Arial" w:hAnsi="Arial"/>
          <w:sz w:val="16"/>
          <w:szCs w:val="16"/>
          <w:b w:val="1"/>
          <w:bCs w:val="1"/>
          <w:u w:val="single" w:color="auto"/>
          <w:color w:val="auto"/>
        </w:rPr>
        <w:t>Schedule 8</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for such Grantor with respect to the Pledged Interests of such Grantor that are not represented by certificates, and (D)</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Securities Accounts, upon the delivery of Control Agreements with respect thereto; and (v) each Grantor has delivered to and deposited with any Secured Party (or, with respect to any Pledged Interests created or obtained after the date hereof, will deliver and deposit in accordance with Sections 6(a) and 8 hereof) all certificates representing the Pledged Interests now or hereafter owned by such Grantor to the extent such Pledged Interests are represented by certificates, and undated powers endorsed in blank with respect to such certificates. None of the Pledged Interests owned or held by such Grantor has been issued or transferred in violation of any securities registration, securities disclosure, or similar laws of any jurisdiction to which such issuance or transfer may be subject.</w:t>
      </w:r>
    </w:p>
    <w:p>
      <w:pPr>
        <w:spacing w:after="0" w:line="175" w:lineRule="exact"/>
        <w:rPr>
          <w:rFonts w:ascii="Arial" w:cs="Arial" w:eastAsia="Arial" w:hAnsi="Arial"/>
          <w:sz w:val="16"/>
          <w:szCs w:val="16"/>
          <w:color w:val="auto"/>
        </w:rPr>
      </w:pPr>
    </w:p>
    <w:p>
      <w:pPr>
        <w:jc w:val="both"/>
        <w:ind w:left="-540" w:firstLine="807"/>
        <w:spacing w:after="0" w:line="254" w:lineRule="auto"/>
        <w:tabs>
          <w:tab w:leader="none" w:pos="118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consent, approval, authorization, or other order or other action by, and no notice to or filing with, any Governmental Authority or any other Person is required (i) for the grant of a Security Interest by such Grantor in and to the Collateral pursuant to this Agreement or for the execution, delivery, or performance of this Agreement by such Grantor, or (ii) for the exercise by any Secured Party of the voting or other rights provided in this Agreement with respect to Investment Related Property pledged hereunder or the remedies in respect of the Collateral pursuant to this Agreement, except (A) as may be required in connection with such disposition of Investment Related Property by laws affecting the offering and sale of securities generally and (B) for any consen t that may be required for the assignment of any Intellectual Property License that expressly provides that such Intellectual Property License is not assignable (or is not assignable without the consent of the other party to such Intellectual Property License).</w:t>
      </w:r>
    </w:p>
    <w:p>
      <w:pPr>
        <w:spacing w:after="0" w:line="188" w:lineRule="exact"/>
        <w:rPr>
          <w:rFonts w:ascii="Arial" w:cs="Arial" w:eastAsia="Arial" w:hAnsi="Arial"/>
          <w:sz w:val="18"/>
          <w:szCs w:val="18"/>
          <w:color w:val="auto"/>
        </w:rPr>
      </w:pPr>
    </w:p>
    <w:p>
      <w:pPr>
        <w:jc w:val="both"/>
        <w:ind w:left="-540" w:firstLine="807"/>
        <w:spacing w:after="0" w:line="266" w:lineRule="auto"/>
        <w:tabs>
          <w:tab w:leader="none" w:pos="1002"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9</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 complete and accurate list of all of each Grantor’s Deposit Accounts and Securities Accounts,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with respect to each bank or securities intermediary (a) the name and address of such Person and (b) the account numbers of such accounts maintained with such Person.</w:t>
      </w: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1" w:name="page102"/>
    <w:bookmarkEnd w:id="101"/>
    <w:p>
      <w:pPr>
        <w:jc w:val="both"/>
        <w:ind w:firstLine="656"/>
        <w:spacing w:after="0" w:line="264" w:lineRule="auto"/>
        <w:tabs>
          <w:tab w:leader="none" w:pos="156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Grantor, jointly and severally, covenants and agrees with each Secured Party that from and after the date of this Agreement and until the date of termination of this Agreement in accordance with Section 24 hereof (but only to the extent the particular assets described in this Section 6 constitute Collateral hereunder):</w:t>
      </w:r>
    </w:p>
    <w:p>
      <w:pPr>
        <w:spacing w:after="0" w:line="181" w:lineRule="exact"/>
        <w:rPr>
          <w:rFonts w:ascii="Arial" w:cs="Arial" w:eastAsia="Arial" w:hAnsi="Arial"/>
          <w:sz w:val="18"/>
          <w:szCs w:val="18"/>
          <w:color w:val="auto"/>
        </w:rPr>
      </w:pPr>
    </w:p>
    <w:p>
      <w:pPr>
        <w:jc w:val="both"/>
        <w:ind w:left="660" w:firstLine="807"/>
        <w:spacing w:after="0" w:line="255" w:lineRule="auto"/>
        <w:tabs>
          <w:tab w:leader="none" w:pos="2435" w:val="left"/>
        </w:tabs>
        <w:numPr>
          <w:ilvl w:val="2"/>
          <w:numId w:val="118"/>
        </w:numPr>
        <w:rPr>
          <w:rFonts w:ascii="Arial" w:cs="Arial" w:eastAsia="Arial" w:hAnsi="Arial"/>
          <w:sz w:val="18"/>
          <w:szCs w:val="18"/>
          <w:color w:val="auto"/>
        </w:rPr>
      </w:pPr>
      <w:r>
        <w:rPr>
          <w:rFonts w:ascii="Arial" w:cs="Arial" w:eastAsia="Arial" w:hAnsi="Arial"/>
          <w:sz w:val="18"/>
          <w:szCs w:val="18"/>
          <w:u w:val="single" w:color="auto"/>
          <w:color w:val="auto"/>
        </w:rPr>
        <w:t>Possession of Collateral</w:t>
      </w:r>
      <w:r>
        <w:rPr>
          <w:rFonts w:ascii="Arial" w:cs="Arial" w:eastAsia="Arial" w:hAnsi="Arial"/>
          <w:sz w:val="18"/>
          <w:szCs w:val="18"/>
          <w:color w:val="auto"/>
        </w:rPr>
        <w:t>. In the event that any Collateral, including proceeds, is evidenced by or consists of Negotiable Collateral, Investment Related Property, or Chattel Paper, and if and to the extent that perfection or priority of Secured Parties’ respective Security Interests is dependent on or enhanced by possession, the applicable Grantor, immediately upon the request of any Secured Party, shall execute such other documents and instruments as shall be requested by such Secured Party or, if applicable, endorse and deliver physical possession of such Negotiable Collateral, Investment Related Property, or Chattel Paper to such Secured Party, together with such undated powers endorsed in bla nk as shall be requested by such Secured Party.</w:t>
      </w:r>
    </w:p>
    <w:p>
      <w:pPr>
        <w:spacing w:after="0" w:line="193" w:lineRule="exact"/>
        <w:rPr>
          <w:rFonts w:ascii="Arial" w:cs="Arial" w:eastAsia="Arial" w:hAnsi="Arial"/>
          <w:sz w:val="18"/>
          <w:szCs w:val="18"/>
          <w:color w:val="auto"/>
        </w:rPr>
      </w:pPr>
    </w:p>
    <w:p>
      <w:pPr>
        <w:ind w:left="2000" w:hanging="695"/>
        <w:spacing w:after="0"/>
        <w:tabs>
          <w:tab w:leader="none" w:pos="200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Chattel Paper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977"/>
        <w:spacing w:after="0" w:line="259" w:lineRule="auto"/>
        <w:tabs>
          <w:tab w:leader="none" w:pos="3000" w:val="left"/>
        </w:tabs>
        <w:numPr>
          <w:ilvl w:val="3"/>
          <w:numId w:val="118"/>
        </w:numPr>
        <w:rPr>
          <w:rFonts w:ascii="Arial" w:cs="Arial" w:eastAsia="Arial" w:hAnsi="Arial"/>
          <w:sz w:val="18"/>
          <w:szCs w:val="18"/>
          <w:color w:val="auto"/>
        </w:rPr>
      </w:pPr>
      <w:r>
        <w:rPr>
          <w:rFonts w:ascii="Arial" w:cs="Arial" w:eastAsia="Arial" w:hAnsi="Arial"/>
          <w:sz w:val="18"/>
          <w:szCs w:val="18"/>
          <w:color w:val="auto"/>
        </w:rPr>
        <w:t>Each Grantor shall take all steps reasonably necessary to grant each Secured Party control of all Chattel Paper in accordance with the Code and the PPSA and all “transferable records” as that term is defined in Section 16 of the Uniform Electronic Purchase Act and Section 201 of the federal Electronic Signatures in Global and National Commerce Act as in effect in any relevant jurisdiction; and</w:t>
      </w:r>
    </w:p>
    <w:p>
      <w:pPr>
        <w:spacing w:after="0" w:line="186" w:lineRule="exact"/>
        <w:rPr>
          <w:rFonts w:ascii="Arial" w:cs="Arial" w:eastAsia="Arial" w:hAnsi="Arial"/>
          <w:sz w:val="18"/>
          <w:szCs w:val="18"/>
          <w:color w:val="auto"/>
        </w:rPr>
      </w:pPr>
    </w:p>
    <w:p>
      <w:pPr>
        <w:jc w:val="both"/>
        <w:ind w:left="1300" w:firstLine="977"/>
        <w:spacing w:after="0" w:line="259" w:lineRule="auto"/>
        <w:tabs>
          <w:tab w:leader="none" w:pos="2949" w:val="left"/>
        </w:tabs>
        <w:numPr>
          <w:ilvl w:val="3"/>
          <w:numId w:val="118"/>
        </w:numPr>
        <w:rPr>
          <w:rFonts w:ascii="Arial" w:cs="Arial" w:eastAsia="Arial" w:hAnsi="Arial"/>
          <w:sz w:val="18"/>
          <w:szCs w:val="18"/>
          <w:color w:val="auto"/>
        </w:rPr>
      </w:pPr>
      <w:r>
        <w:rPr>
          <w:rFonts w:ascii="Arial" w:cs="Arial" w:eastAsia="Arial" w:hAnsi="Arial"/>
          <w:sz w:val="18"/>
          <w:szCs w:val="18"/>
          <w:color w:val="auto"/>
        </w:rPr>
        <w:t>If any Grantor retains possession of any Chattel Paper or instruments (which retention of possession shall be subject to the extent permitted hereby and by the Securities Purchase Agreement), promptly upon the request of any Secured Party, such Chattel Paper and instruments shall be marked with the following legend: “This writing and the obligations evidenced or secured hereby are subject to the Security Interests of [names of Secured Parties].”</w:t>
      </w:r>
    </w:p>
    <w:p>
      <w:pPr>
        <w:spacing w:after="0" w:line="186" w:lineRule="exact"/>
        <w:rPr>
          <w:rFonts w:ascii="Arial" w:cs="Arial" w:eastAsia="Arial" w:hAnsi="Arial"/>
          <w:sz w:val="18"/>
          <w:szCs w:val="18"/>
          <w:color w:val="auto"/>
        </w:rPr>
      </w:pPr>
    </w:p>
    <w:p>
      <w:pPr>
        <w:ind w:left="2160" w:hanging="693"/>
        <w:spacing w:after="0"/>
        <w:tabs>
          <w:tab w:leader="none" w:pos="2160" w:val="left"/>
        </w:tabs>
        <w:numPr>
          <w:ilvl w:val="2"/>
          <w:numId w:val="119"/>
        </w:numPr>
        <w:rPr>
          <w:rFonts w:ascii="Arial" w:cs="Arial" w:eastAsia="Arial" w:hAnsi="Arial"/>
          <w:sz w:val="18"/>
          <w:szCs w:val="18"/>
          <w:color w:val="auto"/>
        </w:rPr>
      </w:pPr>
      <w:r>
        <w:rPr>
          <w:rFonts w:ascii="Arial" w:cs="Arial" w:eastAsia="Arial" w:hAnsi="Arial"/>
          <w:sz w:val="18"/>
          <w:szCs w:val="18"/>
          <w:u w:val="single" w:color="auto"/>
          <w:color w:val="auto"/>
        </w:rPr>
        <w:t>Control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977"/>
        <w:spacing w:after="0" w:line="288" w:lineRule="auto"/>
        <w:tabs>
          <w:tab w:leader="none" w:pos="3013" w:val="left"/>
        </w:tabs>
        <w:numPr>
          <w:ilvl w:val="3"/>
          <w:numId w:val="119"/>
        </w:numPr>
        <w:rPr>
          <w:rFonts w:ascii="Arial" w:cs="Arial" w:eastAsia="Arial" w:hAnsi="Arial"/>
          <w:sz w:val="16"/>
          <w:szCs w:val="16"/>
          <w:color w:val="auto"/>
        </w:rPr>
      </w:pPr>
      <w:r>
        <w:rPr>
          <w:rFonts w:ascii="Arial" w:cs="Arial" w:eastAsia="Arial" w:hAnsi="Arial"/>
          <w:sz w:val="16"/>
          <w:szCs w:val="16"/>
          <w:color w:val="auto"/>
        </w:rPr>
        <w:t>No Grantor shall establish or maintain any Deposit Account or Securities Account (or any other similar account) unless (i) Grantors shall have provided each Secured Party with 10 days’ advance written notice of each such account and (ii) the Secured Parties shall have received a Control Agreement in respect of such account (other than the Canadian Deposit Accounts and the Key Bank Deposit Accounts) concurrently with the opening thereof or on the Closing Date (as applicable). Each Grantor shall ensure that all of its Account Debtors forward payment of the amounts owed by them directly to a Deposit Account that is subject to a Control Agreement and deposit or cause to be deposited promptly, and in any event no later than the first Business Day after the date of receipt ther eof, all of their collections (including those sent directly by their Account Debtors to a Grantor) into a Deposit Account subject to a Control Agreement. Within five (5) Business Days following the Closing Date, the Company shall close all Deposit Accounts maintained at Canadian Imperial Bank of Commerce (collectively, the “</w:t>
      </w:r>
      <w:r>
        <w:rPr>
          <w:rFonts w:ascii="Arial" w:cs="Arial" w:eastAsia="Arial" w:hAnsi="Arial"/>
          <w:sz w:val="16"/>
          <w:szCs w:val="16"/>
          <w:b w:val="1"/>
          <w:bCs w:val="1"/>
          <w:color w:val="auto"/>
        </w:rPr>
        <w:t>Canadian Deposit Accounts</w:t>
      </w:r>
      <w:r>
        <w:rPr>
          <w:rFonts w:ascii="Arial" w:cs="Arial" w:eastAsia="Arial" w:hAnsi="Arial"/>
          <w:sz w:val="16"/>
          <w:szCs w:val="16"/>
          <w:color w:val="auto"/>
        </w:rPr>
        <w:t>”) and Key Bank (collectively, the "</w:t>
      </w:r>
      <w:r>
        <w:rPr>
          <w:rFonts w:ascii="Arial" w:cs="Arial" w:eastAsia="Arial" w:hAnsi="Arial"/>
          <w:sz w:val="16"/>
          <w:szCs w:val="16"/>
          <w:b w:val="1"/>
          <w:bCs w:val="1"/>
          <w:color w:val="auto"/>
        </w:rPr>
        <w:t>Key Bank Deposit Accounts</w:t>
      </w:r>
      <w:r>
        <w:rPr>
          <w:rFonts w:ascii="Arial" w:cs="Arial" w:eastAsia="Arial" w:hAnsi="Arial"/>
          <w:sz w:val="16"/>
          <w:szCs w:val="16"/>
          <w:color w:val="auto"/>
        </w:rPr>
        <w:t xml:space="preserve">") and transfer all of the funds in such Deposit Accounts to one of other the Deposit Accounts set forth on </w:t>
      </w:r>
      <w:r>
        <w:rPr>
          <w:rFonts w:ascii="Arial" w:cs="Arial" w:eastAsia="Arial" w:hAnsi="Arial"/>
          <w:sz w:val="16"/>
          <w:szCs w:val="16"/>
          <w:b w:val="1"/>
          <w:bCs w:val="1"/>
          <w:u w:val="single" w:color="auto"/>
          <w:color w:val="auto"/>
        </w:rPr>
        <w:t>Schedule 9</w:t>
      </w:r>
      <w:r>
        <w:rPr>
          <w:rFonts w:ascii="Arial" w:cs="Arial" w:eastAsia="Arial" w:hAnsi="Arial"/>
          <w:sz w:val="16"/>
          <w:szCs w:val="16"/>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2" w:name="page103"/>
    <w:bookmarkEnd w:id="102"/>
    <w:p>
      <w:pPr>
        <w:jc w:val="both"/>
        <w:ind w:left="100" w:firstLine="977"/>
        <w:spacing w:after="0" w:line="249" w:lineRule="auto"/>
        <w:tabs>
          <w:tab w:leader="none" w:pos="1875" w:val="left"/>
        </w:tabs>
        <w:numPr>
          <w:ilvl w:val="1"/>
          <w:numId w:val="120"/>
        </w:numPr>
        <w:rPr>
          <w:rFonts w:ascii="Arial" w:cs="Arial" w:eastAsia="Arial" w:hAnsi="Arial"/>
          <w:sz w:val="17"/>
          <w:szCs w:val="17"/>
          <w:color w:val="auto"/>
        </w:rPr>
      </w:pPr>
      <w:r>
        <w:rPr>
          <w:rFonts w:ascii="Arial" w:cs="Arial" w:eastAsia="Arial" w:hAnsi="Arial"/>
          <w:sz w:val="17"/>
          <w:szCs w:val="17"/>
          <w:color w:val="auto"/>
        </w:rPr>
        <w:t>If on the first (1</w:t>
      </w:r>
      <w:r>
        <w:rPr>
          <w:rFonts w:ascii="Arial" w:cs="Arial" w:eastAsia="Arial" w:hAnsi="Arial"/>
          <w:sz w:val="24"/>
          <w:szCs w:val="24"/>
          <w:color w:val="auto"/>
          <w:vertAlign w:val="superscript"/>
        </w:rPr>
        <w:t>st</w:t>
      </w:r>
      <w:r>
        <w:rPr>
          <w:rFonts w:ascii="Arial" w:cs="Arial" w:eastAsia="Arial" w:hAnsi="Arial"/>
          <w:sz w:val="17"/>
          <w:szCs w:val="17"/>
          <w:color w:val="auto"/>
        </w:rPr>
        <w:t>) Installment Date (as defined in the Notes) the Company is permitted to effect, and effects, a Company Conversion (as defined in the Notes) with respect to the entire portion of all of the Installment Amounts (as defined in the Notes) due on such Installment Date under all Notes, then each Secured Party shall direct Regents Bank under the Control Agreement for account number [__________] (such agreement is referred to herein as the “</w:t>
      </w:r>
      <w:r>
        <w:rPr>
          <w:rFonts w:ascii="Arial" w:cs="Arial" w:eastAsia="Arial" w:hAnsi="Arial"/>
          <w:sz w:val="17"/>
          <w:szCs w:val="17"/>
          <w:b w:val="1"/>
          <w:bCs w:val="1"/>
          <w:color w:val="auto"/>
        </w:rPr>
        <w:t>Full Dominion Account Control Agreement</w:t>
      </w:r>
      <w:r>
        <w:rPr>
          <w:rFonts w:ascii="Arial" w:cs="Arial" w:eastAsia="Arial" w:hAnsi="Arial"/>
          <w:sz w:val="17"/>
          <w:szCs w:val="17"/>
          <w:color w:val="auto"/>
        </w:rPr>
        <w:t>”) to disburse an amount equal to $280,000 in such account to another Deposit Account of the Company that is subject to a Control Agr eement unless, prior to such Installment Date, an Event of Default has occurred under any of the Notes and is then continuing or an Event of Default Redemption Notice (as defined in the Notes) was delivered to the Company by any Secured Party (it being expressly understood and agreed that if on the first (1</w:t>
      </w:r>
      <w:r>
        <w:rPr>
          <w:rFonts w:ascii="Arial" w:cs="Arial" w:eastAsia="Arial" w:hAnsi="Arial"/>
          <w:sz w:val="24"/>
          <w:szCs w:val="24"/>
          <w:color w:val="auto"/>
          <w:vertAlign w:val="superscript"/>
        </w:rPr>
        <w:t>st</w:t>
      </w:r>
      <w:r>
        <w:rPr>
          <w:rFonts w:ascii="Arial" w:cs="Arial" w:eastAsia="Arial" w:hAnsi="Arial"/>
          <w:sz w:val="17"/>
          <w:szCs w:val="17"/>
          <w:color w:val="auto"/>
        </w:rPr>
        <w:t>) Installment Date the Company is not permitted to effect a Company Conversion with respect to the entire portion of all of the Installment Amounts due on such Installment Date under all Notes, then each Secured Party shall direct Regents Bank under the Full Dominion Account Control Agreement to disburse to the Secured Parties $170,000 in the aggregate from such account to pay the Installment Amounts due on such Installment Date).</w:t>
      </w:r>
    </w:p>
    <w:p>
      <w:pPr>
        <w:spacing w:after="0" w:line="195" w:lineRule="exact"/>
        <w:rPr>
          <w:rFonts w:ascii="Arial" w:cs="Arial" w:eastAsia="Arial" w:hAnsi="Arial"/>
          <w:sz w:val="17"/>
          <w:szCs w:val="17"/>
          <w:color w:val="auto"/>
        </w:rPr>
      </w:pPr>
    </w:p>
    <w:p>
      <w:pPr>
        <w:jc w:val="both"/>
        <w:ind w:left="100" w:firstLine="977"/>
        <w:spacing w:after="0" w:line="242" w:lineRule="auto"/>
        <w:tabs>
          <w:tab w:leader="none" w:pos="1859"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on the first (1</w:t>
      </w:r>
      <w:r>
        <w:rPr>
          <w:rFonts w:ascii="Arial" w:cs="Arial" w:eastAsia="Arial" w:hAnsi="Arial"/>
          <w:sz w:val="22"/>
          <w:szCs w:val="22"/>
          <w:color w:val="auto"/>
          <w:vertAlign w:val="superscript"/>
        </w:rPr>
        <w:t>st</w:t>
      </w:r>
      <w:r>
        <w:rPr>
          <w:rFonts w:ascii="Arial" w:cs="Arial" w:eastAsia="Arial" w:hAnsi="Arial"/>
          <w:sz w:val="16"/>
          <w:szCs w:val="16"/>
          <w:color w:val="auto"/>
        </w:rPr>
        <w:t>) Installment Date the Company did not effect a Company Conversion with respect to the entire portion of all of the Installment Amounts due on such first (1</w:t>
      </w:r>
      <w:r>
        <w:rPr>
          <w:rFonts w:ascii="Arial" w:cs="Arial" w:eastAsia="Arial" w:hAnsi="Arial"/>
          <w:sz w:val="22"/>
          <w:szCs w:val="22"/>
          <w:color w:val="auto"/>
          <w:vertAlign w:val="superscript"/>
        </w:rPr>
        <w:t>st</w:t>
      </w:r>
      <w:r>
        <w:rPr>
          <w:rFonts w:ascii="Arial" w:cs="Arial" w:eastAsia="Arial" w:hAnsi="Arial"/>
          <w:sz w:val="16"/>
          <w:szCs w:val="16"/>
          <w:color w:val="auto"/>
        </w:rPr>
        <w:t>) Installment Date under all Notes and on the second (2</w:t>
      </w:r>
      <w:r>
        <w:rPr>
          <w:rFonts w:ascii="Arial" w:cs="Arial" w:eastAsia="Arial" w:hAnsi="Arial"/>
          <w:sz w:val="22"/>
          <w:szCs w:val="22"/>
          <w:color w:val="auto"/>
          <w:vertAlign w:val="superscript"/>
        </w:rPr>
        <w:t>nd</w:t>
      </w:r>
      <w:r>
        <w:rPr>
          <w:rFonts w:ascii="Arial" w:cs="Arial" w:eastAsia="Arial" w:hAnsi="Arial"/>
          <w:sz w:val="16"/>
          <w:szCs w:val="16"/>
          <w:color w:val="auto"/>
        </w:rPr>
        <w:t>) Installment Date the Company is permitted to effect, and effects, a Company Conversion with respect to the entire portion of all of the Installment Amounts due on such second (2</w:t>
      </w:r>
      <w:r>
        <w:rPr>
          <w:rFonts w:ascii="Arial" w:cs="Arial" w:eastAsia="Arial" w:hAnsi="Arial"/>
          <w:sz w:val="22"/>
          <w:szCs w:val="22"/>
          <w:color w:val="auto"/>
          <w:vertAlign w:val="superscript"/>
        </w:rPr>
        <w:t>nd</w:t>
      </w:r>
      <w:r>
        <w:rPr>
          <w:rFonts w:ascii="Arial" w:cs="Arial" w:eastAsia="Arial" w:hAnsi="Arial"/>
          <w:sz w:val="16"/>
          <w:szCs w:val="16"/>
          <w:color w:val="auto"/>
        </w:rPr>
        <w:t>) Installment Date under all Notes, then each Secured Party shall direct Regents Bank under the Full Dominion Account Control Agreement to disburse the remaining $110,000 in such account to another Deposit Account of the Company that is subject to a Control Agreement unless, prior to such second (2</w:t>
      </w:r>
      <w:r>
        <w:rPr>
          <w:rFonts w:ascii="Arial" w:cs="Arial" w:eastAsia="Arial" w:hAnsi="Arial"/>
          <w:sz w:val="22"/>
          <w:szCs w:val="22"/>
          <w:color w:val="auto"/>
          <w:vertAlign w:val="superscript"/>
        </w:rPr>
        <w:t>nd</w:t>
      </w:r>
      <w:r>
        <w:rPr>
          <w:rFonts w:ascii="Arial" w:cs="Arial" w:eastAsia="Arial" w:hAnsi="Arial"/>
          <w:sz w:val="16"/>
          <w:szCs w:val="16"/>
          <w:color w:val="auto"/>
        </w:rPr>
        <w:t>) Installment Date, an Event of Default (as defined in the Notes) has occurred under any of the Notes and is then continuing or an Event of Default Redemption Notice (as defined in the Notes) was delivered to the Company by any of the Secured Parties (it being expressly understood and agreed that if on the second (2</w:t>
      </w:r>
      <w:r>
        <w:rPr>
          <w:rFonts w:ascii="Arial" w:cs="Arial" w:eastAsia="Arial" w:hAnsi="Arial"/>
          <w:sz w:val="22"/>
          <w:szCs w:val="22"/>
          <w:color w:val="auto"/>
          <w:vertAlign w:val="superscript"/>
        </w:rPr>
        <w:t>nd</w:t>
      </w:r>
      <w:r>
        <w:rPr>
          <w:rFonts w:ascii="Arial" w:cs="Arial" w:eastAsia="Arial" w:hAnsi="Arial"/>
          <w:sz w:val="16"/>
          <w:szCs w:val="16"/>
          <w:color w:val="auto"/>
        </w:rPr>
        <w:t>) Installment Date the Company is not permitted to effect a Company Conversion with respect to the entire portion of all of the Installment Amounts due on such Installment Date under all Notes, then each Secured Party shall direct Regents Bank under the Full Dominion Account Control Agreement to di sburse to the Secured Parties the remaining $110,000 in such account to pay a portion of the Installment Amounts due on such Installment Date).</w:t>
      </w:r>
    </w:p>
    <w:p>
      <w:pPr>
        <w:spacing w:after="0" w:line="204" w:lineRule="exact"/>
        <w:rPr>
          <w:rFonts w:ascii="Arial" w:cs="Arial" w:eastAsia="Arial" w:hAnsi="Arial"/>
          <w:sz w:val="16"/>
          <w:szCs w:val="16"/>
          <w:color w:val="auto"/>
        </w:rPr>
      </w:pPr>
    </w:p>
    <w:p>
      <w:pPr>
        <w:jc w:val="both"/>
        <w:ind w:left="-540" w:firstLine="807"/>
        <w:spacing w:after="0" w:line="302" w:lineRule="auto"/>
        <w:tabs>
          <w:tab w:leader="none" w:pos="1056"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Letter-of-Credit Rights</w:t>
      </w:r>
      <w:r>
        <w:rPr>
          <w:rFonts w:ascii="Arial" w:cs="Arial" w:eastAsia="Arial" w:hAnsi="Arial"/>
          <w:sz w:val="16"/>
          <w:szCs w:val="16"/>
          <w:color w:val="auto"/>
        </w:rPr>
        <w:t>. Each Grantor that is or becomes the beneficiary of a letter of credit shall promptly (and in any event within 2 Business Days after becoming a beneficiary) notify Secured Parties thereof and, upon the request by any Secured Party, enter into a multi-party agreement with Secured Parties and the issuing or confirming bank with respect to letter-of-credit rights assigning such letter-of-credit rights to Secured Parties and directing all payments thereunder to Secured Parties, all in form and substance satisfactory to Secured Parties.</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3" w:name="page104"/>
    <w:bookmarkEnd w:id="103"/>
    <w:p>
      <w:pPr>
        <w:jc w:val="both"/>
        <w:ind w:left="-540" w:firstLine="807"/>
        <w:spacing w:after="0" w:line="273" w:lineRule="auto"/>
        <w:tabs>
          <w:tab w:leader="none" w:pos="1114"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Each Grantor shall promptly (and in any event within 2 Business Days of receipt thereof) notify Secured Parties in writing upon incurring or otherwise obtaining a Commercial Tort Claim after the date hereof and, upon request of any Secured Party, promptly amend </w:t>
      </w:r>
      <w:r>
        <w:rPr>
          <w:rFonts w:ascii="Arial" w:cs="Arial" w:eastAsia="Arial" w:hAnsi="Arial"/>
          <w:sz w:val="17"/>
          <w:szCs w:val="17"/>
          <w:b w:val="1"/>
          <w:bCs w:val="1"/>
          <w:u w:val="single" w:color="auto"/>
          <w:color w:val="auto"/>
        </w:rPr>
        <w:t>Schedule 1</w:t>
      </w:r>
      <w:r>
        <w:rPr>
          <w:rFonts w:ascii="Arial" w:cs="Arial" w:eastAsia="Arial" w:hAnsi="Arial"/>
          <w:sz w:val="17"/>
          <w:szCs w:val="17"/>
          <w:color w:val="auto"/>
        </w:rPr>
        <w:t xml:space="preserve"> to this Agreement to describe such after-acquired Commercial Tort Claim in a manner that reasonably identifies such Commercial Tort Claim, and hereby authorizes the filing of additional financing statements or amendments to existing financing statements describing such Commercial Tort Claims, and agrees to do such oth er acts or things deemed necessary or desirable by any Secured Party to give Secured Parties a first priority, perfected security interest in any such Commercial Tort Claim.</w:t>
      </w:r>
    </w:p>
    <w:p>
      <w:pPr>
        <w:spacing w:after="0" w:line="178" w:lineRule="exact"/>
        <w:rPr>
          <w:rFonts w:ascii="Arial" w:cs="Arial" w:eastAsia="Arial" w:hAnsi="Arial"/>
          <w:sz w:val="17"/>
          <w:szCs w:val="17"/>
          <w:color w:val="auto"/>
        </w:rPr>
      </w:pPr>
    </w:p>
    <w:p>
      <w:pPr>
        <w:jc w:val="both"/>
        <w:ind w:left="-540" w:firstLine="807"/>
        <w:spacing w:after="0" w:line="273" w:lineRule="auto"/>
        <w:tabs>
          <w:tab w:leader="none" w:pos="972"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Government Contracts</w:t>
      </w:r>
      <w:r>
        <w:rPr>
          <w:rFonts w:ascii="Arial" w:cs="Arial" w:eastAsia="Arial" w:hAnsi="Arial"/>
          <w:sz w:val="17"/>
          <w:szCs w:val="17"/>
          <w:color w:val="auto"/>
        </w:rPr>
        <w:t>. If any Account or Chattel Paper arises out of a contract or contracts with the United States of America, the federal or any provincial government of Canada, or any department, agency, or instrumentality thereof, Grantors shall promptly (and in any event within 2 Business Days of the creation thereof) notify Secured Parties thereof in writing and execute any instruments or take any steps reasonably required by any Secured Party in order that all moneys due or to become due under such contract or contracts shall be assigned to Secured Parties, and shall provide written notice thereof and take all other appropriate actions under the Assignment of Claims Act or other applic able law to provide each Secured Party a first-priority perfected security interest in such contract.</w:t>
      </w:r>
    </w:p>
    <w:p>
      <w:pPr>
        <w:spacing w:after="0" w:line="178" w:lineRule="exact"/>
        <w:rPr>
          <w:rFonts w:ascii="Arial" w:cs="Arial" w:eastAsia="Arial" w:hAnsi="Arial"/>
          <w:sz w:val="17"/>
          <w:szCs w:val="17"/>
          <w:color w:val="auto"/>
        </w:rPr>
      </w:pPr>
    </w:p>
    <w:p>
      <w:pPr>
        <w:ind w:left="940" w:hanging="835"/>
        <w:spacing w:after="0"/>
        <w:tabs>
          <w:tab w:leader="none" w:pos="9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977"/>
        <w:spacing w:after="0" w:line="279" w:lineRule="auto"/>
        <w:tabs>
          <w:tab w:leader="none" w:pos="1737" w:val="left"/>
        </w:tabs>
        <w:numPr>
          <w:ilvl w:val="2"/>
          <w:numId w:val="123"/>
        </w:numPr>
        <w:rPr>
          <w:rFonts w:ascii="Arial" w:cs="Arial" w:eastAsia="Arial" w:hAnsi="Arial"/>
          <w:sz w:val="17"/>
          <w:szCs w:val="17"/>
          <w:color w:val="auto"/>
        </w:rPr>
      </w:pPr>
      <w:r>
        <w:rPr>
          <w:rFonts w:ascii="Arial" w:cs="Arial" w:eastAsia="Arial" w:hAnsi="Arial"/>
          <w:sz w:val="17"/>
          <w:szCs w:val="17"/>
          <w:color w:val="auto"/>
        </w:rPr>
        <w:t>Upon request of any Secured Party, in order to facilitate filings with the United States Patent and Trademark Office and the United States Copyright Office or any other applicable Governmental Authority, each Grantor shall execute and deliver to Secured Parties one or more Copyright Security Agreements, Trademark Security Agreements, or Patent Security Agreements to further evidence Secured Parties’ respective Liens on such Grantor’s Copyrights, Trademarks or Patents.</w:t>
      </w:r>
    </w:p>
    <w:p>
      <w:pPr>
        <w:spacing w:after="0" w:line="171" w:lineRule="exact"/>
        <w:rPr>
          <w:rFonts w:ascii="Arial" w:cs="Arial" w:eastAsia="Arial" w:hAnsi="Arial"/>
          <w:sz w:val="17"/>
          <w:szCs w:val="17"/>
          <w:color w:val="auto"/>
        </w:rPr>
      </w:pPr>
    </w:p>
    <w:p>
      <w:pPr>
        <w:jc w:val="both"/>
        <w:ind w:left="100" w:firstLine="977"/>
        <w:spacing w:after="0" w:line="269" w:lineRule="auto"/>
        <w:tabs>
          <w:tab w:leader="none" w:pos="1758" w:val="left"/>
        </w:tabs>
        <w:numPr>
          <w:ilvl w:val="2"/>
          <w:numId w:val="123"/>
        </w:numPr>
        <w:rPr>
          <w:rFonts w:ascii="Arial" w:cs="Arial" w:eastAsia="Arial" w:hAnsi="Arial"/>
          <w:sz w:val="17"/>
          <w:szCs w:val="17"/>
          <w:color w:val="auto"/>
        </w:rPr>
      </w:pPr>
      <w:r>
        <w:rPr>
          <w:rFonts w:ascii="Arial" w:cs="Arial" w:eastAsia="Arial" w:hAnsi="Arial"/>
          <w:sz w:val="17"/>
          <w:szCs w:val="17"/>
          <w:color w:val="auto"/>
        </w:rPr>
        <w:t>Each Grantor shall have the duty (A) to promptly sue for infringement, misappropriation, or dilution with respect to its rights in Intellectual Property and to recover any and all damages for such infringement, misappropriation, or dilution, (B) to prosecute diligently any trademark application or service mark application that is part of the Trademarks pending as of the date hereof or hereafter until the termination of this Agreement, (C) to prosecute diligently any patent application that is part of the Patents pending as of the date hereof or hereafter until the termination of this Agreement, and (D) to take all reasonable and necessary action to preserve and maintain all of each Grantor’s Trademarks, Patents, Copyrights, Intellectual Property Licenses, and its rights therein, including the filing of applications for renewal, affidavits of use, affidavits of noncontestability and opposition and interference and cancellation proceedings. Each Grantor shall promptly file an application with the United States Copyright Office for any Copyright that has not been registered with the United States Copyright Office. Each Grantor shall promptly file an application with the United States Patent and Trademark Office for any Patent or Trademark that has not been registered with the United States Patent and Trademark Office. Any expenses incurred in connection with the foregoing shall be borne by Grantors. Each Grantor further agrees not to abandon any Trademark, Patent, Copyright, or Intellectual Property License.</w:t>
      </w: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4" w:name="page105"/>
    <w:bookmarkEnd w:id="104"/>
    <w:p>
      <w:pPr>
        <w:jc w:val="both"/>
        <w:ind w:left="100" w:firstLine="977"/>
        <w:spacing w:after="0" w:line="293" w:lineRule="auto"/>
        <w:tabs>
          <w:tab w:leader="none" w:pos="183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Grantors acknowledge and agree that Secured Parties shall have no duties with respect to the Trademarks, Patents, Copyrights, or Intellectual Property Licenses. Without limiting the generality of this Section 6(g), Grantors acknowledge and agree that no Secured Party shall be under any obligation to take any steps necessary to preserve rights in the Trademarks, Patents, Copyrights, or Intellectual Property Licenses against any other Person, but any Secured Party may do so at its option from and after the occurrence and during the continuance of an Event of Default, and all expenses incurred in connection therewith (including fees and expenses of attorneys and other professionals) shall be for the sole account of the Grantors and shall be deemed to be Secured Obligations.</w:t>
      </w:r>
    </w:p>
    <w:p>
      <w:pPr>
        <w:spacing w:after="0" w:line="164" w:lineRule="exact"/>
        <w:rPr>
          <w:rFonts w:ascii="Arial" w:cs="Arial" w:eastAsia="Arial" w:hAnsi="Arial"/>
          <w:sz w:val="16"/>
          <w:szCs w:val="16"/>
          <w:color w:val="auto"/>
        </w:rPr>
      </w:pPr>
    </w:p>
    <w:p>
      <w:pPr>
        <w:jc w:val="both"/>
        <w:ind w:left="100" w:firstLine="977"/>
        <w:spacing w:after="0" w:line="293" w:lineRule="auto"/>
        <w:tabs>
          <w:tab w:leader="none" w:pos="177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Within thirty (30) days following the Closing Date, the Company shall provide documentary evidence to each of the Secured Parties that establishes the Company’s sole ownership of Canadian Patent Application No. 2,574,531 and all related intellectual property such that no Person (other than Company) shall have any rights with respect to such patent or intellectual property, including, without limitation, executed confirmatory assignments of such patent and intellectual property from the inventors thereof to the University of British Columbia and an executed confirmatory assignment thereof from the University of British Columbia to the Company, together with evidence that such assignments have been properly filed with the Canadian Intellectual Property Office.&lt; /div&gt;</w:t>
      </w:r>
    </w:p>
    <w:p>
      <w:pPr>
        <w:spacing w:after="0" w:line="164" w:lineRule="exact"/>
        <w:rPr>
          <w:rFonts w:ascii="Arial" w:cs="Arial" w:eastAsia="Arial" w:hAnsi="Arial"/>
          <w:sz w:val="16"/>
          <w:szCs w:val="16"/>
          <w:color w:val="auto"/>
        </w:rPr>
      </w:pPr>
    </w:p>
    <w:p>
      <w:pPr>
        <w:ind w:left="2260" w:hanging="697"/>
        <w:spacing w:after="0"/>
        <w:tabs>
          <w:tab w:leader="none" w:pos="226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Investment Related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400" w:firstLine="973"/>
        <w:spacing w:after="0" w:line="264" w:lineRule="auto"/>
        <w:tabs>
          <w:tab w:leader="none" w:pos="3208" w:val="left"/>
        </w:tabs>
        <w:numPr>
          <w:ilvl w:val="2"/>
          <w:numId w:val="124"/>
        </w:numPr>
        <w:rPr>
          <w:rFonts w:ascii="Arial" w:cs="Arial" w:eastAsia="Arial" w:hAnsi="Arial"/>
          <w:sz w:val="18"/>
          <w:szCs w:val="18"/>
          <w:color w:val="auto"/>
        </w:rPr>
      </w:pPr>
      <w:r>
        <w:rPr>
          <w:rFonts w:ascii="Arial" w:cs="Arial" w:eastAsia="Arial" w:hAnsi="Arial"/>
          <w:sz w:val="18"/>
          <w:szCs w:val="18"/>
          <w:color w:val="auto"/>
        </w:rPr>
        <w:t>If any Grantor shall receive or become entitled to receive any Pledged Interests after the date hereof, it shall promptly (and in any event within 2 Business Days of receipt thereof) identify such Pledged Interests in a written notice to Secured Parties;</w:t>
      </w:r>
    </w:p>
    <w:p>
      <w:pPr>
        <w:spacing w:after="0" w:line="181" w:lineRule="exact"/>
        <w:rPr>
          <w:rFonts w:ascii="Arial" w:cs="Arial" w:eastAsia="Arial" w:hAnsi="Arial"/>
          <w:sz w:val="18"/>
          <w:szCs w:val="18"/>
          <w:color w:val="auto"/>
        </w:rPr>
      </w:pPr>
    </w:p>
    <w:p>
      <w:pPr>
        <w:jc w:val="both"/>
        <w:ind w:left="1400" w:firstLine="973"/>
        <w:spacing w:after="0" w:line="259" w:lineRule="auto"/>
        <w:tabs>
          <w:tab w:leader="none" w:pos="3068"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All sums of money and property paid or distributed in respect of the Investment Related Property pledged hereunder which are received by any Grantor shall be held by the Grantors in trust for the benefit of Secured Parties segregated from such Grantor’s other property, and such Grantor shall deliver it forthwith to the Secured Parties in the exact form received;</w:t>
      </w:r>
    </w:p>
    <w:p>
      <w:pPr>
        <w:spacing w:after="0" w:line="186" w:lineRule="exact"/>
        <w:rPr>
          <w:rFonts w:ascii="Arial" w:cs="Arial" w:eastAsia="Arial" w:hAnsi="Arial"/>
          <w:sz w:val="18"/>
          <w:szCs w:val="18"/>
          <w:color w:val="auto"/>
        </w:rPr>
      </w:pPr>
    </w:p>
    <w:p>
      <w:pPr>
        <w:ind w:left="1400" w:firstLine="973"/>
        <w:spacing w:after="0" w:line="277" w:lineRule="auto"/>
        <w:tabs>
          <w:tab w:leader="none" w:pos="3454" w:val="left"/>
        </w:tabs>
        <w:numPr>
          <w:ilvl w:val="2"/>
          <w:numId w:val="124"/>
        </w:numPr>
        <w:rPr>
          <w:rFonts w:ascii="Arial" w:cs="Arial" w:eastAsia="Arial" w:hAnsi="Arial"/>
          <w:sz w:val="18"/>
          <w:szCs w:val="18"/>
          <w:color w:val="auto"/>
        </w:rPr>
      </w:pPr>
      <w:r>
        <w:rPr>
          <w:rFonts w:ascii="Arial" w:cs="Arial" w:eastAsia="Arial" w:hAnsi="Arial"/>
          <w:sz w:val="18"/>
          <w:szCs w:val="18"/>
          <w:color w:val="auto"/>
        </w:rPr>
        <w:t>Each Grantor shall promptly deliver to Secured Parties a copy of each notice or other communication received by it in respect of any Pledged Interests;</w:t>
      </w:r>
    </w:p>
    <w:p>
      <w:pPr>
        <w:spacing w:after="0" w:line="170" w:lineRule="exact"/>
        <w:rPr>
          <w:rFonts w:ascii="Arial" w:cs="Arial" w:eastAsia="Arial" w:hAnsi="Arial"/>
          <w:sz w:val="18"/>
          <w:szCs w:val="18"/>
          <w:color w:val="auto"/>
        </w:rPr>
      </w:pPr>
    </w:p>
    <w:p>
      <w:pPr>
        <w:jc w:val="both"/>
        <w:ind w:left="1400" w:firstLine="973"/>
        <w:spacing w:after="0" w:line="264" w:lineRule="auto"/>
        <w:tabs>
          <w:tab w:leader="none" w:pos="3063" w:val="left"/>
        </w:tabs>
        <w:numPr>
          <w:ilvl w:val="2"/>
          <w:numId w:val="124"/>
        </w:numPr>
        <w:rPr>
          <w:rFonts w:ascii="Arial" w:cs="Arial" w:eastAsia="Arial" w:hAnsi="Arial"/>
          <w:sz w:val="18"/>
          <w:szCs w:val="18"/>
          <w:color w:val="auto"/>
        </w:rPr>
      </w:pPr>
      <w:r>
        <w:rPr>
          <w:rFonts w:ascii="Arial" w:cs="Arial" w:eastAsia="Arial" w:hAnsi="Arial"/>
          <w:sz w:val="18"/>
          <w:szCs w:val="18"/>
          <w:color w:val="auto"/>
        </w:rPr>
        <w:t>No Grantor shall make or consent to any material amendment or other modification or waiver with respect to any Pledged Interests, Pledged Operating Agreement, or Pledged Partnership Agreement, or enter into any agreement or permit to exist any restriction with respect to any Pledged Interests;</w:t>
      </w:r>
    </w:p>
    <w:p>
      <w:pPr>
        <w:spacing w:after="0" w:line="181" w:lineRule="exact"/>
        <w:rPr>
          <w:rFonts w:ascii="Arial" w:cs="Arial" w:eastAsia="Arial" w:hAnsi="Arial"/>
          <w:sz w:val="18"/>
          <w:szCs w:val="18"/>
          <w:color w:val="auto"/>
        </w:rPr>
      </w:pPr>
    </w:p>
    <w:p>
      <w:pPr>
        <w:jc w:val="both"/>
        <w:ind w:left="1400" w:firstLine="973"/>
        <w:spacing w:after="0" w:line="264" w:lineRule="auto"/>
        <w:tabs>
          <w:tab w:leader="none" w:pos="3019" w:val="left"/>
        </w:tabs>
        <w:numPr>
          <w:ilvl w:val="2"/>
          <w:numId w:val="124"/>
        </w:numPr>
        <w:rPr>
          <w:rFonts w:ascii="Arial" w:cs="Arial" w:eastAsia="Arial" w:hAnsi="Arial"/>
          <w:sz w:val="18"/>
          <w:szCs w:val="18"/>
          <w:color w:val="auto"/>
        </w:rPr>
      </w:pPr>
      <w:r>
        <w:rPr>
          <w:rFonts w:ascii="Arial" w:cs="Arial" w:eastAsia="Arial" w:hAnsi="Arial"/>
          <w:sz w:val="18"/>
          <w:szCs w:val="18"/>
          <w:color w:val="auto"/>
        </w:rPr>
        <w:t>Each Grantor agrees that it will cooperate with Secured Parties in obtaining all necessary approvals and making all necessary filings under federal, state, local, or foreign law in connection with the Security Interests on the Investment Related Property pledged hereunder or any sale or transfer thereof; and</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5" w:name="page106"/>
    <w:bookmarkEnd w:id="105"/>
    <w:p>
      <w:pPr>
        <w:jc w:val="both"/>
        <w:ind w:left="1400" w:firstLine="973"/>
        <w:spacing w:after="0" w:line="271" w:lineRule="auto"/>
        <w:tabs>
          <w:tab w:leader="none" w:pos="318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As to all limited liability company or partnership interests issued under any Pledged Operating Agreement or Pledged Partnership Agreement, each Grantor hereby represents, warrants and covenants that the Pledged Interests issued pursuant to such agreement (A) are not and shall not be dealt in or traded on securities exchanges or in securities markets, (B) do not and will not constitute investment company securities, and (C) are not and will not be held by such Grantor in a securities account. In addition, none of the Pledged Operating Agreements, the Pledged Partnership Agreements, or any other agreements governing any of the Pledged Interests issued under any Pledged Operating Agreement or Pledged Partnership Agreement, provide or shall provide that such Pledg ed Interests are securities governed by Article 8 of the Uniform Commercial Code as in effect in any relevant jurisdiction.</w:t>
      </w:r>
    </w:p>
    <w:p>
      <w:pPr>
        <w:spacing w:after="0" w:line="178" w:lineRule="exact"/>
        <w:rPr>
          <w:rFonts w:ascii="Arial" w:cs="Arial" w:eastAsia="Arial" w:hAnsi="Arial"/>
          <w:sz w:val="17"/>
          <w:szCs w:val="17"/>
          <w:color w:val="auto"/>
        </w:rPr>
      </w:pPr>
    </w:p>
    <w:p>
      <w:pPr>
        <w:jc w:val="both"/>
        <w:ind w:left="760" w:firstLine="803"/>
        <w:spacing w:after="0" w:line="272" w:lineRule="auto"/>
        <w:tabs>
          <w:tab w:leader="none" w:pos="2249"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Transfers and Other Liens</w:t>
      </w:r>
      <w:r>
        <w:rPr>
          <w:rFonts w:ascii="Arial" w:cs="Arial" w:eastAsia="Arial" w:hAnsi="Arial"/>
          <w:sz w:val="17"/>
          <w:szCs w:val="17"/>
          <w:color w:val="auto"/>
        </w:rPr>
        <w:t>. Grantors shall not (i) sell, lease, license, assign (by operation of law or otherwise), transfer or otherwise dispose of, or grant any option with respect to, any of the Collateral, except as expressly permitted by this Agreement and the other Transaction Documents, or (ii) create or permit to exist any Lien upon or with respect to any of the Collateral of any of Grantors, except for Permitted Liens. The inclusion of Proceeds in the Collateral shall not be deemed to constitute consent by any Secured Party to any sale or other disposition of any of the Collateral except as expressly permitted in this Agreement or the other Transaction Documents. Notwithst anding anything contained in this Agreement to the contrary, Permitted Liens shall not be permitted with respect to any Pledged Interests.</w:t>
      </w:r>
    </w:p>
    <w:p>
      <w:pPr>
        <w:spacing w:after="0" w:line="177" w:lineRule="exact"/>
        <w:rPr>
          <w:rFonts w:ascii="Arial" w:cs="Arial" w:eastAsia="Arial" w:hAnsi="Arial"/>
          <w:sz w:val="17"/>
          <w:szCs w:val="17"/>
          <w:color w:val="auto"/>
        </w:rPr>
      </w:pPr>
    </w:p>
    <w:p>
      <w:pPr>
        <w:jc w:val="both"/>
        <w:ind w:left="760" w:firstLine="803"/>
        <w:spacing w:after="0" w:line="264" w:lineRule="auto"/>
        <w:tabs>
          <w:tab w:leader="none" w:pos="231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Each Grantor shall maintain and preserve its existence, rights and privileges, and become or remain duly qualified and in good standing in each jurisdiction in which the character of the properties owned or leased by it or in which the transaction of its business makes such qualification necessary.</w:t>
      </w:r>
    </w:p>
    <w:p>
      <w:pPr>
        <w:spacing w:after="0" w:line="181" w:lineRule="exact"/>
        <w:rPr>
          <w:rFonts w:ascii="Arial" w:cs="Arial" w:eastAsia="Arial" w:hAnsi="Arial"/>
          <w:sz w:val="18"/>
          <w:szCs w:val="18"/>
          <w:color w:val="auto"/>
        </w:rPr>
      </w:pPr>
    </w:p>
    <w:p>
      <w:pPr>
        <w:jc w:val="both"/>
        <w:ind w:left="760" w:firstLine="803"/>
        <w:spacing w:after="0" w:line="259" w:lineRule="auto"/>
        <w:tabs>
          <w:tab w:leader="none" w:pos="230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Each Grantor shall 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w:t>
      </w:r>
    </w:p>
    <w:p>
      <w:pPr>
        <w:spacing w:after="0" w:line="186" w:lineRule="exact"/>
        <w:rPr>
          <w:rFonts w:ascii="Arial" w:cs="Arial" w:eastAsia="Arial" w:hAnsi="Arial"/>
          <w:sz w:val="18"/>
          <w:szCs w:val="18"/>
          <w:color w:val="auto"/>
        </w:rPr>
      </w:pPr>
    </w:p>
    <w:p>
      <w:pPr>
        <w:jc w:val="both"/>
        <w:ind w:left="760" w:firstLine="803"/>
        <w:spacing w:after="0" w:line="289" w:lineRule="auto"/>
        <w:tabs>
          <w:tab w:leader="none" w:pos="226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Other Actions as to Any and All Collateral</w:t>
      </w:r>
      <w:r>
        <w:rPr>
          <w:rFonts w:ascii="Arial" w:cs="Arial" w:eastAsia="Arial" w:hAnsi="Arial"/>
          <w:sz w:val="16"/>
          <w:szCs w:val="16"/>
          <w:color w:val="auto"/>
        </w:rPr>
        <w:t>. Each Grantor shall promptly (and in any event within 2 Business Days of acquiring or obtaining such Collateral) notify Secured Parties in writing upon (i) acquiring or otherwise obtaining any Collateral after the date hereof consisting of Trademarks, Patents, registered Copyrights, Intellectual Property Licenses, Investment Related Property, Chattel Paper (electronic, tangible or otherwise), documents (as defined in Article 9 of the Code), promissory notes (as defined in the Code, or instruments (as defined in the Code) or (ii) any amount payable under or in connection with any of the Collateral being or becoming evidenced after the date hereof by any Chattel Paper, documents, promissory notes, or instruments and, in each such case upon the request of any Secured Party, promptly execute such other documents, or if applicable, deliver such Chattel Paper, other documents or certificates evidencing any Investment Related Property and do such other acts or things deemed necessary or desirable by any Secured Party to protect Secured Parties’ respective Security Interests therein.</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6" w:name="page107"/>
    <w:bookmarkEnd w:id="106"/>
    <w:p>
      <w:pPr>
        <w:ind w:left="100" w:firstLine="653"/>
        <w:spacing w:after="0" w:line="277" w:lineRule="auto"/>
        <w:tabs>
          <w:tab w:leader="none" w:pos="162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Relation to Other Transaction Documents</w:t>
      </w:r>
      <w:r>
        <w:rPr>
          <w:rFonts w:ascii="Arial" w:cs="Arial" w:eastAsia="Arial" w:hAnsi="Arial"/>
          <w:sz w:val="18"/>
          <w:szCs w:val="18"/>
          <w:color w:val="auto"/>
        </w:rPr>
        <w:t>. The provisions of this Agreement shall be read and construed with the Transaction Documents referred to below in the manner so indicated.</w:t>
      </w:r>
    </w:p>
    <w:p>
      <w:pPr>
        <w:spacing w:after="0" w:line="170" w:lineRule="exact"/>
        <w:rPr>
          <w:rFonts w:ascii="Arial" w:cs="Arial" w:eastAsia="Arial" w:hAnsi="Arial"/>
          <w:sz w:val="18"/>
          <w:szCs w:val="18"/>
          <w:color w:val="auto"/>
        </w:rPr>
      </w:pPr>
    </w:p>
    <w:p>
      <w:pPr>
        <w:jc w:val="both"/>
        <w:ind w:left="760" w:firstLine="803"/>
        <w:spacing w:after="0" w:line="257" w:lineRule="auto"/>
        <w:tabs>
          <w:tab w:leader="none" w:pos="257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Securities Purchase Agreement and Notes</w:t>
      </w:r>
      <w:r>
        <w:rPr>
          <w:rFonts w:ascii="Arial" w:cs="Arial" w:eastAsia="Arial" w:hAnsi="Arial"/>
          <w:sz w:val="18"/>
          <w:szCs w:val="18"/>
          <w:color w:val="auto"/>
        </w:rPr>
        <w:t>. In the event of any conflict between any provision in this Agreement and any provision in the Securities Purchase Agreement or Notes, such provision of the Securities Purchase Agreement or Notes shall control, except to the extent the applicable provision in this Agreement is more restrictive with respect to the rights of Grantors or imposes more burdensome or additional obligations on Grantors, in which event the applicable provision in this Agreement shall control.</w:t>
      </w:r>
    </w:p>
    <w:p>
      <w:pPr>
        <w:spacing w:after="0" w:line="188" w:lineRule="exact"/>
        <w:rPr>
          <w:rFonts w:ascii="Arial" w:cs="Arial" w:eastAsia="Arial" w:hAnsi="Arial"/>
          <w:sz w:val="18"/>
          <w:szCs w:val="18"/>
          <w:color w:val="auto"/>
        </w:rPr>
      </w:pPr>
    </w:p>
    <w:p>
      <w:pPr>
        <w:jc w:val="both"/>
        <w:ind w:left="760" w:firstLine="803"/>
        <w:spacing w:after="0" w:line="259" w:lineRule="auto"/>
        <w:tabs>
          <w:tab w:leader="none" w:pos="237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Patent, Trademark, Copyright Security Agreements</w:t>
      </w:r>
      <w:r>
        <w:rPr>
          <w:rFonts w:ascii="Arial" w:cs="Arial" w:eastAsia="Arial" w:hAnsi="Arial"/>
          <w:sz w:val="18"/>
          <w:szCs w:val="18"/>
          <w:color w:val="auto"/>
        </w:rPr>
        <w:t>. The provisions of the Copyright Security Agreements, Trademark Security Agreements, and Patent Security Agreements are supplemental to the provisions of this Agreement, and nothing contained in the Copyright Security Agreements, Trademark Security Agreements or the Patent Security Agreements shall limit any of the rights or remedies of any Secured Party hereunder.</w:t>
      </w:r>
    </w:p>
    <w:p>
      <w:pPr>
        <w:spacing w:after="0" w:line="186" w:lineRule="exact"/>
        <w:rPr>
          <w:rFonts w:ascii="Arial" w:cs="Arial" w:eastAsia="Arial" w:hAnsi="Arial"/>
          <w:sz w:val="18"/>
          <w:szCs w:val="18"/>
          <w:color w:val="auto"/>
        </w:rPr>
      </w:pPr>
    </w:p>
    <w:p>
      <w:pPr>
        <w:ind w:left="1380" w:hanging="627"/>
        <w:spacing w:after="0"/>
        <w:tabs>
          <w:tab w:leader="none" w:pos="13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803"/>
        <w:spacing w:after="0" w:line="279" w:lineRule="auto"/>
        <w:tabs>
          <w:tab w:leader="none" w:pos="245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Each Grantor agrees that from time to time, at its own expense, such Grantor will promptly execute and deliver all further instruments and documents, and take all further action, that may be necessary or that any Secured Party may reasonably request, in order to perfect and protect the Security Interests granted or purported to be granted hereby or to enable any Secured Party to exercise and enforce its rights and remedies hereunder with respect to any of the Collateral.</w:t>
      </w:r>
    </w:p>
    <w:p>
      <w:pPr>
        <w:spacing w:after="0" w:line="171" w:lineRule="exact"/>
        <w:rPr>
          <w:rFonts w:ascii="Arial" w:cs="Arial" w:eastAsia="Arial" w:hAnsi="Arial"/>
          <w:sz w:val="17"/>
          <w:szCs w:val="17"/>
          <w:color w:val="auto"/>
        </w:rPr>
      </w:pPr>
    </w:p>
    <w:p>
      <w:pPr>
        <w:jc w:val="both"/>
        <w:ind w:left="760" w:firstLine="803"/>
        <w:spacing w:after="0" w:line="259" w:lineRule="auto"/>
        <w:tabs>
          <w:tab w:leader="none" w:pos="26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Each Grantor authorizes the filing by any Secured Party of financing or continuation statements, or amendments thereto, and such Grantor will execute and deliver to such Secured Party such other instruments or notices, as may be necessary or as such Secured Party may reasonably request, in order to perfect and preserve the Security Interests granted or purported to be granted hereby.</w:t>
      </w:r>
    </w:p>
    <w:p>
      <w:pPr>
        <w:spacing w:after="0" w:line="186" w:lineRule="exact"/>
        <w:rPr>
          <w:rFonts w:ascii="Arial" w:cs="Arial" w:eastAsia="Arial" w:hAnsi="Arial"/>
          <w:sz w:val="18"/>
          <w:szCs w:val="18"/>
          <w:color w:val="auto"/>
        </w:rPr>
      </w:pPr>
    </w:p>
    <w:p>
      <w:pPr>
        <w:jc w:val="both"/>
        <w:ind w:left="760" w:firstLine="803"/>
        <w:spacing w:after="0" w:line="255" w:lineRule="auto"/>
        <w:tabs>
          <w:tab w:leader="none" w:pos="265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Each Grantor authorizes any Secured Party at any time and from time to time to file, transmit, or communicate, as applicable, financing statements and amendments (i) describing the Collateral as “all personal property of debtor” or “all assets of debtor” or words of similar effect, (ii) describing the Collateral as being of equal or lesser scope or with greater detail, or (iii) that contain any information required by part 5 of Article 9 of the Code for the sufficiency or filing office acceptance. Each Grantor also hereby ratifies any and all financing statements or amendments previously filed by any Secured Party in any jurisdiction.</w:t>
      </w:r>
    </w:p>
    <w:p>
      <w:pPr>
        <w:spacing w:after="0" w:line="193" w:lineRule="exact"/>
        <w:rPr>
          <w:rFonts w:ascii="Arial" w:cs="Arial" w:eastAsia="Arial" w:hAnsi="Arial"/>
          <w:sz w:val="18"/>
          <w:szCs w:val="18"/>
          <w:color w:val="auto"/>
        </w:rPr>
      </w:pPr>
    </w:p>
    <w:p>
      <w:pPr>
        <w:jc w:val="both"/>
        <w:ind w:left="760" w:firstLine="803"/>
        <w:spacing w:after="0" w:line="286" w:lineRule="auto"/>
        <w:tabs>
          <w:tab w:leader="none" w:pos="2572"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Each Grantor acknowledges that it is not authorized to file any financing statement or amendment or termination statement with respect to any financing statement filed in connection with this Agreement without the prior written consent of each Secured Party affected thereby, subject to such Grantor’s rights under Section 9-509(d)(2) of the Code.</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7" w:name="page108"/>
    <w:bookmarkEnd w:id="107"/>
    <w:p>
      <w:pPr>
        <w:jc w:val="both"/>
        <w:ind w:left="760" w:firstLine="803"/>
        <w:spacing w:after="0" w:line="264" w:lineRule="auto"/>
        <w:tabs>
          <w:tab w:leader="none" w:pos="233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Each Grantor shall permit each Secured Party or its employees, accountants, attorneys or agents, to examine and inspect any Collateral or any other property of such Grantor at any time during ordinary business hours upon one (1) day’s advance written notice.</w:t>
      </w:r>
    </w:p>
    <w:p>
      <w:pPr>
        <w:spacing w:after="0" w:line="181" w:lineRule="exact"/>
        <w:rPr>
          <w:rFonts w:ascii="Arial" w:cs="Arial" w:eastAsia="Arial" w:hAnsi="Arial"/>
          <w:sz w:val="18"/>
          <w:szCs w:val="18"/>
          <w:color w:val="auto"/>
        </w:rPr>
      </w:pPr>
    </w:p>
    <w:p>
      <w:pPr>
        <w:jc w:val="both"/>
        <w:ind w:left="100" w:firstLine="653"/>
        <w:spacing w:after="0" w:line="272" w:lineRule="auto"/>
        <w:tabs>
          <w:tab w:leader="none" w:pos="140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Secured Parties’ Right to Perform Contracts, Exercise Rights, etc</w:t>
      </w:r>
      <w:r>
        <w:rPr>
          <w:rFonts w:ascii="Arial" w:cs="Arial" w:eastAsia="Arial" w:hAnsi="Arial"/>
          <w:sz w:val="17"/>
          <w:szCs w:val="17"/>
          <w:color w:val="auto"/>
        </w:rPr>
        <w:t>. Upon the occurrence and during the continuance of an Event of Default, any Secured Party (a) may proceed to perform any and all of the obligations of any Grantor contained in any contract, lease, or other agreement and exercise any and all rights of any Grantor therein contained as fully as such Grantor itself could, (b) shall have the right to use any Grantor’s rights under Intellectual Property Licenses in connection with the enforcement of the Secured Party’s rights hereunder, including the right to prepare for sale and sell any and all Inventory and Equipment now or hereafter owned by any Grantor and now o r hereafter covered by such licenses, and (c) shall have the right to request that any Stock that is pledged hereunder be registered in the name of such Secured Party or any of its nominees.</w:t>
      </w:r>
    </w:p>
    <w:p>
      <w:pPr>
        <w:spacing w:after="0" w:line="177" w:lineRule="exact"/>
        <w:rPr>
          <w:rFonts w:ascii="Arial" w:cs="Arial" w:eastAsia="Arial" w:hAnsi="Arial"/>
          <w:sz w:val="17"/>
          <w:szCs w:val="17"/>
          <w:color w:val="auto"/>
        </w:rPr>
      </w:pPr>
    </w:p>
    <w:p>
      <w:pPr>
        <w:jc w:val="both"/>
        <w:ind w:left="100" w:firstLine="653"/>
        <w:spacing w:after="0" w:line="288" w:lineRule="auto"/>
        <w:tabs>
          <w:tab w:leader="none" w:pos="149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Secured Parties Appointed Attorney-in-Fact</w:t>
      </w:r>
      <w:r>
        <w:rPr>
          <w:rFonts w:ascii="Arial" w:cs="Arial" w:eastAsia="Arial" w:hAnsi="Arial"/>
          <w:sz w:val="16"/>
          <w:szCs w:val="16"/>
          <w:color w:val="auto"/>
        </w:rPr>
        <w:t>. Each Grantor, on behalf of itself and each New Subsidiary of such Grantor, hereby irrevocably appoints each Secured Party as the attorney-in-fact of such Grantor and each such New Subsidiary. In the event any Grantor or any New Subsidiary fails to execute or deliver in a timely manner any Transaction Document or other agreement, document, certificate or instrument which such Grantor or New Subsidiary now or at any time hereafter is required to execute or deliver pursuant to the terms of the Securities Purchase Agreement or any other Transaction Document, each Secured Party shall have full authority in the place and stead of such Grantor or New Subsidiary, and in the name of such Grantor, such New Subsidiary or otherwise, to execute and deliver each of the foregoing. Without limitation of the foregoing, each Secured Party shall have full authority in the place and stead of each Grantor and each New Subsidiary, and in the name of any such Grantor, any such New Subsidiary or otherwise, at such time as an Event of Default has occurred and is continuing, to take any action and to execute any instrument which such Secured Party may reasonably deem necessary or advisable to accomplish the purposes of this Agreement, including, without limitation:</w:t>
      </w:r>
    </w:p>
    <w:p>
      <w:pPr>
        <w:spacing w:after="0" w:line="169" w:lineRule="exact"/>
        <w:rPr>
          <w:rFonts w:ascii="Arial" w:cs="Arial" w:eastAsia="Arial" w:hAnsi="Arial"/>
          <w:sz w:val="16"/>
          <w:szCs w:val="16"/>
          <w:color w:val="auto"/>
        </w:rPr>
      </w:pPr>
    </w:p>
    <w:p>
      <w:pPr>
        <w:ind w:left="760" w:firstLine="803"/>
        <w:spacing w:after="0" w:line="277" w:lineRule="auto"/>
        <w:tabs>
          <w:tab w:leader="none" w:pos="235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ask, demand, collect, sue for, recover, compromise, receive and give acquittance and receipts for moneys due and to become due under or in connection with any Collateral of such Grantor or New Subsidiary;</w:t>
      </w:r>
    </w:p>
    <w:p>
      <w:pPr>
        <w:spacing w:after="0" w:line="170" w:lineRule="exact"/>
        <w:rPr>
          <w:rFonts w:ascii="Arial" w:cs="Arial" w:eastAsia="Arial" w:hAnsi="Arial"/>
          <w:sz w:val="18"/>
          <w:szCs w:val="18"/>
          <w:color w:val="auto"/>
        </w:rPr>
      </w:pPr>
    </w:p>
    <w:p>
      <w:pPr>
        <w:ind w:left="760" w:right="20" w:firstLine="803"/>
        <w:spacing w:after="0" w:line="308" w:lineRule="auto"/>
        <w:tabs>
          <w:tab w:leader="none" w:pos="235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to receive and open all mail addressed to such Grantor or New Subsidiary and to notify postal authorities to change the address for the delivery of mail to such Grantor or New Subsidiary to that of such Secured Party;</w:t>
      </w:r>
    </w:p>
    <w:p>
      <w:pPr>
        <w:spacing w:after="0" w:line="146" w:lineRule="exact"/>
        <w:rPr>
          <w:rFonts w:ascii="Arial" w:cs="Arial" w:eastAsia="Arial" w:hAnsi="Arial"/>
          <w:sz w:val="17"/>
          <w:szCs w:val="17"/>
          <w:color w:val="auto"/>
        </w:rPr>
      </w:pPr>
    </w:p>
    <w:p>
      <w:pPr>
        <w:ind w:left="2360" w:hanging="797"/>
        <w:spacing w:after="0"/>
        <w:tabs>
          <w:tab w:leader="none" w:pos="23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to receive, indorse, and collect any drafts or other instruments, documents, Negotiable Collateral or Chattel</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Paper;</w:t>
      </w:r>
    </w:p>
    <w:p>
      <w:pPr>
        <w:spacing w:after="0" w:line="210" w:lineRule="exact"/>
        <w:rPr>
          <w:rFonts w:ascii="Arial" w:cs="Arial" w:eastAsia="Arial" w:hAnsi="Arial"/>
          <w:sz w:val="16"/>
          <w:szCs w:val="16"/>
          <w:color w:val="auto"/>
        </w:rPr>
      </w:pPr>
    </w:p>
    <w:p>
      <w:pPr>
        <w:jc w:val="both"/>
        <w:ind w:left="760" w:firstLine="803"/>
        <w:spacing w:after="0" w:line="264" w:lineRule="auto"/>
        <w:tabs>
          <w:tab w:leader="none" w:pos="252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file any claims or take any action or institute any proceedings which such Secured Party may deem necessary or desirable for the collection of any of the Collateral of such Grantor or New Subsidiary or otherwise to enforce the rights of any Secured Party with respect to any of the Collateral;</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8" w:name="page109"/>
    <w:bookmarkEnd w:id="108"/>
    <w:p>
      <w:pPr>
        <w:ind w:left="760" w:firstLine="803"/>
        <w:spacing w:after="0" w:line="277" w:lineRule="auto"/>
        <w:tabs>
          <w:tab w:leader="none" w:pos="22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repair, alter, or supply goods, if any, necessary to fulfill in whole or in part the purchase order of any Person obligated to such Grantor or New Subsidiary in respect of any Account of such Grantor or New Subsidiary;</w:t>
      </w:r>
    </w:p>
    <w:p>
      <w:pPr>
        <w:spacing w:after="0" w:line="170" w:lineRule="exact"/>
        <w:rPr>
          <w:rFonts w:ascii="Arial" w:cs="Arial" w:eastAsia="Arial" w:hAnsi="Arial"/>
          <w:sz w:val="18"/>
          <w:szCs w:val="18"/>
          <w:color w:val="auto"/>
        </w:rPr>
      </w:pPr>
    </w:p>
    <w:p>
      <w:pPr>
        <w:jc w:val="both"/>
        <w:ind w:left="760" w:firstLine="803"/>
        <w:spacing w:after="0" w:line="259" w:lineRule="auto"/>
        <w:tabs>
          <w:tab w:leader="none" w:pos="239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use any labels, Patents, Trademarks, trade names, URLs, domain names, industrial designs, Copyrights, customer lists, advertising matter or other industrial or intellectual property rights, in advertising for sale and selling Inventory and other Collateral and to collect any amounts due under Accounts, contracts or Negotiable Collateral of such Grantor or New Subsidiary; and</w:t>
      </w:r>
    </w:p>
    <w:p>
      <w:pPr>
        <w:spacing w:after="0" w:line="186" w:lineRule="exact"/>
        <w:rPr>
          <w:rFonts w:ascii="Arial" w:cs="Arial" w:eastAsia="Arial" w:hAnsi="Arial"/>
          <w:sz w:val="18"/>
          <w:szCs w:val="18"/>
          <w:color w:val="auto"/>
        </w:rPr>
      </w:pPr>
    </w:p>
    <w:p>
      <w:pPr>
        <w:jc w:val="both"/>
        <w:ind w:left="760" w:firstLine="803"/>
        <w:spacing w:after="0" w:line="279" w:lineRule="auto"/>
        <w:tabs>
          <w:tab w:leader="none" w:pos="229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such Secured Party shall have the right, but shall not be obligated, to bring suit in its own name to enforce the Trademarks, Patents, Copyrights and Intellectual Property Licenses and, if such Secured Party shall commence any such suit, the appropriate Grantor or New Subsidiary shall, at the request of such Secured Party, do any and all lawful acts and execute any and all proper documents reasonably required by such Secured Party in aid of such enforcement.</w:t>
      </w:r>
    </w:p>
    <w:p>
      <w:pPr>
        <w:spacing w:after="0" w:line="171"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To the extent permitted by law, each Grantor hereby ratifies, for itself and each of its New Subsidiaries, all that such attorney-in-fact shall lawfully do or cause to be done by virtue hereof. Such power-of-attorney granted pursuant to this Section 10 is coupled with an interest and shall be irrevocable until this Agreement is terminated.</w:t>
      </w:r>
    </w:p>
    <w:p>
      <w:pPr>
        <w:spacing w:after="0" w:line="181" w:lineRule="exact"/>
        <w:rPr>
          <w:sz w:val="20"/>
          <w:szCs w:val="20"/>
          <w:color w:val="auto"/>
        </w:rPr>
      </w:pPr>
    </w:p>
    <w:p>
      <w:pPr>
        <w:jc w:val="both"/>
        <w:ind w:left="100" w:firstLine="653"/>
        <w:spacing w:after="0" w:line="264" w:lineRule="auto"/>
        <w:tabs>
          <w:tab w:leader="none" w:pos="152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Secured Parties May Perform</w:t>
      </w:r>
      <w:r>
        <w:rPr>
          <w:rFonts w:ascii="Arial" w:cs="Arial" w:eastAsia="Arial" w:hAnsi="Arial"/>
          <w:sz w:val="18"/>
          <w:szCs w:val="18"/>
          <w:color w:val="auto"/>
        </w:rPr>
        <w:t>. If any Grantor fails to perform any agreement contained herein, any Secured Party may itself perform, or cause performance of, such agreement, and the reasonable expenses of such Secured Party incurred in connection therewith shall be payable, jointly and severally, by Grantors.</w:t>
      </w:r>
    </w:p>
    <w:p>
      <w:pPr>
        <w:spacing w:after="0" w:line="181" w:lineRule="exact"/>
        <w:rPr>
          <w:rFonts w:ascii="Arial" w:cs="Arial" w:eastAsia="Arial" w:hAnsi="Arial"/>
          <w:sz w:val="18"/>
          <w:szCs w:val="18"/>
          <w:color w:val="auto"/>
        </w:rPr>
      </w:pPr>
    </w:p>
    <w:p>
      <w:pPr>
        <w:jc w:val="both"/>
        <w:ind w:left="100" w:firstLine="653"/>
        <w:spacing w:after="0" w:line="268" w:lineRule="auto"/>
        <w:tabs>
          <w:tab w:leader="none" w:pos="1509"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Secured Parties’ Duties; Bailee for Perfection</w:t>
      </w:r>
      <w:r>
        <w:rPr>
          <w:rFonts w:ascii="Arial" w:cs="Arial" w:eastAsia="Arial" w:hAnsi="Arial"/>
          <w:sz w:val="17"/>
          <w:szCs w:val="17"/>
          <w:color w:val="auto"/>
        </w:rPr>
        <w:t>. The powers conferred on Secured Parties hereunder are solely to protect the Secured Parties’ respective interests in the Collateral and shall not impose any duty upon any Secured Party in favor of any Grantor or any other Secured Party to exercise any such powers. Except for the safe custody of any Collateral in its actual possession and the accounting for moneys actually received by it hereunder, no Secured Party shall have any duty to any Grantor or any other Secured Party as to any Collateral or as to the taking of any necessary steps to preserve rights against prior parties or any other rights pertaining to any Collate ral. A Secured Party shall be deemed to have exercised reasonable care in the custody and preservation of any Collateral in its actual possession if such Collateral is accorded treatment substantially equal to that which such Secured Party accords its own property. Each Secured Party agrees that, with respect to any Collateral at any time or times in its possession and in which any other Secured Party has a Lien, the Secured Party in possession of any such Collateral shall be the bailee of each other Secured Party solely for purposes of perfecting (to the extent not otherwise perfected) each other Secured Party’s Lien in such Collateral, provided that no Secured Party shall be obligated to obtain or retain possession of any such Collateral. Without limiting the generality of the foregoing, Secured Parties and Grantors hereby agree that any Secured Party that is in possession of any Collateral at such time as the Secured Obligations owing to such Secured Party have been paid in full may re-deliver such Collateral to the applicable Grantor or, if requested by any Secured Party prior to such re-delivery, may deliver such Collateral (unless otherwise restricted by applicable law or court order and subject in all events to the receipt of an indemnification of all liabilities arising from such delivery) to the requesting Secured Party, without recourse to or representation or warranty by the Secured Party in such possession.</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09" w:name="page110"/>
    <w:bookmarkEnd w:id="109"/>
    <w:p>
      <w:pPr>
        <w:jc w:val="both"/>
        <w:ind w:left="100" w:firstLine="653"/>
        <w:spacing w:after="0" w:line="257" w:lineRule="auto"/>
        <w:tabs>
          <w:tab w:leader="none" w:pos="1509"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Collection of Accounts, General Intangibles and Negotiable Collateral</w:t>
      </w:r>
      <w:r>
        <w:rPr>
          <w:rFonts w:ascii="Arial" w:cs="Arial" w:eastAsia="Arial" w:hAnsi="Arial"/>
          <w:sz w:val="18"/>
          <w:szCs w:val="18"/>
          <w:color w:val="auto"/>
        </w:rPr>
        <w:t>. At any time upon the occurrence and during the continuation of an Event of Default, any Secured Party may (a) notify Account Debtors of any Grantor that the Accounts, General Intangibles, Chattel Paper or Negotiable Collateral have been assigned to such Secured Party or that such Secured Party has a security interest therein, and (b) collect the Accounts, General Intangibles and Negotiable Collateral directly, and any collection costs and expenses shall constitute part of the Secured Obligations.</w:t>
      </w:r>
    </w:p>
    <w:p>
      <w:pPr>
        <w:spacing w:after="0" w:line="188" w:lineRule="exact"/>
        <w:rPr>
          <w:rFonts w:ascii="Arial" w:cs="Arial" w:eastAsia="Arial" w:hAnsi="Arial"/>
          <w:sz w:val="18"/>
          <w:szCs w:val="18"/>
          <w:color w:val="auto"/>
        </w:rPr>
      </w:pPr>
    </w:p>
    <w:p>
      <w:pPr>
        <w:jc w:val="both"/>
        <w:ind w:left="100" w:firstLine="653"/>
        <w:spacing w:after="0" w:line="268" w:lineRule="auto"/>
        <w:tabs>
          <w:tab w:leader="none" w:pos="1752"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Disposition of Pledged Interests by Secured Party</w:t>
      </w:r>
      <w:r>
        <w:rPr>
          <w:rFonts w:ascii="Arial" w:cs="Arial" w:eastAsia="Arial" w:hAnsi="Arial"/>
          <w:sz w:val="17"/>
          <w:szCs w:val="17"/>
          <w:color w:val="auto"/>
        </w:rPr>
        <w:t>. None of the Pledged Interests existing as of the date of this Agreement are, and none of the Pledged Interests hereafter acquired on the date of acquisition thereof will be, registered or qualified under the various federal, state or other securities laws of the United States or any other jurisdiction, and disposition thereof after an Event of Default may be restricted to one or more private (instead of public) sales in view of the lack of such registration. Each Grantor understands that in connection with such disposition, any Secured Party may approach only a restricted number of potential purchasers and further understands that a sale under such circumstances may yield a lower price for the Pledged Interests than if the Pledged Interests were registered and qualified pursuant to federal, state and other securities laws and sold on the open market. Each Grantor, therefore, agrees that: (a) if a Secured Party shall, pursuant to the terms of this Agreement, sell or cause the Pledged Interests or any portion thereof to be sold at a private sale, such Secured Party shall have the right to rely upon the advice and opinion of any nationally recognized brokerage or investment firm (but shall not be obligated to seek such advice and the failure to do so shall not be considered in determining the commercial reasonableness of such action) as to the best manner in which to offer the Pledged Interest or any portion thereof for sale and as to the best price reasonably obtainable at the private sale thereof; and (b) such reliance shall be conclusive evidence that such Secured Party has handled the disposition in a commercially reasonable manner.</w:t>
      </w:r>
    </w:p>
    <w:p>
      <w:pPr>
        <w:spacing w:after="0" w:line="187" w:lineRule="exact"/>
        <w:rPr>
          <w:rFonts w:ascii="Arial" w:cs="Arial" w:eastAsia="Arial" w:hAnsi="Arial"/>
          <w:sz w:val="17"/>
          <w:szCs w:val="17"/>
          <w:color w:val="auto"/>
        </w:rPr>
      </w:pPr>
    </w:p>
    <w:p>
      <w:pPr>
        <w:ind w:left="1480" w:hanging="727"/>
        <w:spacing w:after="0"/>
        <w:tabs>
          <w:tab w:leader="none" w:pos="14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803"/>
        <w:spacing w:after="0" w:line="289" w:lineRule="auto"/>
        <w:tabs>
          <w:tab w:leader="none" w:pos="240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Upon the occurrence and during the continuation of an Event of Default, (i) any Secured Party may, at its option, and with 2 Business Days prior notice to any Grantor, and in addition to all rights and remedies available to Secured Parties under any other agreement, at law, in equity, or otherwise, exercise all voting rights, and all other ownership or consensual rights in respect of the Pledged Interests owned by such Grantor, but under no circumstances is any Secured Party obligated by the terms of this Agreement to exercise such rights, and (ii) if such Secured Party duly exercises its right to vote any of such Pledged Interests, each Grantor hereby appoints such Secured Party as such Grantor’s true and lawful attorney-in-fact and IRREVOCABLE PROXY to vote such Pledged Interests in any manner that such Secured Party deems advisable for or against all matters submitted or which may be submitted to a vote of shareholders, partners or members, as the case may be. Such power-of-attorney granted pursuant to this Section 15 is coupled with an interest and shall be irrevocable until this Agreement is terminated.</w:t>
      </w:r>
    </w:p>
    <w:p>
      <w:pPr>
        <w:spacing w:after="0" w:line="166" w:lineRule="exact"/>
        <w:rPr>
          <w:rFonts w:ascii="Arial" w:cs="Arial" w:eastAsia="Arial" w:hAnsi="Arial"/>
          <w:sz w:val="16"/>
          <w:szCs w:val="16"/>
          <w:color w:val="auto"/>
        </w:rPr>
      </w:pPr>
    </w:p>
    <w:p>
      <w:pPr>
        <w:jc w:val="both"/>
        <w:ind w:left="760" w:firstLine="803"/>
        <w:spacing w:after="0" w:line="259" w:lineRule="auto"/>
        <w:tabs>
          <w:tab w:leader="none" w:pos="249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For so long as any Grantor shall have the right to vote the Pledged Interests owned by it, such Grantor covenants and agrees that it will not, without the prior written consent of Secured Parties, vote or take any consensual action with respect to such Pledged Interests which would materially or adversely affect the rights of Secured Parties exercising the voting rights owned by such Grantor or the value of the Pledged Interests.</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0" w:name="page111"/>
    <w:bookmarkEnd w:id="110"/>
    <w:p>
      <w:pPr>
        <w:ind w:left="1480" w:hanging="727"/>
        <w:spacing w:after="0"/>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 Event of Default:</w:t>
      </w:r>
    </w:p>
    <w:p>
      <w:pPr>
        <w:spacing w:after="0" w:line="225" w:lineRule="exact"/>
        <w:rPr>
          <w:rFonts w:ascii="Arial" w:cs="Arial" w:eastAsia="Arial" w:hAnsi="Arial"/>
          <w:sz w:val="18"/>
          <w:szCs w:val="18"/>
          <w:color w:val="auto"/>
        </w:rPr>
      </w:pPr>
    </w:p>
    <w:p>
      <w:pPr>
        <w:jc w:val="both"/>
        <w:ind w:left="760" w:firstLine="803"/>
        <w:spacing w:after="0" w:line="267" w:lineRule="auto"/>
        <w:tabs>
          <w:tab w:leader="none" w:pos="2276"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Any Secured Party may exercise in respect of the Collateral, in addition to other rights and remedies provided for herein, in the other Transaction Documents, or otherwise available to it, all the rights and remedies of a secured party on default under the Code, the PPSA or any other applicable law. Without limiting the generality of the foregoing, each Grantor expressly agrees that, in any such event, any Secured Party without any demand, advertisement, or notice of any kind (except a notice specified below of time and place of public or private sale) to or upon any Grantor or any other Person (all and each of which demands, advertisements and notices are hereby expressly waived to the maximum extent permitted by the Code or by any other applicable law), may take immediate possession of all or any portion of the Collateral and (i) require Grantors to, and each Grantor hereby agrees that it will at its own expense and upon request of such Secured Party forthwith, assemble all or part of the Collateral as directed by such Secured Party and make it available to such Secured Party at one or more locations where such Grantor regularly maintains Inventory, and (ii) without notice except as specified below, sell the Collateral or any part thereof in one or more parcels at public or private sale, at any of such Secured Party’s offices or elsewhere, for cash, on credit, and upon such other terms as such Secured Party may deem commercially reasonable. Each Grantor agrees that, to the extent notice of sale shall be required by law, at least 10 days notice to any Grantor of the time and place of any public sale or the time after which any private sale is to be made shall constitute reasonable notification and specifically such notice shall constitute a reasonable “authenticated notification of disposition” within the meaning of Section 9-611 of the Code. No Secured Party shall be obligated to make any sale of Collateral regardless of notice of sale having been given. Any Secured Party may adjourn any public or private sale from time to time by announcement at the time and place fixed therefor, and such sale may, without further notice, be made at the time and place to which it was so adjourned.</w:t>
      </w:r>
    </w:p>
    <w:p>
      <w:pPr>
        <w:spacing w:after="0" w:line="187" w:lineRule="exact"/>
        <w:rPr>
          <w:rFonts w:ascii="Arial" w:cs="Arial" w:eastAsia="Arial" w:hAnsi="Arial"/>
          <w:sz w:val="17"/>
          <w:szCs w:val="17"/>
          <w:color w:val="auto"/>
        </w:rPr>
      </w:pPr>
    </w:p>
    <w:p>
      <w:pPr>
        <w:jc w:val="both"/>
        <w:ind w:left="760" w:firstLine="803"/>
        <w:spacing w:after="0" w:line="285" w:lineRule="auto"/>
        <w:tabs>
          <w:tab w:leader="none" w:pos="230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Any Secured Party may seek the appointment of a receiver, receiver-manager or keeper (a “</w:t>
      </w:r>
      <w:r>
        <w:rPr>
          <w:rFonts w:ascii="Arial" w:cs="Arial" w:eastAsia="Arial" w:hAnsi="Arial"/>
          <w:sz w:val="16"/>
          <w:szCs w:val="16"/>
          <w:b w:val="1"/>
          <w:bCs w:val="1"/>
          <w:color w:val="auto"/>
        </w:rPr>
        <w:t>Receiver</w:t>
      </w:r>
      <w:r>
        <w:rPr>
          <w:rFonts w:ascii="Arial" w:cs="Arial" w:eastAsia="Arial" w:hAnsi="Arial"/>
          <w:sz w:val="16"/>
          <w:szCs w:val="16"/>
          <w:color w:val="auto"/>
        </w:rPr>
        <w:t>”) under the laws of Canada or any province thereof to take possession of all or any portion of the Collateral or to operate same and, to the maximum extent permitted by law, may seek the appointment of such a Receiver without the requirement of prior notice or a hearing. Any such Receiver shall, so far as concerns responsibility for his/her acts, be deemed agent of the applicable Grantor and not any Secured Party, and no Secured Party shall be in any way responsible for any misconduct, negligence or non-feasance on the part of any such Receiver, his/her servants or employees. Subject to the provisions of the instrument appointing him/her, any such Receiver shall have power to take possession of Collateral, to preserve Collateral or its value, to carry on or concur in carrying on all or any part of the business of the applicable Grantor, and to sell, lease, license or otherwise dispose of or concur in selling, leasing, licensing or otherwise disposing of Collateral. To facilitate the foregoing powers, any such Receiver may, to the exclusion of all others, including Grantors, enter upon, use and occupy all premises owned or occupied by Grantors wherein Collateral may be situated, maintain Collateral upon such premises, borrow money on a secured or unsecured basis, and use Collateral directly in carrying on Grantors’ business or as security for loans or advances to enable the Receiver to carry on Grantors’ business or otherwise, as such Receiver shall, in its discretion, determine. Except as may be otherwise directed by a Secured Party, all money receive d from time to time by such Receiver in carrying out his/her appointment shall be received in trust for and paid over to Secured Parties. Every such Receiver may, in the discretion of any Secured Party, be vested with all or any of the rights and powers of any Secured Party. Any Secured Party may, either directly or through its nominees, exercise any or all powers and rights given to a Receiver by virtue of the foregoing provisions of this paragraph.</w:t>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1" w:name="page112"/>
    <w:bookmarkEnd w:id="111"/>
    <w:p>
      <w:pPr>
        <w:jc w:val="both"/>
        <w:ind w:left="760" w:firstLine="803"/>
        <w:spacing w:after="0" w:line="285" w:lineRule="auto"/>
        <w:tabs>
          <w:tab w:leader="none" w:pos="228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Each Secured Party is hereby granted a license or other right to use, without liability for royalties or any other charge, each Grantor’s labels, Patents, Copyrights, rights of use of any name, trade secrets, trade names, Trademarks, service marks and advertising matter, URLs, domain names, industrial designs, other industrial or intellectual property or any property of a similar nature, whether owned by any Grantor or with respect to which any Grantor has rights under license, sublicense, or other agreements (but only to the extent (i) such license, sublicense or agreement does not prohibit such use by such Secured Party and</w:t>
      </w:r>
    </w:p>
    <w:p>
      <w:pPr>
        <w:spacing w:after="0" w:line="2" w:lineRule="exact"/>
        <w:rPr>
          <w:rFonts w:ascii="Arial" w:cs="Arial" w:eastAsia="Arial" w:hAnsi="Arial"/>
          <w:sz w:val="16"/>
          <w:szCs w:val="16"/>
          <w:color w:val="auto"/>
        </w:rPr>
      </w:pPr>
    </w:p>
    <w:p>
      <w:pPr>
        <w:jc w:val="both"/>
        <w:ind w:left="760" w:right="20" w:hanging="7"/>
        <w:spacing w:after="0" w:line="277" w:lineRule="auto"/>
        <w:tabs>
          <w:tab w:leader="none" w:pos="103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such Grantor will not be in default under such license, sublicense, or other agreement as a result of such use by such Secured Part y), as it pertains to the Collateral, in preparing for sale, advertising for sale and selling any Collateral, and each Grantor’s rights under all licenses and all franchise agreements shall inure to the benefit of such Secured Party.</w:t>
      </w:r>
    </w:p>
    <w:p>
      <w:pPr>
        <w:spacing w:after="0" w:line="173" w:lineRule="exact"/>
        <w:rPr>
          <w:rFonts w:ascii="Arial" w:cs="Arial" w:eastAsia="Arial" w:hAnsi="Arial"/>
          <w:sz w:val="17"/>
          <w:szCs w:val="17"/>
          <w:color w:val="auto"/>
        </w:rPr>
      </w:pPr>
    </w:p>
    <w:p>
      <w:pPr>
        <w:jc w:val="both"/>
        <w:ind w:left="760" w:firstLine="803"/>
        <w:spacing w:after="0" w:line="302" w:lineRule="auto"/>
        <w:tabs>
          <w:tab w:leader="none" w:pos="227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cash held by any Secured Party as Collateral and all proceeds received by any Secured Party in respect of any sale of, collection from, or other realization upon all or any part of the Collateral shall be applied against the Secured Obligations in the order set forth in Section 17 hereof. In the event the proceeds of Collateral are insufficient for the Satisfaction in Full of the Secured Obligations (as defined below), each Grantor shall remain jointly and severally liable for any such deficiency.</w:t>
      </w:r>
    </w:p>
    <w:p>
      <w:pPr>
        <w:spacing w:after="0" w:line="154" w:lineRule="exact"/>
        <w:rPr>
          <w:rFonts w:ascii="Arial" w:cs="Arial" w:eastAsia="Arial" w:hAnsi="Arial"/>
          <w:sz w:val="16"/>
          <w:szCs w:val="16"/>
          <w:color w:val="auto"/>
        </w:rPr>
      </w:pPr>
    </w:p>
    <w:p>
      <w:pPr>
        <w:jc w:val="both"/>
        <w:ind w:left="760" w:firstLine="803"/>
        <w:spacing w:after="0" w:line="255" w:lineRule="auto"/>
        <w:tabs>
          <w:tab w:leader="none" w:pos="235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Grantor hereby acknowledges that the Secured Obligations arose out of a commercial transaction, and agrees that if an Event of Default shall occur and be continuing any Secured Party shall have the right to an immediate writ of possession without notice of a hearing. Without limitation of Section 16(b) hereof, each Secured Party shall have the right to the appointment of a receiver for the properties and assets of each Grantor, and each Grantor hereby consents to such rights and such appointment and hereby waives any objection such Grantor may have thereto or the right to have a bond or other security posted by any Secured Party.</w:t>
      </w:r>
    </w:p>
    <w:p>
      <w:pPr>
        <w:spacing w:after="0" w:line="193" w:lineRule="exact"/>
        <w:rPr>
          <w:rFonts w:ascii="Arial" w:cs="Arial" w:eastAsia="Arial" w:hAnsi="Arial"/>
          <w:sz w:val="18"/>
          <w:szCs w:val="18"/>
          <w:color w:val="auto"/>
        </w:rPr>
      </w:pPr>
    </w:p>
    <w:p>
      <w:pPr>
        <w:jc w:val="both"/>
        <w:ind w:left="760" w:firstLine="803"/>
        <w:spacing w:after="0" w:line="289" w:lineRule="auto"/>
        <w:tabs>
          <w:tab w:leader="none" w:pos="2251" w:val="left"/>
        </w:tabs>
        <w:numPr>
          <w:ilvl w:val="1"/>
          <w:numId w:val="135"/>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each Secured Party agrees that it will not exercise any remedy provided for under this Agreement with respect to all or any portion of the Collateral unless such Secured Party is a Permitted Secured Party (provided that the foregoing shall not prevent any Secured Party from commencing or participating in any Insolvency Proceeding or taking any action (other than with respect to the Collateral) to enforce the payment or performance of any Grantors’ obligations under any of the Notes, Guaranties or other Transaction Documents). This Section 16(f) is not intended to confer any rights or benefits upon Grantors, or any of them, or any other Person except Secured Parties, and no Person (including any or all Grantors) other than Secured Parties shall have any right to enforce any of the provisions of this Section 16(f). As between Grantors, or any of them, and any Secured Party, any action that such Secured Party may take under this Agreement shall be conclusively presumed to have been authorized and approved by the other Secured Parties.</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2" w:name="page113"/>
    <w:bookmarkEnd w:id="112"/>
    <w:p>
      <w:pPr>
        <w:jc w:val="both"/>
        <w:ind w:left="760" w:firstLine="803"/>
        <w:spacing w:after="0" w:line="288" w:lineRule="auto"/>
        <w:tabs>
          <w:tab w:leader="none" w:pos="229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Each Secured Party may, in addition to other rights and remedies provided for herein, in the other Transaction Documents, or otherwise available to it under applicable law and without the requirement of notice to or upon any Grantor or any other Person (which notice is hereby expressly waived to the maximum extent permitted by the Code or any other applicable law),</w:t>
      </w:r>
    </w:p>
    <w:p>
      <w:pPr>
        <w:jc w:val="both"/>
        <w:ind w:left="760" w:hanging="7"/>
        <w:spacing w:after="0" w:line="268" w:lineRule="auto"/>
        <w:tabs>
          <w:tab w:leader="none" w:pos="97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respect to any Grantor’s Deposit Accounts in which any such Secured Party’s Liens are perfected by control under Section 9-104 of the Code (other than the Deposit Account subject to the Full Dominion Account Control Agreement, under which the Secured Parties may, notwithstanding anything contained in this Agreement to the contrary, give instructions at any time (including, withou t limitation, prior to the occurrence of an Event of Default)), instruct the bank maintaining such Deposit Account for the applicable Grantor to pay the balance of such Deposit Account to or for the benefit of such Secured Party, and (ii) with respect to any Grantor’s Securities Accounts in which such Secured Party’s Liens are perfected by control under Section 9-106 of the Code, instruct the securities intermediary maintaining such Securities Account for the applicable Grantor to (A) transfer any cash in such Securities Account to or for the benefit of such Secured Party, or (B) liquidate any financial assets in such Securities Account that are customarily sold on a recognized market and transfer the cash proceeds thereof to or for the benefit of such Secured Party.</w:t>
      </w:r>
    </w:p>
    <w:p>
      <w:pPr>
        <w:spacing w:after="0" w:line="180" w:lineRule="exact"/>
        <w:rPr>
          <w:sz w:val="20"/>
          <w:szCs w:val="20"/>
          <w:color w:val="auto"/>
        </w:rPr>
      </w:pPr>
    </w:p>
    <w:p>
      <w:pPr>
        <w:jc w:val="both"/>
        <w:ind w:left="100" w:firstLine="653"/>
        <w:spacing w:after="0" w:line="273" w:lineRule="auto"/>
        <w:tabs>
          <w:tab w:leader="none" w:pos="1671"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Priority of Liens; Application of Proceeds of Collateral</w:t>
      </w:r>
      <w:r>
        <w:rPr>
          <w:rFonts w:ascii="Arial" w:cs="Arial" w:eastAsia="Arial" w:hAnsi="Arial"/>
          <w:sz w:val="17"/>
          <w:szCs w:val="17"/>
          <w:color w:val="auto"/>
        </w:rPr>
        <w:t>. Each Secured Party hereby acknowledges and agrees that, notwithstanding the time or order of the filing of any financing statement or other registration or document with respect to the Collateral and the Security Interests, or any provision of this Agreement, any other Security Document, the Code, the PPSA or other applicable law, solely as amongst the Secured Parties, the separate Security Interests of the Secured Parties shall have the same rank and priority; provided, that, the foregoing shall not apply to any Security Interest of a Secured Party that is void or voidable as a matter of law. In furtherance thereof, all pro ceeds of Collateral received by any Secured Party shall be applied as follows:</w:t>
      </w:r>
    </w:p>
    <w:p>
      <w:pPr>
        <w:spacing w:after="0" w:line="178" w:lineRule="exact"/>
        <w:rPr>
          <w:rFonts w:ascii="Arial" w:cs="Arial" w:eastAsia="Arial" w:hAnsi="Arial"/>
          <w:sz w:val="17"/>
          <w:szCs w:val="17"/>
          <w:color w:val="auto"/>
        </w:rPr>
      </w:pPr>
    </w:p>
    <w:p>
      <w:pPr>
        <w:jc w:val="both"/>
        <w:ind w:left="760" w:firstLine="803"/>
        <w:spacing w:after="0" w:line="255" w:lineRule="auto"/>
        <w:tabs>
          <w:tab w:leader="none" w:pos="2549"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ratably to pay any expenses due to any of the Secured Parties (including, without limitation, the reasonable costs and expenses paid or incurred by any Secured Party to correct any default under or enforce any provision of the Transaction Documents, or after the occurrence of any Event of Default in gaining possession of, maintaining, handling, preserving, storing, shipping, selling, preparing for sale, or advertising to sell the Collateral, or any portion thereof, irrespective of whether a sale is consummated) or indemnities then due to any of the Secured Parties under the Transaction Documents, until paid in full;</w:t>
      </w:r>
    </w:p>
    <w:p>
      <w:pPr>
        <w:spacing w:after="0" w:line="193" w:lineRule="exact"/>
        <w:rPr>
          <w:rFonts w:ascii="Arial" w:cs="Arial" w:eastAsia="Arial" w:hAnsi="Arial"/>
          <w:sz w:val="18"/>
          <w:szCs w:val="18"/>
          <w:color w:val="auto"/>
        </w:rPr>
      </w:pPr>
    </w:p>
    <w:p>
      <w:pPr>
        <w:ind w:left="760" w:firstLine="803"/>
        <w:spacing w:after="0" w:line="277" w:lineRule="auto"/>
        <w:tabs>
          <w:tab w:leader="none" w:pos="2424"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ratably to pay any fees or premiums then due to any of the Secured Parties under the Transaction Documents, until paid in full;</w:t>
      </w:r>
    </w:p>
    <w:p>
      <w:pPr>
        <w:spacing w:after="0" w:line="170" w:lineRule="exact"/>
        <w:rPr>
          <w:rFonts w:ascii="Arial" w:cs="Arial" w:eastAsia="Arial" w:hAnsi="Arial"/>
          <w:sz w:val="18"/>
          <w:szCs w:val="18"/>
          <w:color w:val="auto"/>
        </w:rPr>
      </w:pPr>
    </w:p>
    <w:p>
      <w:pPr>
        <w:ind w:left="2300" w:hanging="737"/>
        <w:spacing w:after="0"/>
        <w:tabs>
          <w:tab w:leader="none" w:pos="230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ratably to pay interest due in respect of the Secured Obligations then due to any of the Secured Parties,</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until paid in full;</w:t>
      </w:r>
    </w:p>
    <w:p>
      <w:pPr>
        <w:spacing w:after="0" w:line="210" w:lineRule="exact"/>
        <w:rPr>
          <w:rFonts w:ascii="Arial" w:cs="Arial" w:eastAsia="Arial" w:hAnsi="Arial"/>
          <w:sz w:val="16"/>
          <w:szCs w:val="16"/>
          <w:color w:val="auto"/>
        </w:rPr>
      </w:pPr>
    </w:p>
    <w:p>
      <w:pPr>
        <w:ind w:left="2320" w:hanging="757"/>
        <w:spacing w:after="0"/>
        <w:tabs>
          <w:tab w:leader="none" w:pos="232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ratably to pay the principal amount of all Secured Obligations then due to any of the Secured Parties,</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until paid in full;</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3" w:name="page114"/>
    <w:bookmarkEnd w:id="113"/>
    <w:p>
      <w:pPr>
        <w:ind w:left="2260" w:hanging="697"/>
        <w:spacing w:after="0"/>
        <w:tabs>
          <w:tab w:leader="none" w:pos="226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other Secured Obligations then due to any of the Secured Parties; and</w:t>
      </w:r>
    </w:p>
    <w:p>
      <w:pPr>
        <w:spacing w:after="0" w:line="225" w:lineRule="exact"/>
        <w:rPr>
          <w:rFonts w:ascii="Arial" w:cs="Arial" w:eastAsia="Arial" w:hAnsi="Arial"/>
          <w:sz w:val="18"/>
          <w:szCs w:val="18"/>
          <w:color w:val="auto"/>
        </w:rPr>
      </w:pPr>
    </w:p>
    <w:p>
      <w:pPr>
        <w:ind w:left="2240" w:hanging="677"/>
        <w:spacing w:after="0"/>
        <w:tabs>
          <w:tab w:leader="none" w:pos="224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Grantors or such other Person entitled thereto under applicable law.</w:t>
      </w:r>
    </w:p>
    <w:p>
      <w:pPr>
        <w:spacing w:after="0" w:line="225" w:lineRule="exact"/>
        <w:rPr>
          <w:rFonts w:ascii="Arial" w:cs="Arial" w:eastAsia="Arial" w:hAnsi="Arial"/>
          <w:sz w:val="18"/>
          <w:szCs w:val="18"/>
          <w:color w:val="auto"/>
        </w:rPr>
      </w:pPr>
    </w:p>
    <w:p>
      <w:pPr>
        <w:jc w:val="both"/>
        <w:ind w:left="100" w:firstLine="653"/>
        <w:spacing w:after="0" w:line="270" w:lineRule="auto"/>
        <w:tabs>
          <w:tab w:leader="none" w:pos="1495"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Remedies Cumulative</w:t>
      </w:r>
      <w:r>
        <w:rPr>
          <w:rFonts w:ascii="Arial" w:cs="Arial" w:eastAsia="Arial" w:hAnsi="Arial"/>
          <w:sz w:val="17"/>
          <w:szCs w:val="17"/>
          <w:color w:val="auto"/>
        </w:rPr>
        <w:t>. Each right, power, and remedy of any Secured Party as provided for in this Agreement or in any other Transaction Document or now or hereafter existing at law or in equity or by statute or otherwise shall be cumulative and concurrent and shall be in addition to every other right, power, or remedy provided for in this Agreement or in the other Transaction Documents or now or hereafter existing at law or in equity or by statute or otherwise, and the exercise or beginning of the exercise by any Secured Party, of any one or more of such rights, powers, or remedies shall not preclude the simultaneous or later exercise by such Secured Party of any or all such other rights, power s, or remedies. Each Grantor acknowledges that a breach by it of its obligations hereunder will cause irreparable harm to each Secured Party and that the remedy at law for any such breach may be inadequate. Each Grantor therefore agrees that, in the event of any breach or any threatened breach, each Secured Party shall be entitled, in addition to all other available remedies, to an injunction restraining any such breach or any such threatened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left="100" w:firstLine="653"/>
        <w:spacing w:after="0" w:line="270" w:lineRule="auto"/>
        <w:tabs>
          <w:tab w:leader="none" w:pos="159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Marshaling</w:t>
      </w:r>
      <w:r>
        <w:rPr>
          <w:rFonts w:ascii="Arial" w:cs="Arial" w:eastAsia="Arial" w:hAnsi="Arial"/>
          <w:sz w:val="17"/>
          <w:szCs w:val="17"/>
          <w:color w:val="auto"/>
        </w:rPr>
        <w:t>. No Secured Party shall be required to marshal any present or future collateral security (including but not limited to the Collateral) for, or other assurances of payment of, the Secured Obligations or any of them or to resort to such collateral security or other assurances of payment in any particular order, and all of its rights and remedies hereunder and in respect of such collateral security and other assurances of payment shall be cumulative and in addition to all other rights and remedies, however existing or arising. To the extent that it lawfully may, each Grantor hereby agrees that it will not invoke any law relating to the marshaling of collateral which might cause delay in or imped e the enforcement of any Secured Party’s rights and remedies under this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4" w:name="page115"/>
    <w:bookmarkEnd w:id="114"/>
    <w:p>
      <w:pPr>
        <w:ind w:left="1480" w:hanging="727"/>
        <w:spacing w:after="0"/>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803"/>
        <w:spacing w:after="0" w:line="284" w:lineRule="auto"/>
        <w:tabs>
          <w:tab w:leader="none" w:pos="229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Each Secured Party hereby agrees and acknowledges that no other Secured Party has agreed to act for it as an administrative or collateral agent, and each Secured Party is and shall remain solely responsible for the attachment, perfection and priority of all Liens created by this Agreement or any other Security Document in favor of such Secured Party. No Secured Party shall have by reason of this Agreement or any other Transaction Document an agency or fiduciary relationship with any other Secured Party. No Secured Party (which term, as used in this sentence, shall include reference to each Secured Party’s officers, directors, employees, attorneys, agents and affiliates and to the officers, directors, employees, attorneys and agents o f such Secured Party’s affiliates) shall: (i) have any duties or responsibilities except those expressly set forth in this Agreement and the other Security Documents or (ii) be required to take, initiate or conduct any enforcement action (including any litigation, foreclosure or collection proceedings hereunder or under any of the other Security Documents). Without limiting the foregoing, no Secured Party shall have any right of action whatsoever against any other Secured Party as a result of such Secured Party acting or refraining from acting hereunder or under any of the Security Documents except as a result and to the extent of losses caused by such Secured Party’s actual gross negligence or willful misconduct (it being understood and agreed by each Secured Party that the delivery by any Significant Secured Party of one or more Veto Notices shall not be deemed to be or construed as gross negligence or willful misconduct on the part of the Secured Party delivering any such Veto Notice). No Secured Party assumes any responsibility for any failure or delay in performance or breach by any Grantor or any Secured Party of its obligations under this Agreement or any other Transaction Document. No Secured Party makes to any other Secured Party any express or implied warranty, representation or guarantee with respect to any Secured Obligations, Collateral, Transaction Document or Grantor. No Secured Party nor any of its officers, directors, employees, attorneys or agents shall be responsible to any other Secured Party or any of its officers, directors, employees, attorneys or agents for: (i) any recitals, statements, information, representations or warranties contained in any of the Transaction Documents or in any certificate or other document furnished pursuant to the terms hereof; (ii) the execution, validity, genuineness, effectiveness or enforceability of any of the Transaction Documents; (iii) the validity, genuinenes s, enforceability, collectability, value, sufficiency or existence of any Collateral, or the attachment, perfection or priority of any Lien therein; or (iv) the assets, liabilities, financial condition, results of operations, business, creditworthiness or legal status of any Grantor or any Account Debtor. No Secured Party nor any of its officers, directors, employees, attorneys or agents shall have any obligation to any other Secured Party to ascertain or inquire into the existence of any default or Event of Default, the observance or performance by any Grantor of any of the duties or agreements of such Grantor under any of the Transaction Documents or the satisfaction of any conditions precedent contained in any of the Transaction Documents.</w:t>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5" w:name="page116"/>
    <w:bookmarkEnd w:id="115"/>
    <w:p>
      <w:pPr>
        <w:jc w:val="both"/>
        <w:ind w:left="760" w:firstLine="803"/>
        <w:spacing w:after="0" w:line="286" w:lineRule="auto"/>
        <w:tabs>
          <w:tab w:leader="none" w:pos="231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Each Secured Party hereby acknowledges and represents that it has, independently and without reliance upon any other Secured Party, and based upon such documents, information and analyses as it has deemed appropriate, made its own credit analysis of each Grantor and its own decision to enter into the Transaction Documents and to purchase the Notes and Warrants, and each Secured Party has made such inquiries concerning the Transaction Documents, the Collateral and each Grantor as such Secured Party feels necessary and appropriate, and has taken such care on its own behalf as would have been the case had it entered into the Transaction Documents without any other Secured Party. Each Secured Party hereby further acknowledges and represents that the othe r Secured Parties have not made any representations or warranties to it concerning any Grantor, any of the Collateral or the legality, validity, sufficiency or enforceability of any of the Transaction Documents. Each Secured Party also hereby acknowledges that it will, independently and without reliance upon the other Secured Parties, and based upon such financial statements, documents and information as it deems appropriate at the time, continue to make and rely upon its own credit decisions in taking or refraining to take any other action under this Agreement or the Transaction Documents. No Secured Party shall have any duty or responsibility to provide any other Secured Party with any notices, reports or certificates furnished to such Secured Party by any Grantor or any credit or other information concerning the affairs, financial condition, business or assets of any Grantor (or any of its affiliates) which may come into possession of such Secured Party.</w:t>
      </w:r>
    </w:p>
    <w:p>
      <w:pPr>
        <w:spacing w:after="0" w:line="171" w:lineRule="exact"/>
        <w:rPr>
          <w:rFonts w:ascii="Arial" w:cs="Arial" w:eastAsia="Arial" w:hAnsi="Arial"/>
          <w:sz w:val="16"/>
          <w:szCs w:val="16"/>
          <w:color w:val="auto"/>
        </w:rPr>
      </w:pPr>
    </w:p>
    <w:p>
      <w:pPr>
        <w:ind w:left="1480" w:hanging="727"/>
        <w:spacing w:after="0"/>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Indemnity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803"/>
        <w:spacing w:after="0" w:line="273" w:lineRule="auto"/>
        <w:tabs>
          <w:tab w:leader="none" w:pos="2345" w:val="left"/>
        </w:tabs>
        <w:numPr>
          <w:ilvl w:val="1"/>
          <w:numId w:val="143"/>
        </w:numPr>
        <w:rPr>
          <w:rFonts w:ascii="Arial" w:cs="Arial" w:eastAsia="Arial" w:hAnsi="Arial"/>
          <w:sz w:val="17"/>
          <w:szCs w:val="17"/>
          <w:color w:val="auto"/>
        </w:rPr>
      </w:pPr>
      <w:r>
        <w:rPr>
          <w:rFonts w:ascii="Arial" w:cs="Arial" w:eastAsia="Arial" w:hAnsi="Arial"/>
          <w:sz w:val="17"/>
          <w:szCs w:val="17"/>
          <w:color w:val="auto"/>
        </w:rPr>
        <w:t>Without limiting any obligations of Parent under the Securities Purchase Agreement, each Grantor agrees to indemnify all Secured Parties from and against all claims, lawsuits and liabilities (including attorneys’ fees) arising out of or resulting from this Agreement (including enforcement of this Agreement) or any other Transaction Document, except claims, losses or liabilities resulting from the gross negligence or willful misconduct of the party seeking indemnification as determined by a final non-appealable order of a court of competent jurisdiction. This provision shall survive the termination of this Agreement and the Transaction Documents and the Satisfaction in Full of the Secured Obligations.</w:t>
      </w:r>
    </w:p>
    <w:p>
      <w:pPr>
        <w:spacing w:after="0" w:line="178" w:lineRule="exact"/>
        <w:rPr>
          <w:rFonts w:ascii="Arial" w:cs="Arial" w:eastAsia="Arial" w:hAnsi="Arial"/>
          <w:sz w:val="17"/>
          <w:szCs w:val="17"/>
          <w:color w:val="auto"/>
        </w:rPr>
      </w:pPr>
    </w:p>
    <w:p>
      <w:pPr>
        <w:jc w:val="both"/>
        <w:ind w:left="760" w:firstLine="803"/>
        <w:spacing w:after="0" w:line="297" w:lineRule="auto"/>
        <w:tabs>
          <w:tab w:leader="none" w:pos="236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Grantors, jointly and severally, shall, upon demand, pay to each Secured Party all of the costs and expenses which such Secured Party may incur in connection with (i) the administration of this Agreement, (ii) the custody, preservation, use or operation of, or, upon an Event of Default, the sale of, collection from, or other realization upon, any of the Collateral in accordance with this Agreement and the other Transaction Documents, (iii) the exercise or enforcement of any of the rights of such Secured Party hereunder or (iv) the failure by any Grantor to perform or observe any of the provisions hereof.</w:t>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6" w:name="page117"/>
    <w:bookmarkEnd w:id="116"/>
    <w:p>
      <w:pPr>
        <w:jc w:val="both"/>
        <w:ind w:left="100" w:firstLine="653"/>
        <w:spacing w:after="0" w:line="268" w:lineRule="auto"/>
        <w:tabs>
          <w:tab w:leader="none" w:pos="1495"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Merger, Amendments; Etc.</w:t>
      </w:r>
      <w:r>
        <w:rPr>
          <w:rFonts w:ascii="Arial" w:cs="Arial" w:eastAsia="Arial" w:hAnsi="Arial"/>
          <w:sz w:val="17"/>
          <w:szCs w:val="17"/>
          <w:color w:val="auto"/>
        </w:rPr>
        <w:t xml:space="preserve"> THIS AGREEMENT, TOGETHER WITH THE OTHER TRANSACTION DOCUMENTS, REPRESENTS THE FINAL AGREEMENT BETWEEN THE PARTIES SOLELY WITH RESPECT TO THE SUBJECT MATTER HEREOF AND THEREOF AND MAY NOT BE CONTRADICTED BY EVIDENCE OF PRIOR, CONTEMPORANEOUS OR SUBSEQUENT ORAL AGREEMENTS OF THE PARTIES. THERE ARE NO UNWRITTEN AGREEMENTS BETWEEN THE PARTIES. No provision of this Agreement may be amended other than by an instrument in writing signed by each Grantor and each Significant Secured Party, and any amendment to any provision of this Agreement made in conformity with the provisions of this Section 22 shall be binding on all Secured Parties, provided that no such amend ment shall be effective to the extent that it (1) applies to less than all of the Secured Parties or (2) imposes any obligation or liability on any Secured Party without such Secured Party’s prior written consent (which may be granted or withheld in such Secured Party’s sole discretion). No waiver shall be effective unless it is in writing and signed by an authorized representative of the waiving party, provided that all of the Significant Secured Parties (in a writing signed by all of the Significant Secured Parties) may waive any provision of this Agreement, and any waiver of any provision of this Agreement made in conformity with the provisions of this Section 22 shall be binding on all Secured Parties, provided that no such waiver shall be effective to the extent that it (1) applies to less than all the Secured Parties (unless a party gives a waiver as to itself only) or (2) imposes any obligation or liability on any Secured Party without such Secured Party’s prior written consent (whic h may be granted or withheld in such Secured Party’s sole discretion).</w:t>
      </w:r>
    </w:p>
    <w:p>
      <w:pPr>
        <w:spacing w:after="0" w:line="183" w:lineRule="exact"/>
        <w:rPr>
          <w:rFonts w:ascii="Arial" w:cs="Arial" w:eastAsia="Arial" w:hAnsi="Arial"/>
          <w:sz w:val="17"/>
          <w:szCs w:val="17"/>
          <w:color w:val="auto"/>
        </w:rPr>
      </w:pPr>
    </w:p>
    <w:p>
      <w:pPr>
        <w:jc w:val="both"/>
        <w:ind w:left="100" w:firstLine="653"/>
        <w:spacing w:after="0" w:line="255" w:lineRule="auto"/>
        <w:tabs>
          <w:tab w:leader="none" w:pos="153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Addresses for Notices</w:t>
      </w:r>
      <w:r>
        <w:rPr>
          <w:rFonts w:ascii="Arial" w:cs="Arial" w:eastAsia="Arial" w:hAnsi="Arial"/>
          <w:sz w:val="18"/>
          <w:szCs w:val="18"/>
          <w:color w:val="auto"/>
        </w:rPr>
        <w:t>. All notices and other communications provided for hereunder (a) shall be given in the form and manner set forth in the Securities Purchase Agreement and (b) shall be delivered, (i) in the case of notice to any Grantor, by delivery of such notice to Parent at Parent’s address specified in the Securities Purchase Agreement or at such other address as shall be designated by Parent in a written notice to each of the Secured Parties in accordance with the provisions thereof, and (ii) in the case of notice to any Secured Party, by delivery of such notice to such Secured Party at its address specified in the Securities Purchase Agreement or at such other address as shall be designa ted by such Secured Party in a written notice to Parent and each other Secured Party in accordance with the provisions thereof.</w:t>
      </w:r>
    </w:p>
    <w:p>
      <w:pPr>
        <w:spacing w:after="0" w:line="189" w:lineRule="exact"/>
        <w:rPr>
          <w:rFonts w:ascii="Arial" w:cs="Arial" w:eastAsia="Arial" w:hAnsi="Arial"/>
          <w:sz w:val="18"/>
          <w:szCs w:val="18"/>
          <w:color w:val="auto"/>
        </w:rPr>
      </w:pPr>
    </w:p>
    <w:p>
      <w:pPr>
        <w:jc w:val="both"/>
        <w:ind w:left="100" w:firstLine="653"/>
        <w:spacing w:after="0" w:line="267" w:lineRule="auto"/>
        <w:tabs>
          <w:tab w:leader="none" w:pos="1657"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Separate, Continuing Security Interests; Assignments under Transaction Documents.</w:t>
      </w:r>
      <w:r>
        <w:rPr>
          <w:rFonts w:ascii="Arial" w:cs="Arial" w:eastAsia="Arial" w:hAnsi="Arial"/>
          <w:sz w:val="17"/>
          <w:szCs w:val="17"/>
          <w:color w:val="auto"/>
        </w:rPr>
        <w:t xml:space="preserve"> This Agreement shall create a separate, continuing security interest in the Collateral in favor of each Secured Party and shall (a) remain in full force and effect until Satisfaction in Full of the Secured Obligations, (b) be binding upon each of Grantors, and their respective permitted successors and permitted assigns, and (c) inure to the benefit of, and be enforceable by, the Secured Parties and their respective successors, transferees and assigns. Without limiting the generality of the foregoing clause (c), any Secured Party may, in accordance with the provisions of the Transaction Documents, assi gn or otherwise transfer all or any portion of its rights and obligations under the Transaction Documents to any other Person, and such other Person shall thereupon become vested with all the benefits in respect thereof granted to such Secured Party herein or otherwise. Upon Satisfaction in Full of the Secured Obligations, the Security Interests granted hereby shall terminate and all rights to the Collateral shall revert to Grantors or any other Person entitled thereto. At such time, each Secured Party will authorize the filing of appropriate termination statements to terminate such Security Interests. No transfer or renewal, extension, assignment, or termination of this Agreement or any other Transaction Document, or any other instrument or document executed and delivered by any Grantor to any Secured Party nor any additional loans made by any Secured Party to any Grantor, nor the taking of further security, nor the retaking or re-delivery of the Collateral to Grantors, or any of them, by any Sec ured Party, nor any other act of Secured Parties, or any of them, shall release any of Grantors from any obligation, except a release or discharge executed in writing by all Secured Parties. No Secured Party shall by any act, delay, omission or otherwise, be deemed to have waived any of its rights or remedies hereunder, unless such waiver is in writing and signed by such Secured Party and then only to the extent therein set forth. A waiver by any Secured Party of any right or remedy on any occasion shall not be construed as a bar to the exercise of any such right or remedy which such Secured Party would otherwise have had on any other occasion.</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7" w:name="page118"/>
    <w:bookmarkEnd w:id="117"/>
    <w:p>
      <w:pPr>
        <w:jc w:val="both"/>
        <w:ind w:left="100" w:firstLine="653"/>
        <w:spacing w:after="0" w:line="283" w:lineRule="auto"/>
        <w:tabs>
          <w:tab w:leader="none" w:pos="1684"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Service of Process; Jury Trial</w:t>
      </w:r>
      <w:r>
        <w:rPr>
          <w:rFonts w:ascii="Arial" w:cs="Arial" w:eastAsia="Arial" w:hAnsi="Arial"/>
          <w:sz w:val="16"/>
          <w:szCs w:val="16"/>
          <w:color w:val="auto"/>
        </w:rPr>
        <w:t xml:space="preserve">. The parties hereby agree that pursuant to 735 Illinois Compiled Statutes 105/5-5 they have chosen that all questions concerning the construction, validity, enforcement and interpretation of this Agreement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Chicago, Illinois, for the a 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suit seeking enforcement against any Collateral or other property may be brought, at any Secured Party’s option, in the courts of any jurisdiction where such Secured Party elects to bring such action or where such Collateral or other property may be found. Each party hereby irrevocably waives personal service of process and consents to process being served in any such suit, action or proceeding by mailing a c opy thereof to such party at the address for such notices to it under this Agreement and agrees that such service shall constitute good and sufficient service of process and notice thereof. Without limitation of the foregoing, each Grantor other than Parent hereby irrevocably appoints Parent as such Grantor’s agent for purposes of receiving and accepting any service of process hereunder or under any of the other Security Documents.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w:t>
      </w:r>
    </w:p>
    <w:p>
      <w:pPr>
        <w:jc w:val="both"/>
        <w:ind w:left="10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RIGHT IT MAY HAVE TO, AND AGREES NOT TO REQUEST, A JURY TRIAL FOR THE ADJUDICATION OF ANY DISPUTE HEREUNDER OR IN CONNECTION WITH OR ARISING OUT OF THIS AGREEMENT OR ANY TRANSACTION CONTEMPLATED HEREBY.</w:t>
      </w:r>
    </w:p>
    <w:p>
      <w:pPr>
        <w:spacing w:after="0" w:line="190" w:lineRule="exact"/>
        <w:rPr>
          <w:rFonts w:ascii="Arial" w:cs="Arial" w:eastAsia="Arial" w:hAnsi="Arial"/>
          <w:sz w:val="16"/>
          <w:szCs w:val="16"/>
          <w:color w:val="auto"/>
        </w:rPr>
      </w:pPr>
    </w:p>
    <w:p>
      <w:pPr>
        <w:ind w:left="1480" w:hanging="727"/>
        <w:spacing w:after="0"/>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803"/>
        <w:spacing w:after="0" w:line="270" w:lineRule="auto"/>
        <w:tabs>
          <w:tab w:leader="none" w:pos="232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Any party delivering an executed counterpart of this Agreement by facsimile or other electronic method of transmission also shall deliver an origi nal executed counterpart of this Agreement but the failure to deliver an original executed counterpart shall not affect the validity, enforceability, and binding effect of this Agreement. The foregoing shall apply to each other Security Document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760" w:firstLine="803"/>
        <w:spacing w:after="0" w:line="264" w:lineRule="auto"/>
        <w:tabs>
          <w:tab w:leader="none" w:pos="240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8" w:name="page119"/>
    <w:bookmarkEnd w:id="118"/>
    <w:p>
      <w:pPr>
        <w:ind w:left="760" w:right="20" w:firstLine="803"/>
        <w:spacing w:after="0" w:line="277" w:lineRule="auto"/>
        <w:tabs>
          <w:tab w:leader="none" w:pos="247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Headings used in this Agreement are for convenience only and shall not be used in connection with the interpretation of any provision hereof.</w:t>
      </w:r>
    </w:p>
    <w:p>
      <w:pPr>
        <w:spacing w:after="0" w:line="170" w:lineRule="exact"/>
        <w:rPr>
          <w:rFonts w:ascii="Arial" w:cs="Arial" w:eastAsia="Arial" w:hAnsi="Arial"/>
          <w:sz w:val="18"/>
          <w:szCs w:val="18"/>
          <w:color w:val="auto"/>
        </w:rPr>
      </w:pPr>
    </w:p>
    <w:p>
      <w:pPr>
        <w:ind w:left="760" w:firstLine="803"/>
        <w:spacing w:after="0" w:line="277" w:lineRule="auto"/>
        <w:tabs>
          <w:tab w:leader="none" w:pos="22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pronouns used herein shall include, when appropriate, either gender and both singular and plural, and the grammatical construction of sentences shall conform thereto.</w:t>
      </w:r>
    </w:p>
    <w:p>
      <w:pPr>
        <w:spacing w:after="0" w:line="170" w:lineRule="exact"/>
        <w:rPr>
          <w:rFonts w:ascii="Arial" w:cs="Arial" w:eastAsia="Arial" w:hAnsi="Arial"/>
          <w:sz w:val="18"/>
          <w:szCs w:val="18"/>
          <w:color w:val="auto"/>
        </w:rPr>
      </w:pPr>
    </w:p>
    <w:p>
      <w:pPr>
        <w:jc w:val="both"/>
        <w:ind w:left="760" w:firstLine="803"/>
        <w:spacing w:after="0" w:line="264" w:lineRule="auto"/>
        <w:tabs>
          <w:tab w:leader="none" w:pos="228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 For clarification purposes, the Recitals are part of this Agreement.</w:t>
      </w:r>
    </w:p>
    <w:p>
      <w:pPr>
        <w:spacing w:after="0" w:line="181" w:lineRule="exact"/>
        <w:rPr>
          <w:rFonts w:ascii="Arial" w:cs="Arial" w:eastAsia="Arial" w:hAnsi="Arial"/>
          <w:sz w:val="18"/>
          <w:szCs w:val="18"/>
          <w:color w:val="auto"/>
        </w:rPr>
      </w:pPr>
    </w:p>
    <w:p>
      <w:pPr>
        <w:jc w:val="both"/>
        <w:ind w:left="760" w:firstLine="803"/>
        <w:spacing w:after="0" w:line="285" w:lineRule="auto"/>
        <w:tabs>
          <w:tab w:leader="none" w:pos="259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Unless the context of this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Transaction Document refer to this Agreement or such other Transaction Document, as the case may be, as a whole and not to any particular provision of this Agreement or such other Transaction Document, as the case may be. Section, subsection, clause, schedule, and exhibit references herein are to this Agreement unless otherwise specified. Any reference in this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w:t>
      </w:r>
      <w:r>
        <w:rPr>
          <w:rFonts w:ascii="Arial" w:cs="Arial" w:eastAsia="Arial" w:hAnsi="Arial"/>
          <w:sz w:val="16"/>
          <w:szCs w:val="16"/>
          <w:b w:val="1"/>
          <w:bCs w:val="1"/>
          <w:color w:val="auto"/>
        </w:rPr>
        <w:t>Satisfaction in Full of the Secured Obligations</w:t>
      </w:r>
      <w:r>
        <w:rPr>
          <w:rFonts w:ascii="Arial" w:cs="Arial" w:eastAsia="Arial" w:hAnsi="Arial"/>
          <w:sz w:val="16"/>
          <w:szCs w:val="16"/>
          <w:color w:val="auto"/>
        </w:rPr>
        <w:t>” shall mean the indefeasible payment in full in cash and discharge, or other satisfaction in accordance with the terms of the Transaction Documents and discharge, of all Secured Obligations in full. Any reference herein to any Person shall be construed to include such Perso n’s permitted successors and permitted assigns. Any requirement of a writing contained herein or in any other Transaction Document shall be satisfied by the transmission of a Record and any Record so transmitted shall constitute a representation and warranty as to the accuracy and completeness of the information contained therein.</w:t>
      </w:r>
    </w:p>
    <w:p>
      <w:pPr>
        <w:spacing w:after="0" w:line="177" w:lineRule="exact"/>
        <w:rPr>
          <w:rFonts w:ascii="Arial" w:cs="Arial" w:eastAsia="Arial" w:hAnsi="Arial"/>
          <w:sz w:val="16"/>
          <w:szCs w:val="16"/>
          <w:color w:val="auto"/>
        </w:rPr>
      </w:pPr>
    </w:p>
    <w:p>
      <w:pPr>
        <w:jc w:val="both"/>
        <w:ind w:left="760" w:firstLine="803"/>
        <w:spacing w:after="0" w:line="255" w:lineRule="auto"/>
        <w:tabs>
          <w:tab w:leader="none" w:pos="237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dollar amounts referred to in this Agreement and the other Transaction Documents are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and all amounts owing under this Agreement and all other Transaction Documents shall be paid in U.S. Dollars. All amounts denominated in other currencies shall be converted in the U.S. Dollar equivalent amount in accordance with the Exchange Rate on the date of calculation. “</w:t>
      </w:r>
      <w:r>
        <w:rPr>
          <w:rFonts w:ascii="Arial" w:cs="Arial" w:eastAsia="Arial" w:hAnsi="Arial"/>
          <w:sz w:val="18"/>
          <w:szCs w:val="18"/>
          <w:b w:val="1"/>
          <w:bCs w:val="1"/>
          <w:color w:val="auto"/>
        </w:rPr>
        <w:t>Exchange Rate</w:t>
      </w:r>
      <w:r>
        <w:rPr>
          <w:rFonts w:ascii="Arial" w:cs="Arial" w:eastAsia="Arial" w:hAnsi="Arial"/>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19" w:name="page120"/>
    <w:bookmarkEnd w:id="119"/>
    <w:p>
      <w:pPr>
        <w:ind w:left="100" w:firstLine="648"/>
        <w:spacing w:after="0" w:line="277" w:lineRule="auto"/>
        <w:rPr>
          <w:sz w:val="20"/>
          <w:szCs w:val="20"/>
          <w:color w:val="auto"/>
        </w:rPr>
      </w:pPr>
      <w:r>
        <w:rPr>
          <w:rFonts w:ascii="Arial" w:cs="Arial" w:eastAsia="Arial" w:hAnsi="Arial"/>
          <w:sz w:val="18"/>
          <w:szCs w:val="18"/>
          <w:color w:val="auto"/>
        </w:rPr>
        <w:t>IN WITNESS WHEREOF, the undersigned parties hereto have executed this Agreement by and through their duly authorized officers, as of the day and year first above written.</w:t>
      </w:r>
    </w:p>
    <w:p>
      <w:pPr>
        <w:spacing w:after="0" w:line="166" w:lineRule="exact"/>
        <w:rPr>
          <w:sz w:val="20"/>
          <w:szCs w:val="20"/>
          <w:color w:val="auto"/>
        </w:rPr>
      </w:pPr>
    </w:p>
    <w:p>
      <w:pPr>
        <w:ind w:left="760"/>
        <w:spacing w:after="0"/>
        <w:tabs>
          <w:tab w:leader="none" w:pos="438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color w:val="auto"/>
        </w:rPr>
        <w:t>TAPIMMUNE INC., a Nevada corporation</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GENEMAX PHARMACEUTICALS INC., a Delaware corporation</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00" w:right="240"/>
        <w:spacing w:after="0" w:line="277" w:lineRule="auto"/>
        <w:rPr>
          <w:sz w:val="20"/>
          <w:szCs w:val="20"/>
          <w:color w:val="auto"/>
        </w:rPr>
      </w:pPr>
      <w:r>
        <w:rPr>
          <w:rFonts w:ascii="Arial" w:cs="Arial" w:eastAsia="Arial" w:hAnsi="Arial"/>
          <w:sz w:val="18"/>
          <w:szCs w:val="18"/>
          <w:color w:val="auto"/>
        </w:rPr>
        <w:t>GENEMAX PHARMACEUTICALS CANADA INC., a corporation existing pursuant to the British Columbia Business Corporations Act</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20" w:name="page121"/>
    <w:bookmarkEnd w:id="120"/>
    <w:p>
      <w:pPr>
        <w:ind w:left="760"/>
        <w:spacing w:after="0"/>
        <w:tabs>
          <w:tab w:leader="none" w:pos="4380" w:val="left"/>
        </w:tabs>
        <w:rPr>
          <w:sz w:val="20"/>
          <w:szCs w:val="20"/>
          <w:color w:val="auto"/>
        </w:rPr>
      </w:pPr>
      <w:r>
        <w:rPr>
          <w:rFonts w:ascii="Arial" w:cs="Arial" w:eastAsia="Arial" w:hAnsi="Arial"/>
          <w:sz w:val="18"/>
          <w:szCs w:val="18"/>
          <w:b w:val="1"/>
          <w:bCs w:val="1"/>
          <w:color w:val="auto"/>
        </w:rPr>
        <w:t>SECURED PARTIES:</w:t>
      </w:r>
      <w:r>
        <w:rPr>
          <w:sz w:val="20"/>
          <w:szCs w:val="20"/>
          <w:color w:val="auto"/>
        </w:rPr>
        <w:tab/>
      </w:r>
      <w:r>
        <w:rPr>
          <w:rFonts w:ascii="Arial" w:cs="Arial" w:eastAsia="Arial" w:hAnsi="Arial"/>
          <w:sz w:val="17"/>
          <w:szCs w:val="17"/>
          <w:color w:val="auto"/>
        </w:rPr>
        <w:t>IROQUOIS MASTER FUND LTD.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By: Joshua Silverman,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21" w:name="page122"/>
    <w:bookmarkEnd w:id="121"/>
    <w:p>
      <w:pPr>
        <w:jc w:val="center"/>
        <w:ind w:right="-9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COPYRIGHT SECURITY AGREEMENT</w:t>
      </w:r>
    </w:p>
    <w:p>
      <w:pPr>
        <w:spacing w:after="0" w:line="225" w:lineRule="exact"/>
        <w:rPr>
          <w:sz w:val="20"/>
          <w:szCs w:val="20"/>
          <w:color w:val="auto"/>
        </w:rPr>
      </w:pPr>
    </w:p>
    <w:p>
      <w:pPr>
        <w:jc w:val="both"/>
        <w:ind w:left="100" w:right="20" w:firstLine="648"/>
        <w:spacing w:after="0" w:line="266" w:lineRule="auto"/>
        <w:rPr>
          <w:sz w:val="20"/>
          <w:szCs w:val="20"/>
          <w:color w:val="auto"/>
        </w:rPr>
      </w:pPr>
      <w:r>
        <w:rPr>
          <w:rFonts w:ascii="Arial" w:cs="Arial" w:eastAsia="Arial" w:hAnsi="Arial"/>
          <w:sz w:val="18"/>
          <w:szCs w:val="18"/>
          <w:color w:val="auto"/>
        </w:rPr>
        <w:t>This COPYRIGHT SECURITY AGREEMENT (this “</w:t>
      </w:r>
      <w:r>
        <w:rPr>
          <w:rFonts w:ascii="Arial" w:cs="Arial" w:eastAsia="Arial" w:hAnsi="Arial"/>
          <w:sz w:val="18"/>
          <w:szCs w:val="18"/>
          <w:b w:val="1"/>
          <w:bCs w:val="1"/>
          <w:color w:val="auto"/>
        </w:rPr>
        <w:t>Copyright Security Agreement</w:t>
      </w:r>
      <w:r>
        <w:rPr>
          <w:rFonts w:ascii="Arial" w:cs="Arial" w:eastAsia="Arial" w:hAnsi="Arial"/>
          <w:sz w:val="18"/>
          <w:szCs w:val="18"/>
          <w:color w:val="auto"/>
        </w:rPr>
        <w:t>”) is made this [___] day of May 2010, by the Grantors listed on the signature pages hereof (collectively, jointly and severally, “</w:t>
      </w:r>
      <w:r>
        <w:rPr>
          <w:rFonts w:ascii="Arial" w:cs="Arial" w:eastAsia="Arial" w:hAnsi="Arial"/>
          <w:sz w:val="18"/>
          <w:szCs w:val="18"/>
          <w:b w:val="1"/>
          <w:bCs w:val="1"/>
          <w:color w:val="auto"/>
        </w:rPr>
        <w:t>Grantors</w:t>
      </w:r>
      <w:r>
        <w:rPr>
          <w:rFonts w:ascii="Arial" w:cs="Arial" w:eastAsia="Arial" w:hAnsi="Arial"/>
          <w:sz w:val="18"/>
          <w:szCs w:val="18"/>
          <w:color w:val="auto"/>
        </w:rPr>
        <w:t>” and each individually “</w:t>
      </w:r>
      <w:r>
        <w:rPr>
          <w:rFonts w:ascii="Arial" w:cs="Arial" w:eastAsia="Arial" w:hAnsi="Arial"/>
          <w:sz w:val="18"/>
          <w:szCs w:val="18"/>
          <w:b w:val="1"/>
          <w:bCs w:val="1"/>
          <w:color w:val="auto"/>
        </w:rPr>
        <w:t>Grantor</w:t>
      </w:r>
      <w:r>
        <w:rPr>
          <w:rFonts w:ascii="Arial" w:cs="Arial" w:eastAsia="Arial" w:hAnsi="Arial"/>
          <w:sz w:val="18"/>
          <w:szCs w:val="18"/>
          <w:color w:val="auto"/>
        </w:rPr>
        <w:t>”), in favor of the Secured Parties under and as defined in the below-described Security Agreement.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100" w:firstLine="648"/>
        <w:spacing w:after="0" w:line="302" w:lineRule="auto"/>
        <w:rPr>
          <w:sz w:val="20"/>
          <w:szCs w:val="20"/>
          <w:color w:val="auto"/>
        </w:rPr>
      </w:pPr>
      <w:r>
        <w:rPr>
          <w:rFonts w:ascii="Arial" w:cs="Arial" w:eastAsia="Arial" w:hAnsi="Arial"/>
          <w:sz w:val="16"/>
          <w:szCs w:val="16"/>
          <w:color w:val="auto"/>
        </w:rPr>
        <w:t>WHEREAS, pursuant to that certain Securities Purchase Agreement, dated as of May 17, 2010 (as may be amended, restated, supplemented, or otherwise modified from time to time, including all schedules thereto, collectively, the “</w:t>
      </w:r>
      <w:r>
        <w:rPr>
          <w:rFonts w:ascii="Arial" w:cs="Arial" w:eastAsia="Arial" w:hAnsi="Arial"/>
          <w:sz w:val="16"/>
          <w:szCs w:val="16"/>
          <w:b w:val="1"/>
          <w:bCs w:val="1"/>
          <w:color w:val="auto"/>
        </w:rPr>
        <w:t>Securities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among TapImmune Inc., a Nevada corporation (“</w:t>
      </w:r>
      <w:r>
        <w:rPr>
          <w:rFonts w:ascii="Arial" w:cs="Arial" w:eastAsia="Arial" w:hAnsi="Arial"/>
          <w:sz w:val="16"/>
          <w:szCs w:val="16"/>
          <w:b w:val="1"/>
          <w:bCs w:val="1"/>
          <w:color w:val="auto"/>
        </w:rPr>
        <w:t>Parent</w:t>
      </w:r>
      <w:r>
        <w:rPr>
          <w:rFonts w:ascii="Arial" w:cs="Arial" w:eastAsia="Arial" w:hAnsi="Arial"/>
          <w:sz w:val="16"/>
          <w:szCs w:val="16"/>
          <w:color w:val="auto"/>
        </w:rPr>
        <w:t>”), and each of the Secured Parties, Parent has agreed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of the Secured Parties have each agreed to purchase, severally and not jointly, certain Notes and Warrants; and</w:t>
      </w:r>
    </w:p>
    <w:p>
      <w:pPr>
        <w:spacing w:after="0" w:line="154"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18"/>
          <w:szCs w:val="18"/>
          <w:color w:val="auto"/>
        </w:rPr>
        <w:t>WHEREAS, in order to induce each of the Secured Parties to purchase, severally and not jointly, the Notes and Warrants as provided for in the Securities Purchase Agreement, Grantors have executed and delivered to each of the Secured Parties that certain Security Agreement of even date herewith (including all annexes, exhibits or schedules thereto, as from time to time amended, restated, supplemented or otherwise modified, the “</w:t>
      </w:r>
      <w:r>
        <w:rPr>
          <w:rFonts w:ascii="Arial" w:cs="Arial" w:eastAsia="Arial" w:hAnsi="Arial"/>
          <w:sz w:val="18"/>
          <w:szCs w:val="18"/>
          <w:b w:val="1"/>
          <w:bCs w:val="1"/>
          <w:color w:val="auto"/>
        </w:rPr>
        <w:t>Security Agreement</w:t>
      </w:r>
      <w:r>
        <w:rPr>
          <w:rFonts w:ascii="Arial" w:cs="Arial" w:eastAsia="Arial" w:hAnsi="Arial"/>
          <w:sz w:val="18"/>
          <w:szCs w:val="18"/>
          <w:color w:val="auto"/>
        </w:rPr>
        <w:t>”); and</w:t>
      </w:r>
    </w:p>
    <w:p>
      <w:pPr>
        <w:spacing w:after="0" w:line="187"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WHEREAS, pursuant to the Security Agreement, Grantors are required to execute and deliver to each of the Secured Parties this Copyright Security Agreement.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9"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Grantors hereby agree as follows:</w:t>
      </w:r>
    </w:p>
    <w:p>
      <w:pPr>
        <w:spacing w:after="0" w:line="170" w:lineRule="exact"/>
        <w:rPr>
          <w:sz w:val="20"/>
          <w:szCs w:val="20"/>
          <w:color w:val="auto"/>
        </w:rPr>
      </w:pPr>
    </w:p>
    <w:p>
      <w:pPr>
        <w:ind w:left="100" w:right="180" w:firstLine="653"/>
        <w:spacing w:after="0" w:line="277" w:lineRule="auto"/>
        <w:tabs>
          <w:tab w:leader="none" w:pos="137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but not otherwise defined herein have the meanings given to them in the Security Agreement.</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5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COPYRIGHT COLLATERAL</w:t>
      </w:r>
      <w:r>
        <w:rPr>
          <w:rFonts w:ascii="Arial" w:cs="Arial" w:eastAsia="Arial" w:hAnsi="Arial"/>
          <w:sz w:val="18"/>
          <w:szCs w:val="18"/>
          <w:color w:val="auto"/>
        </w:rPr>
        <w:t>. Each Grantor hereby grants to each Secured Party a continuing first priority security interest in all of such Grantor’s right, title and interest in, to and under the following, whether presently existing or hereafter created or acquired (collectively, the “</w:t>
      </w:r>
      <w:r>
        <w:rPr>
          <w:rFonts w:ascii="Arial" w:cs="Arial" w:eastAsia="Arial" w:hAnsi="Arial"/>
          <w:sz w:val="18"/>
          <w:szCs w:val="18"/>
          <w:b w:val="1"/>
          <w:bCs w:val="1"/>
          <w:color w:val="auto"/>
        </w:rPr>
        <w:t>Copyright Collateral</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0" w:firstLine="1301"/>
        <w:spacing w:after="0" w:line="277" w:lineRule="auto"/>
        <w:tabs>
          <w:tab w:leader="none" w:pos="220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all of each Grantor’s Copyrights and Copyright Intellectual Property Licenses to which it is a party including those referred to on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2100" w:hanging="699"/>
        <w:spacing w:after="0"/>
        <w:tabs>
          <w:tab w:leader="none" w:pos="21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reissues, continuations or extensions of the foregoing; and</w:t>
      </w:r>
    </w:p>
    <w:p>
      <w:pPr>
        <w:spacing w:after="0" w:line="225" w:lineRule="exact"/>
        <w:rPr>
          <w:rFonts w:ascii="Arial" w:cs="Arial" w:eastAsia="Arial" w:hAnsi="Arial"/>
          <w:sz w:val="18"/>
          <w:szCs w:val="18"/>
          <w:color w:val="auto"/>
        </w:rPr>
      </w:pPr>
    </w:p>
    <w:p>
      <w:pPr>
        <w:ind w:left="100" w:firstLine="1301"/>
        <w:spacing w:after="0" w:line="308" w:lineRule="auto"/>
        <w:tabs>
          <w:tab w:leader="none" w:pos="2192"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all products and proceeds of the foregoing, including any claim by such Grantor against third parties for past, present or future infringement or dilution of any Copyright or any Copyright licensed under any Intellectual Property License.</w:t>
      </w: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702" w:right="239" w:bottom="1440" w:gutter="0" w:footer="0" w:header="0"/>
        </w:sectPr>
      </w:pPr>
    </w:p>
    <w:bookmarkStart w:id="122" w:name="page123"/>
    <w:bookmarkEnd w:id="122"/>
    <w:p>
      <w:pPr>
        <w:jc w:val="both"/>
        <w:ind w:left="100" w:firstLine="653"/>
        <w:spacing w:after="0" w:line="276" w:lineRule="auto"/>
        <w:tabs>
          <w:tab w:leader="none" w:pos="1405"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SECURITY FOR OBLIGATIONS</w:t>
      </w:r>
      <w:r>
        <w:rPr>
          <w:rFonts w:ascii="Arial" w:cs="Arial" w:eastAsia="Arial" w:hAnsi="Arial"/>
          <w:sz w:val="17"/>
          <w:szCs w:val="17"/>
          <w:color w:val="auto"/>
        </w:rPr>
        <w:t>. This Copyright Security Agreement and the Security Interests created hereby secures the payment and performance of all the Secured Obligations, whether now existing or arising hereafter. Without limiting the generality of the foregoing, this Copyright Security Agreement secures the payment of all amounts which constitute part of the Secured Obligations and would be owed by Grantors, or any of them, to Secured Parties, or any of them, whether or not they are unenforceable or not allowable due to the existence of an Insolvency Proceeding involving any Grantor.</w:t>
      </w:r>
    </w:p>
    <w:p>
      <w:pPr>
        <w:spacing w:after="0" w:line="172" w:lineRule="exact"/>
        <w:rPr>
          <w:rFonts w:ascii="Arial" w:cs="Arial" w:eastAsia="Arial" w:hAnsi="Arial"/>
          <w:sz w:val="17"/>
          <w:szCs w:val="17"/>
          <w:color w:val="auto"/>
        </w:rPr>
      </w:pPr>
    </w:p>
    <w:p>
      <w:pPr>
        <w:jc w:val="both"/>
        <w:ind w:left="100" w:firstLine="653"/>
        <w:spacing w:after="0" w:line="257" w:lineRule="auto"/>
        <w:tabs>
          <w:tab w:leader="none" w:pos="140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interests granted pursuant to this Copyright Security Agreement are granted in conjunction with the security interests granted to Secured Parties pursuant to the Security Agreement. Each Grantor hereby acknowledges and affirms that the rights and remedies of Secured Parties with respect to their respective security interests in the Copyright Collateral made and granted hereby are more fully set forth in the Security Agreement, the terms and provisions of which are incorporated by reference herein as if fully set forth herein.</w:t>
      </w:r>
    </w:p>
    <w:p>
      <w:pPr>
        <w:spacing w:after="0" w:line="188" w:lineRule="exact"/>
        <w:rPr>
          <w:rFonts w:ascii="Arial" w:cs="Arial" w:eastAsia="Arial" w:hAnsi="Arial"/>
          <w:sz w:val="18"/>
          <w:szCs w:val="18"/>
          <w:color w:val="auto"/>
        </w:rPr>
      </w:pPr>
    </w:p>
    <w:p>
      <w:pPr>
        <w:jc w:val="both"/>
        <w:ind w:left="100" w:firstLine="653"/>
        <w:spacing w:after="0" w:line="286" w:lineRule="auto"/>
        <w:tabs>
          <w:tab w:leader="none" w:pos="1594"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AUTHORIZATION TO SUPPLEMENT</w:t>
      </w:r>
      <w:r>
        <w:rPr>
          <w:rFonts w:ascii="Arial" w:cs="Arial" w:eastAsia="Arial" w:hAnsi="Arial"/>
          <w:sz w:val="16"/>
          <w:szCs w:val="16"/>
          <w:color w:val="auto"/>
        </w:rPr>
        <w:t xml:space="preserve">. To the extent required under the Security Agreement, Grantors shall give Secured Parties prompt notice in writing of any additional copyright registrations or applications therefor after the date hereof. Grantors hereby authorize Secured Parties unilaterally to modify this Agreement by amending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xml:space="preserve"> to include any future registered copyrights or applications therefor of Grantors. Notwithstanding the foregoing, no failure to so modify this Copyright Security Agreement or amend</w:t>
      </w:r>
    </w:p>
    <w:p>
      <w:pPr>
        <w:spacing w:after="0" w:line="1" w:lineRule="exact"/>
        <w:rPr>
          <w:rFonts w:ascii="Arial" w:cs="Arial" w:eastAsia="Arial" w:hAnsi="Arial"/>
          <w:sz w:val="16"/>
          <w:szCs w:val="16"/>
          <w:color w:val="auto"/>
        </w:rPr>
      </w:pPr>
    </w:p>
    <w:p>
      <w:pPr>
        <w:ind w:left="100" w:right="20"/>
        <w:spacing w:after="0" w:line="261" w:lineRule="auto"/>
        <w:rPr>
          <w:rFonts w:ascii="Arial" w:cs="Arial" w:eastAsia="Arial" w:hAnsi="Arial"/>
          <w:sz w:val="16"/>
          <w:szCs w:val="16"/>
          <w:color w:val="auto"/>
        </w:rPr>
      </w:pPr>
      <w:r>
        <w:rPr>
          <w:rFonts w:ascii="Arial" w:cs="Arial" w:eastAsia="Arial" w:hAnsi="Arial"/>
          <w:sz w:val="18"/>
          <w:szCs w:val="18"/>
          <w:b w:val="1"/>
          <w:bCs w:val="1"/>
          <w:u w:val="single" w:color="auto"/>
          <w:color w:val="auto"/>
        </w:rPr>
        <w:t>Schedule I shall in any way affect, invalidate or detract from any Secured Party’s continuing security interest in all Collateral, whether or not listed on Schedule I.</w:t>
      </w:r>
    </w:p>
    <w:p>
      <w:pPr>
        <w:spacing w:after="0" w:line="183" w:lineRule="exact"/>
        <w:rPr>
          <w:rFonts w:ascii="Arial" w:cs="Arial" w:eastAsia="Arial" w:hAnsi="Arial"/>
          <w:sz w:val="16"/>
          <w:szCs w:val="16"/>
          <w:color w:val="auto"/>
        </w:rPr>
      </w:pPr>
    </w:p>
    <w:p>
      <w:pPr>
        <w:jc w:val="both"/>
        <w:ind w:left="100" w:firstLine="653"/>
        <w:spacing w:after="0" w:line="291" w:lineRule="auto"/>
        <w:tabs>
          <w:tab w:leader="none" w:pos="1500"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Copyright Security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In proving this Copyright Se curity Agreement or any other Transaction Document in any judicial proceedings, it shall not be necessary to produce or account for more than one such counterpart signed by the party against whom such enforcement is sought.</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23" w:name="page124"/>
    <w:bookmarkEnd w:id="123"/>
    <w:p>
      <w:pPr>
        <w:jc w:val="both"/>
        <w:ind w:left="100" w:firstLine="653"/>
        <w:spacing w:after="0" w:line="285" w:lineRule="auto"/>
        <w:tabs>
          <w:tab w:leader="none" w:pos="1405"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Unless the context of this Copyright Security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Copyright Security Agreement or any other Transaction Document refer to this Copyright Security Agreement or such other Transaction Document, as the case may be, as a whole and not to any particular provision of this Copyright Security Agreement or such other Transaction Document, as the case may be. Section, subsection, clause, schedule, and exhibit references herein are to this Copyright Security Agreement unless otherwise specified. Any reference in this Copyright Security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permitted successors and permitted assigns. Any requirement of a writing contained herein or in any other Transaction Document shall be satisfied by the transmission of a Record and any Record so transmitted shall constitute a representation and warranty as to the accuracy and completeness of the information contained therein. The language used in this Copyright Security Agreement will be deemed to be the language chosen by the parties to express their mutual intent, and no rules of strict construction will be applied against any party. For clarification purposes, the Recitals are part of this Copyright Security Agreement.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24" w:name="page125"/>
    <w:bookmarkEnd w:id="124"/>
    <w:p>
      <w:pPr>
        <w:ind w:left="100" w:firstLine="648"/>
        <w:spacing w:after="0" w:line="277" w:lineRule="auto"/>
        <w:rPr>
          <w:sz w:val="20"/>
          <w:szCs w:val="20"/>
          <w:color w:val="auto"/>
        </w:rPr>
      </w:pPr>
      <w:r>
        <w:rPr>
          <w:rFonts w:ascii="Arial" w:cs="Arial" w:eastAsia="Arial" w:hAnsi="Arial"/>
          <w:sz w:val="18"/>
          <w:szCs w:val="18"/>
          <w:color w:val="auto"/>
        </w:rPr>
        <w:t>IN WITNESS WHEREOF, each Grantor has caused this Copyright Security Agreement to be executed and delivered by its duly authorized officer as of the date first set forth above.</w:t>
      </w:r>
    </w:p>
    <w:p>
      <w:pPr>
        <w:spacing w:after="0" w:line="166" w:lineRule="exact"/>
        <w:rPr>
          <w:sz w:val="20"/>
          <w:szCs w:val="20"/>
          <w:color w:val="auto"/>
        </w:rPr>
      </w:pPr>
    </w:p>
    <w:p>
      <w:pPr>
        <w:ind w:left="760"/>
        <w:spacing w:after="0"/>
        <w:tabs>
          <w:tab w:leader="none" w:pos="442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color w:val="auto"/>
        </w:rPr>
        <w:t>TAPIMMUNE INC., a Nevada corporation</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GENEMAX PHARMACEUTICALS INC., a Delaware corporation</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40" w:right="180"/>
        <w:spacing w:after="0" w:line="277" w:lineRule="auto"/>
        <w:rPr>
          <w:sz w:val="20"/>
          <w:szCs w:val="20"/>
          <w:color w:val="auto"/>
        </w:rPr>
      </w:pPr>
      <w:r>
        <w:rPr>
          <w:rFonts w:ascii="Arial" w:cs="Arial" w:eastAsia="Arial" w:hAnsi="Arial"/>
          <w:sz w:val="18"/>
          <w:szCs w:val="18"/>
          <w:color w:val="auto"/>
        </w:rPr>
        <w:t>GENEMAX PHARMACEUTICALS CANADA INC., a corporation existing pursuant to the British Columbia Business Corporations Act</w:t>
      </w:r>
    </w:p>
    <w:p>
      <w:pPr>
        <w:spacing w:after="0" w:line="17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00"/>
          </w:cols>
          <w:pgMar w:left="1440" w:top="490" w:right="259" w:bottom="1440" w:gutter="0" w:footer="0" w:header="0"/>
        </w:sectPr>
      </w:pPr>
    </w:p>
    <w:bookmarkStart w:id="125" w:name="page126"/>
    <w:bookmarkEnd w:id="125"/>
    <w:p>
      <w:pPr>
        <w:jc w:val="center"/>
        <w:ind w:right="-9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PATENT SECURITY AGREEMENT</w:t>
      </w:r>
    </w:p>
    <w:p>
      <w:pPr>
        <w:spacing w:after="0" w:line="225" w:lineRule="exact"/>
        <w:rPr>
          <w:sz w:val="20"/>
          <w:szCs w:val="20"/>
          <w:color w:val="auto"/>
        </w:rPr>
      </w:pPr>
    </w:p>
    <w:p>
      <w:pPr>
        <w:jc w:val="both"/>
        <w:ind w:left="100" w:firstLine="648"/>
        <w:spacing w:after="0" w:line="266" w:lineRule="auto"/>
        <w:rPr>
          <w:sz w:val="20"/>
          <w:szCs w:val="20"/>
          <w:color w:val="auto"/>
        </w:rPr>
      </w:pPr>
      <w:r>
        <w:rPr>
          <w:rFonts w:ascii="Arial" w:cs="Arial" w:eastAsia="Arial" w:hAnsi="Arial"/>
          <w:sz w:val="18"/>
          <w:szCs w:val="18"/>
          <w:color w:val="auto"/>
        </w:rPr>
        <w:t>This PATENT SECURITY AGREEMENT (this “</w:t>
      </w:r>
      <w:r>
        <w:rPr>
          <w:rFonts w:ascii="Arial" w:cs="Arial" w:eastAsia="Arial" w:hAnsi="Arial"/>
          <w:sz w:val="18"/>
          <w:szCs w:val="18"/>
          <w:b w:val="1"/>
          <w:bCs w:val="1"/>
          <w:color w:val="auto"/>
        </w:rPr>
        <w:t>Patent Security Agreement</w:t>
      </w:r>
      <w:r>
        <w:rPr>
          <w:rFonts w:ascii="Arial" w:cs="Arial" w:eastAsia="Arial" w:hAnsi="Arial"/>
          <w:sz w:val="18"/>
          <w:szCs w:val="18"/>
          <w:color w:val="auto"/>
        </w:rPr>
        <w:t>”) is made this [___] day of May 2010, by the Grantors listed on the signature pages hereof (collectively, jointly and severally, “</w:t>
      </w:r>
      <w:r>
        <w:rPr>
          <w:rFonts w:ascii="Arial" w:cs="Arial" w:eastAsia="Arial" w:hAnsi="Arial"/>
          <w:sz w:val="18"/>
          <w:szCs w:val="18"/>
          <w:b w:val="1"/>
          <w:bCs w:val="1"/>
          <w:color w:val="auto"/>
        </w:rPr>
        <w:t>Grantors</w:t>
      </w:r>
      <w:r>
        <w:rPr>
          <w:rFonts w:ascii="Arial" w:cs="Arial" w:eastAsia="Arial" w:hAnsi="Arial"/>
          <w:sz w:val="18"/>
          <w:szCs w:val="18"/>
          <w:color w:val="auto"/>
        </w:rPr>
        <w:t>” and each individually “</w:t>
      </w:r>
      <w:r>
        <w:rPr>
          <w:rFonts w:ascii="Arial" w:cs="Arial" w:eastAsia="Arial" w:hAnsi="Arial"/>
          <w:sz w:val="18"/>
          <w:szCs w:val="18"/>
          <w:b w:val="1"/>
          <w:bCs w:val="1"/>
          <w:color w:val="auto"/>
        </w:rPr>
        <w:t>Grantor</w:t>
      </w:r>
      <w:r>
        <w:rPr>
          <w:rFonts w:ascii="Arial" w:cs="Arial" w:eastAsia="Arial" w:hAnsi="Arial"/>
          <w:sz w:val="18"/>
          <w:szCs w:val="18"/>
          <w:color w:val="auto"/>
        </w:rPr>
        <w:t>”), in favor of the Secured Parties under and as defined in the below-described Security Agreement.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100" w:firstLine="648"/>
        <w:spacing w:after="0" w:line="302" w:lineRule="auto"/>
        <w:rPr>
          <w:sz w:val="20"/>
          <w:szCs w:val="20"/>
          <w:color w:val="auto"/>
        </w:rPr>
      </w:pPr>
      <w:r>
        <w:rPr>
          <w:rFonts w:ascii="Arial" w:cs="Arial" w:eastAsia="Arial" w:hAnsi="Arial"/>
          <w:sz w:val="16"/>
          <w:szCs w:val="16"/>
          <w:color w:val="auto"/>
        </w:rPr>
        <w:t>WHEREAS, pursuant to that certain Securities Purchase Agreement, dated as of May 17, 2010 (as may be amended, restated, supplemented, or otherwise modified from time to time, including all schedules thereto, collectively, the “</w:t>
      </w:r>
      <w:r>
        <w:rPr>
          <w:rFonts w:ascii="Arial" w:cs="Arial" w:eastAsia="Arial" w:hAnsi="Arial"/>
          <w:sz w:val="16"/>
          <w:szCs w:val="16"/>
          <w:b w:val="1"/>
          <w:bCs w:val="1"/>
          <w:color w:val="auto"/>
        </w:rPr>
        <w:t>Securities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among TapImmune Inc., a Nevada corporation (“</w:t>
      </w:r>
      <w:r>
        <w:rPr>
          <w:rFonts w:ascii="Arial" w:cs="Arial" w:eastAsia="Arial" w:hAnsi="Arial"/>
          <w:sz w:val="16"/>
          <w:szCs w:val="16"/>
          <w:b w:val="1"/>
          <w:bCs w:val="1"/>
          <w:color w:val="auto"/>
        </w:rPr>
        <w:t>Parent</w:t>
      </w:r>
      <w:r>
        <w:rPr>
          <w:rFonts w:ascii="Arial" w:cs="Arial" w:eastAsia="Arial" w:hAnsi="Arial"/>
          <w:sz w:val="16"/>
          <w:szCs w:val="16"/>
          <w:color w:val="auto"/>
        </w:rPr>
        <w:t>”), and each of the Secured Parties, Parent has agreed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of the Secured Parties have each agreed to purchase, severally and not jointly, certain Notes and Warrants; and</w:t>
      </w:r>
    </w:p>
    <w:p>
      <w:pPr>
        <w:spacing w:after="0" w:line="154"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18"/>
          <w:szCs w:val="18"/>
          <w:color w:val="auto"/>
        </w:rPr>
        <w:t>WHEREAS, in order to induce each of the Secured Parties to purchase, severally and not jointly, the Notes and Warrants as provided for in the Securities Purchase Agreement, Grantors have executed and delivered to each of the Secured Parties that certain Security Agreement of even date herewith (including all annexes, exhibits or schedules thereto, as from time to time amended, restated, supplemented or otherwise modified, the “</w:t>
      </w:r>
      <w:r>
        <w:rPr>
          <w:rFonts w:ascii="Arial" w:cs="Arial" w:eastAsia="Arial" w:hAnsi="Arial"/>
          <w:sz w:val="18"/>
          <w:szCs w:val="18"/>
          <w:b w:val="1"/>
          <w:bCs w:val="1"/>
          <w:color w:val="auto"/>
        </w:rPr>
        <w:t>Security Agreement</w:t>
      </w:r>
      <w:r>
        <w:rPr>
          <w:rFonts w:ascii="Arial" w:cs="Arial" w:eastAsia="Arial" w:hAnsi="Arial"/>
          <w:sz w:val="18"/>
          <w:szCs w:val="18"/>
          <w:color w:val="auto"/>
        </w:rPr>
        <w:t>”); and</w:t>
      </w:r>
    </w:p>
    <w:p>
      <w:pPr>
        <w:spacing w:after="0" w:line="187"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WHEREAS, pursuant to the Security Agreement, Grantors are required to execute and deliver to each of the Secured Parties this Patent Security Agreement.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9"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Grantors hereby agree as follows:</w:t>
      </w:r>
    </w:p>
    <w:p>
      <w:pPr>
        <w:spacing w:after="0" w:line="170" w:lineRule="exact"/>
        <w:rPr>
          <w:sz w:val="20"/>
          <w:szCs w:val="20"/>
          <w:color w:val="auto"/>
        </w:rPr>
      </w:pPr>
    </w:p>
    <w:p>
      <w:pPr>
        <w:ind w:left="100" w:right="180" w:firstLine="653"/>
        <w:spacing w:after="0" w:line="277" w:lineRule="auto"/>
        <w:tabs>
          <w:tab w:leader="none" w:pos="137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but not otherwise defined herein have the meanings given to them in the Security Agreement.</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419"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PATENT COLLATERAL</w:t>
      </w:r>
      <w:r>
        <w:rPr>
          <w:rFonts w:ascii="Arial" w:cs="Arial" w:eastAsia="Arial" w:hAnsi="Arial"/>
          <w:sz w:val="18"/>
          <w:szCs w:val="18"/>
          <w:color w:val="auto"/>
        </w:rPr>
        <w:t>. Each Grantor hereby grants to each Secured Party a continuing first priority security interest in all of such Grantor’s right, title and interest in, to and under the following, whether presently existing or hereafter created or acquired (collectively, the “</w:t>
      </w:r>
      <w:r>
        <w:rPr>
          <w:rFonts w:ascii="Arial" w:cs="Arial" w:eastAsia="Arial" w:hAnsi="Arial"/>
          <w:sz w:val="18"/>
          <w:szCs w:val="18"/>
          <w:b w:val="1"/>
          <w:bCs w:val="1"/>
          <w:color w:val="auto"/>
        </w:rPr>
        <w:t>Patent Collateral</w:t>
      </w:r>
      <w:r>
        <w:rPr>
          <w:rFonts w:ascii="Arial" w:cs="Arial" w:eastAsia="Arial" w:hAnsi="Arial"/>
          <w:sz w:val="18"/>
          <w:szCs w:val="18"/>
          <w:color w:val="auto"/>
        </w:rPr>
        <w:t>”):</w:t>
      </w:r>
    </w:p>
    <w:p>
      <w:pPr>
        <w:spacing w:after="0" w:line="177" w:lineRule="exact"/>
        <w:rPr>
          <w:sz w:val="20"/>
          <w:szCs w:val="20"/>
          <w:color w:val="auto"/>
        </w:rPr>
      </w:pPr>
    </w:p>
    <w:p>
      <w:pPr>
        <w:ind w:left="1480" w:hanging="727"/>
        <w:spacing w:after="0"/>
        <w:tabs>
          <w:tab w:leader="none" w:pos="14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all of its Patents and Patent Intellectual Property Licenses to which it is a party including those referred to on </w:t>
      </w:r>
      <w:r>
        <w:rPr>
          <w:rFonts w:ascii="Arial" w:cs="Arial" w:eastAsia="Arial" w:hAnsi="Arial"/>
          <w:sz w:val="16"/>
          <w:szCs w:val="16"/>
          <w:b w:val="1"/>
          <w:bCs w:val="1"/>
          <w:u w:val="single" w:color="auto"/>
          <w:color w:val="auto"/>
        </w:rPr>
        <w:t>Schedule I</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1460" w:hanging="707"/>
        <w:spacing w:after="0"/>
        <w:tabs>
          <w:tab w:leader="none" w:pos="1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reissues, continuations or extensions of the foregoing; and</w:t>
      </w:r>
    </w:p>
    <w:p>
      <w:pPr>
        <w:spacing w:after="0" w:line="225" w:lineRule="exact"/>
        <w:rPr>
          <w:rFonts w:ascii="Arial" w:cs="Arial" w:eastAsia="Arial" w:hAnsi="Arial"/>
          <w:sz w:val="18"/>
          <w:szCs w:val="18"/>
          <w:color w:val="auto"/>
        </w:rPr>
      </w:pPr>
    </w:p>
    <w:p>
      <w:pPr>
        <w:ind w:left="100" w:firstLine="653"/>
        <w:spacing w:after="0" w:line="277" w:lineRule="auto"/>
        <w:tabs>
          <w:tab w:leader="none" w:pos="149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products and proceeds of the foregoing, including any claim by such Grantor against third parties for past, present or future infringement or dilution of any Patent or any Patent licensed under any Intellectual Property License.</w:t>
      </w: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702" w:right="239" w:bottom="1440" w:gutter="0" w:footer="0" w:header="0"/>
        </w:sectPr>
      </w:pPr>
    </w:p>
    <w:bookmarkStart w:id="126" w:name="page127"/>
    <w:bookmarkEnd w:id="126"/>
    <w:p>
      <w:pPr>
        <w:jc w:val="both"/>
        <w:ind w:left="100" w:firstLine="653"/>
        <w:spacing w:after="0" w:line="257" w:lineRule="auto"/>
        <w:tabs>
          <w:tab w:leader="none" w:pos="140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SECURITY FOR OBLIGATIONS</w:t>
      </w:r>
      <w:r>
        <w:rPr>
          <w:rFonts w:ascii="Arial" w:cs="Arial" w:eastAsia="Arial" w:hAnsi="Arial"/>
          <w:sz w:val="18"/>
          <w:szCs w:val="18"/>
          <w:color w:val="auto"/>
        </w:rPr>
        <w:t>. This Patent Security Agreement and the Security Interests created hereby secures the payment and performance of all the Secured Obligations, whether now existing or arising hereafter. Without limiting the generality of the foregoing, this Patent Security Agreement secures the payment of all amounts which constitute part of the Secured Obligations and would be owed by Grantors, or any of them, to Secured Parties, or any of them, whether or not they are unenforceable or not allowable due to the existence of an Insolvency Proceeding involving any Grantor.</w:t>
      </w:r>
    </w:p>
    <w:p>
      <w:pPr>
        <w:spacing w:after="0" w:line="188" w:lineRule="exact"/>
        <w:rPr>
          <w:rFonts w:ascii="Arial" w:cs="Arial" w:eastAsia="Arial" w:hAnsi="Arial"/>
          <w:sz w:val="18"/>
          <w:szCs w:val="18"/>
          <w:color w:val="auto"/>
        </w:rPr>
      </w:pPr>
    </w:p>
    <w:p>
      <w:pPr>
        <w:jc w:val="both"/>
        <w:ind w:left="100" w:firstLine="653"/>
        <w:spacing w:after="0" w:line="257" w:lineRule="auto"/>
        <w:tabs>
          <w:tab w:leader="none" w:pos="1527"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interests granted pursuant to this Patent Security Agreement are granted in conjunction with the security interests granted to Secured Parties pursuant to the Security Agreement. Each Grantor hereby acknowledges and affirms that the rights and remedies of Secured Parties with respect to their respective security interests in the Patent Collateral made and granted hereby are more fully set forth in the Security Agreement, the terms and provisions of which are incorporated by reference herein as if fully set forth herein.</w:t>
      </w:r>
    </w:p>
    <w:p>
      <w:pPr>
        <w:spacing w:after="0" w:line="188" w:lineRule="exact"/>
        <w:rPr>
          <w:rFonts w:ascii="Arial" w:cs="Arial" w:eastAsia="Arial" w:hAnsi="Arial"/>
          <w:sz w:val="18"/>
          <w:szCs w:val="18"/>
          <w:color w:val="auto"/>
        </w:rPr>
      </w:pPr>
    </w:p>
    <w:p>
      <w:pPr>
        <w:jc w:val="both"/>
        <w:ind w:left="100" w:firstLine="653"/>
        <w:spacing w:after="0" w:line="254" w:lineRule="auto"/>
        <w:tabs>
          <w:tab w:leader="none" w:pos="144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AUTHORIZATION TO SUPPLEMENT</w:t>
      </w:r>
      <w:r>
        <w:rPr>
          <w:rFonts w:ascii="Arial" w:cs="Arial" w:eastAsia="Arial" w:hAnsi="Arial"/>
          <w:sz w:val="18"/>
          <w:szCs w:val="18"/>
          <w:color w:val="auto"/>
        </w:rPr>
        <w:t xml:space="preserve">. If any Grantor shall obtain rights to any new patentable inventions or become entitled to the benefit of any patent application or patent for any reissue, division, or continuation, of any patent, the provisions of this Patent Security Agreement shall automatically apply thereto. To the extent required under the Security Agreement, Grantors shall give prompt notice in writing to Secured Parties with respect to any such new patent rights. Without limiting each Grantor’s obligations under this Section 5, Grantors hereby authorize Secured Parties unilaterally to modify this Agreement by amending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to include any such new patent rights of Grantors. Notwithstanding the foregoing, no failure to so modify this Patent Security Agreement or amend </w:t>
      </w:r>
      <w:r>
        <w:rPr>
          <w:rFonts w:ascii="Arial" w:cs="Arial" w:eastAsia="Arial" w:hAnsi="Arial"/>
          <w:sz w:val="18"/>
          <w:szCs w:val="18"/>
          <w:b w:val="1"/>
          <w:bCs w:val="1"/>
          <w:u w:val="single" w:color="auto"/>
          <w:color w:val="auto"/>
        </w:rPr>
        <w:t>Schedule I</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 any way affect, invalidate or detract from any Secured Party’s continuing security interest in all Collateral,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listed on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100" w:firstLine="653"/>
        <w:spacing w:after="0" w:line="291" w:lineRule="auto"/>
        <w:tabs>
          <w:tab w:leader="none" w:pos="1419"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Patent Security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In proving this Patent Security Agreement or any other Transaction Document in any judicial proceedings, it shall not be necessary to produce or account for more than one such counterpart signed by the party against whom such enforcement is sought.</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27" w:name="page128"/>
    <w:bookmarkEnd w:id="127"/>
    <w:p>
      <w:pPr>
        <w:jc w:val="both"/>
        <w:ind w:left="100" w:firstLine="653"/>
        <w:spacing w:after="0" w:line="285" w:lineRule="auto"/>
        <w:tabs>
          <w:tab w:leader="none" w:pos="1527"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Unless the context of this Patent Security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Patent Security Agreement or any other Transaction Document refer to this Patent Security Agreement or such othe r Transaction Document, as the case may be, as a whole and not to any particular provision of this Patent Security Agreement or such other Transaction Document, as the case may be. Section, subsection, clause, schedule, and exhibit references herein are to this Patent Security Agreement unless otherwise specified. Any reference in this Patent Security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permitted successors and permitted assigns. Any requirement of a writing contained herein or in any other Transaction Docu ment shall be satisfied by the transmission of a Record and any Record so transmitted shall constitute a representation and warranty as to the accuracy and completeness of the information contained therein. The language used in this Patent Security Agreement will be deemed to be the language chosen by the parties to express their mutual intent, and no rules of strict construction will be applied against any party. For clarification purposes, the Recitals are part of this Patent Security Agreement.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28" w:name="page129"/>
    <w:bookmarkEnd w:id="128"/>
    <w:p>
      <w:pPr>
        <w:ind w:left="100" w:firstLine="648"/>
        <w:spacing w:after="0" w:line="277" w:lineRule="auto"/>
        <w:rPr>
          <w:sz w:val="20"/>
          <w:szCs w:val="20"/>
          <w:color w:val="auto"/>
        </w:rPr>
      </w:pPr>
      <w:r>
        <w:rPr>
          <w:rFonts w:ascii="Arial" w:cs="Arial" w:eastAsia="Arial" w:hAnsi="Arial"/>
          <w:sz w:val="18"/>
          <w:szCs w:val="18"/>
          <w:color w:val="auto"/>
        </w:rPr>
        <w:t>IN WITNESS WHEREOF, each Grantor has caused this Patent Security Agreement to be executed and delivered by its duly authorized officer as of the date first set forth above.</w:t>
      </w:r>
    </w:p>
    <w:p>
      <w:pPr>
        <w:spacing w:after="0" w:line="166" w:lineRule="exact"/>
        <w:rPr>
          <w:sz w:val="20"/>
          <w:szCs w:val="20"/>
          <w:color w:val="auto"/>
        </w:rPr>
      </w:pPr>
    </w:p>
    <w:p>
      <w:pPr>
        <w:ind w:left="760"/>
        <w:spacing w:after="0"/>
        <w:tabs>
          <w:tab w:leader="none" w:pos="438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color w:val="auto"/>
        </w:rPr>
        <w:t>TAPIMMUNE INC., a Nevada corporation</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GENEMAX PHARMACEUTICALS INC., a Delaware corporation</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00" w:right="240"/>
        <w:spacing w:after="0" w:line="277" w:lineRule="auto"/>
        <w:rPr>
          <w:sz w:val="20"/>
          <w:szCs w:val="20"/>
          <w:color w:val="auto"/>
        </w:rPr>
      </w:pPr>
      <w:r>
        <w:rPr>
          <w:rFonts w:ascii="Arial" w:cs="Arial" w:eastAsia="Arial" w:hAnsi="Arial"/>
          <w:sz w:val="18"/>
          <w:szCs w:val="18"/>
          <w:color w:val="auto"/>
        </w:rPr>
        <w:t>GENEMAX PHARMACEUTICALS CANADA INC., a corporation existing pursuant to the British Columbia Business Corporations Act</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TRADEMARK SECURITY AGREEMENT</w:t>
      </w:r>
    </w:p>
    <w:p>
      <w:pPr>
        <w:spacing w:after="0" w:line="225" w:lineRule="exact"/>
        <w:rPr>
          <w:sz w:val="20"/>
          <w:szCs w:val="20"/>
          <w:color w:val="auto"/>
        </w:rPr>
      </w:pPr>
    </w:p>
    <w:p>
      <w:pPr>
        <w:jc w:val="both"/>
        <w:ind w:left="100" w:firstLine="648"/>
        <w:spacing w:after="0" w:line="266" w:lineRule="auto"/>
        <w:rPr>
          <w:sz w:val="20"/>
          <w:szCs w:val="20"/>
          <w:color w:val="auto"/>
        </w:rPr>
      </w:pPr>
      <w:r>
        <w:rPr>
          <w:rFonts w:ascii="Arial" w:cs="Arial" w:eastAsia="Arial" w:hAnsi="Arial"/>
          <w:sz w:val="18"/>
          <w:szCs w:val="18"/>
          <w:color w:val="auto"/>
        </w:rPr>
        <w:t>This TRADEMARK SECURITY AGREEMENT (this “</w:t>
      </w:r>
      <w:r>
        <w:rPr>
          <w:rFonts w:ascii="Arial" w:cs="Arial" w:eastAsia="Arial" w:hAnsi="Arial"/>
          <w:sz w:val="18"/>
          <w:szCs w:val="18"/>
          <w:b w:val="1"/>
          <w:bCs w:val="1"/>
          <w:color w:val="auto"/>
        </w:rPr>
        <w:t>Trademark Security Agreement</w:t>
      </w:r>
      <w:r>
        <w:rPr>
          <w:rFonts w:ascii="Arial" w:cs="Arial" w:eastAsia="Arial" w:hAnsi="Arial"/>
          <w:sz w:val="18"/>
          <w:szCs w:val="18"/>
          <w:color w:val="auto"/>
        </w:rPr>
        <w:t>”) is made this [___] day of May 2010, by the Grantors listed on the signature pages hereof (collectively, jointly and severally, “</w:t>
      </w:r>
      <w:r>
        <w:rPr>
          <w:rFonts w:ascii="Arial" w:cs="Arial" w:eastAsia="Arial" w:hAnsi="Arial"/>
          <w:sz w:val="18"/>
          <w:szCs w:val="18"/>
          <w:b w:val="1"/>
          <w:bCs w:val="1"/>
          <w:color w:val="auto"/>
        </w:rPr>
        <w:t>Grantors</w:t>
      </w:r>
      <w:r>
        <w:rPr>
          <w:rFonts w:ascii="Arial" w:cs="Arial" w:eastAsia="Arial" w:hAnsi="Arial"/>
          <w:sz w:val="18"/>
          <w:szCs w:val="18"/>
          <w:color w:val="auto"/>
        </w:rPr>
        <w:t>” and each individually “</w:t>
      </w:r>
      <w:r>
        <w:rPr>
          <w:rFonts w:ascii="Arial" w:cs="Arial" w:eastAsia="Arial" w:hAnsi="Arial"/>
          <w:sz w:val="18"/>
          <w:szCs w:val="18"/>
          <w:b w:val="1"/>
          <w:bCs w:val="1"/>
          <w:color w:val="auto"/>
        </w:rPr>
        <w:t>Grantor</w:t>
      </w:r>
      <w:r>
        <w:rPr>
          <w:rFonts w:ascii="Arial" w:cs="Arial" w:eastAsia="Arial" w:hAnsi="Arial"/>
          <w:sz w:val="18"/>
          <w:szCs w:val="18"/>
          <w:color w:val="auto"/>
        </w:rPr>
        <w:t>”), in favor of the Secured Parties under and as defined in the below-described Security Agreement.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100" w:firstLine="648"/>
        <w:spacing w:after="0" w:line="302" w:lineRule="auto"/>
        <w:rPr>
          <w:sz w:val="20"/>
          <w:szCs w:val="20"/>
          <w:color w:val="auto"/>
        </w:rPr>
      </w:pPr>
      <w:r>
        <w:rPr>
          <w:rFonts w:ascii="Arial" w:cs="Arial" w:eastAsia="Arial" w:hAnsi="Arial"/>
          <w:sz w:val="16"/>
          <w:szCs w:val="16"/>
          <w:color w:val="auto"/>
        </w:rPr>
        <w:t>WHEREAS, pursuant to that certain Securities Purchase Agreement, dated as of May 17, 2010 (as may be amended, restated, supplemented, or otherwise modified from time to time, including all schedules thereto, collectively, the “</w:t>
      </w:r>
      <w:r>
        <w:rPr>
          <w:rFonts w:ascii="Arial" w:cs="Arial" w:eastAsia="Arial" w:hAnsi="Arial"/>
          <w:sz w:val="16"/>
          <w:szCs w:val="16"/>
          <w:b w:val="1"/>
          <w:bCs w:val="1"/>
          <w:color w:val="auto"/>
        </w:rPr>
        <w:t>Securities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among TapImmune Inc., a Nevada corporation (“</w:t>
      </w:r>
      <w:r>
        <w:rPr>
          <w:rFonts w:ascii="Arial" w:cs="Arial" w:eastAsia="Arial" w:hAnsi="Arial"/>
          <w:sz w:val="16"/>
          <w:szCs w:val="16"/>
          <w:b w:val="1"/>
          <w:bCs w:val="1"/>
          <w:color w:val="auto"/>
        </w:rPr>
        <w:t>Parent</w:t>
      </w:r>
      <w:r>
        <w:rPr>
          <w:rFonts w:ascii="Arial" w:cs="Arial" w:eastAsia="Arial" w:hAnsi="Arial"/>
          <w:sz w:val="16"/>
          <w:szCs w:val="16"/>
          <w:color w:val="auto"/>
        </w:rPr>
        <w:t>”), and each of the Secured Parties, Parent has agreed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of the Secured Parties have each agreed to purchase, severally and not jointly, certain Notes and Warrants; and</w:t>
      </w:r>
    </w:p>
    <w:p>
      <w:pPr>
        <w:spacing w:after="0" w:line="154"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18"/>
          <w:szCs w:val="18"/>
          <w:color w:val="auto"/>
        </w:rPr>
        <w:t>WHEREAS, in order to induce each of the Secured Parties to purchase, severally and not jointly, the Notes and Warrants as provided for in the Securities Purchase Agreement, Grantors have executed and delivered to each of the Secured Parties that certain Security Agreement of even date herewith (including all annexes, exhibits or schedules thereto, as from time to time amended, restated, supplemented or otherwise modified, the “</w:t>
      </w:r>
      <w:r>
        <w:rPr>
          <w:rFonts w:ascii="Arial" w:cs="Arial" w:eastAsia="Arial" w:hAnsi="Arial"/>
          <w:sz w:val="18"/>
          <w:szCs w:val="18"/>
          <w:b w:val="1"/>
          <w:bCs w:val="1"/>
          <w:color w:val="auto"/>
        </w:rPr>
        <w:t>Security Agreement</w:t>
      </w:r>
      <w:r>
        <w:rPr>
          <w:rFonts w:ascii="Arial" w:cs="Arial" w:eastAsia="Arial" w:hAnsi="Arial"/>
          <w:sz w:val="18"/>
          <w:szCs w:val="18"/>
          <w:color w:val="auto"/>
        </w:rPr>
        <w:t>”); and</w:t>
      </w:r>
    </w:p>
    <w:p>
      <w:pPr>
        <w:spacing w:after="0" w:line="187"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WHEREAS, pursuant to the Security Agreement, Grantors are required to execute and deliver to each of the Secured Parties this Trademark Security Agreement.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9"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Grantors hereby agree as follows:</w:t>
      </w:r>
    </w:p>
    <w:p>
      <w:pPr>
        <w:spacing w:after="0" w:line="170" w:lineRule="exact"/>
        <w:rPr>
          <w:sz w:val="20"/>
          <w:szCs w:val="20"/>
          <w:color w:val="auto"/>
        </w:rPr>
      </w:pPr>
    </w:p>
    <w:p>
      <w:pPr>
        <w:ind w:left="100" w:firstLine="653"/>
        <w:spacing w:after="0" w:line="277" w:lineRule="auto"/>
        <w:tabs>
          <w:tab w:leader="none" w:pos="143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but not otherwise defined herein have the meanings given to them in the Security Agreement.</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459"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TRADEMARK COLLATERAL</w:t>
      </w:r>
      <w:r>
        <w:rPr>
          <w:rFonts w:ascii="Arial" w:cs="Arial" w:eastAsia="Arial" w:hAnsi="Arial"/>
          <w:sz w:val="18"/>
          <w:szCs w:val="18"/>
          <w:color w:val="auto"/>
        </w:rPr>
        <w:t>. Each Grantor hereby grants to each Secured Party a continuing first priority security interest in all of such Grantor’s right, title and interest in, to and under the following, whether presently existing or hereafter created or acquired (collectively, the “</w:t>
      </w:r>
      <w:r>
        <w:rPr>
          <w:rFonts w:ascii="Arial" w:cs="Arial" w:eastAsia="Arial" w:hAnsi="Arial"/>
          <w:sz w:val="18"/>
          <w:szCs w:val="18"/>
          <w:b w:val="1"/>
          <w:bCs w:val="1"/>
          <w:color w:val="auto"/>
        </w:rPr>
        <w:t>Trademark Collateral</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100" w:hanging="699"/>
        <w:spacing w:after="0"/>
        <w:tabs>
          <w:tab w:leader="none" w:pos="21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of its Trademarks and Trademark Intellectual Property Licenses to which it is a party including those referred</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 xml:space="preserve">to on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130" w:name="page131"/>
    <w:bookmarkEnd w:id="130"/>
    <w:p>
      <w:pPr>
        <w:jc w:val="both"/>
        <w:ind w:left="100" w:firstLine="1301"/>
        <w:spacing w:after="0" w:line="264" w:lineRule="auto"/>
        <w:tabs>
          <w:tab w:leader="none" w:pos="214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goodwill, trade secrets, proprietary or confidential information, technical information, procedures, formulae, quality control standards, designs, operating and training manuals, customer lists, and other General Intangibles with respect to the foregoing;</w:t>
      </w:r>
    </w:p>
    <w:p>
      <w:pPr>
        <w:spacing w:after="0" w:line="181" w:lineRule="exact"/>
        <w:rPr>
          <w:rFonts w:ascii="Arial" w:cs="Arial" w:eastAsia="Arial" w:hAnsi="Arial"/>
          <w:sz w:val="18"/>
          <w:szCs w:val="18"/>
          <w:color w:val="auto"/>
        </w:rPr>
      </w:pPr>
    </w:p>
    <w:p>
      <w:pPr>
        <w:ind w:left="2100" w:hanging="699"/>
        <w:spacing w:after="0"/>
        <w:tabs>
          <w:tab w:leader="none" w:pos="21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reissues, continuations or extensions of the foregoing;</w:t>
      </w:r>
    </w:p>
    <w:p>
      <w:pPr>
        <w:spacing w:after="0" w:line="225" w:lineRule="exact"/>
        <w:rPr>
          <w:rFonts w:ascii="Arial" w:cs="Arial" w:eastAsia="Arial" w:hAnsi="Arial"/>
          <w:sz w:val="18"/>
          <w:szCs w:val="18"/>
          <w:color w:val="auto"/>
        </w:rPr>
      </w:pPr>
    </w:p>
    <w:p>
      <w:pPr>
        <w:ind w:left="100" w:firstLine="1301"/>
        <w:spacing w:after="0" w:line="277" w:lineRule="auto"/>
        <w:tabs>
          <w:tab w:leader="none" w:pos="212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goodwill of the business connected with the use of, and symbolized by, each Trademark and each Trademark Intellectual Property License; and</w:t>
      </w:r>
    </w:p>
    <w:p>
      <w:pPr>
        <w:spacing w:after="0" w:line="170" w:lineRule="exact"/>
        <w:rPr>
          <w:rFonts w:ascii="Arial" w:cs="Arial" w:eastAsia="Arial" w:hAnsi="Arial"/>
          <w:sz w:val="18"/>
          <w:szCs w:val="18"/>
          <w:color w:val="auto"/>
        </w:rPr>
      </w:pPr>
    </w:p>
    <w:p>
      <w:pPr>
        <w:jc w:val="both"/>
        <w:ind w:left="100" w:firstLine="1301"/>
        <w:spacing w:after="0" w:line="286" w:lineRule="auto"/>
        <w:tabs>
          <w:tab w:leader="none" w:pos="219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all products and proceeds of the foregoing, including any claim by such Grantor against third parties for past, present or future (i) infringement or dilution of any Trademark or any Trademark licensed under any Intellectual Property License or (ii) injury to the goodwill associated with any Trademark or any Trademark licensed under any Intellectual Property License.</w:t>
      </w:r>
    </w:p>
    <w:p>
      <w:pPr>
        <w:spacing w:after="0" w:line="165" w:lineRule="exact"/>
        <w:rPr>
          <w:rFonts w:ascii="Arial" w:cs="Arial" w:eastAsia="Arial" w:hAnsi="Arial"/>
          <w:sz w:val="17"/>
          <w:szCs w:val="17"/>
          <w:color w:val="auto"/>
        </w:rPr>
      </w:pPr>
    </w:p>
    <w:p>
      <w:pPr>
        <w:jc w:val="both"/>
        <w:ind w:left="100" w:firstLine="653"/>
        <w:spacing w:after="0" w:line="276" w:lineRule="auto"/>
        <w:tabs>
          <w:tab w:leader="none" w:pos="137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SECURITY FOR OBLIGATIONS</w:t>
      </w:r>
      <w:r>
        <w:rPr>
          <w:rFonts w:ascii="Arial" w:cs="Arial" w:eastAsia="Arial" w:hAnsi="Arial"/>
          <w:sz w:val="17"/>
          <w:szCs w:val="17"/>
          <w:color w:val="auto"/>
        </w:rPr>
        <w:t>. This Trademark Security Agreement and the Security Interests created hereby secures the payment and performance of all the Secured Obligations, whether now existing or arising hereafter. Without limiting the generality of the foregoing, this Trademark Security Agreement secures the payment of all amounts which constitute part of the Secured Obligations and would be owed by Grantors, or any of them, to Secured Parties, or any of them, whether or not they are unenforceable or not allowable due to the existence of an Insolvency Proceeding involving any Grantor.</w:t>
      </w:r>
    </w:p>
    <w:p>
      <w:pPr>
        <w:spacing w:after="0" w:line="172" w:lineRule="exact"/>
        <w:rPr>
          <w:rFonts w:ascii="Arial" w:cs="Arial" w:eastAsia="Arial" w:hAnsi="Arial"/>
          <w:sz w:val="17"/>
          <w:szCs w:val="17"/>
          <w:color w:val="auto"/>
        </w:rPr>
      </w:pPr>
    </w:p>
    <w:p>
      <w:pPr>
        <w:jc w:val="both"/>
        <w:ind w:left="100" w:firstLine="653"/>
        <w:spacing w:after="0" w:line="257" w:lineRule="auto"/>
        <w:tabs>
          <w:tab w:leader="none" w:pos="1392"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interests granted pursuant to this Trademark Security Agreement are granted in conjunction with the security interests granted to Secured Parties pursuant to the Security Agreement. Each Grantor hereby acknowledges and affirms that the rights and remedies of Secured Parties with respect to their respective security interests in the Trademark Collateral made and granted hereby are more fully set forth in the Security Agreement, the terms and provisions of which are incorporated by reference herein as if fully set forth herein.</w:t>
      </w:r>
    </w:p>
    <w:p>
      <w:pPr>
        <w:spacing w:after="0" w:line="188" w:lineRule="exact"/>
        <w:rPr>
          <w:rFonts w:ascii="Arial" w:cs="Arial" w:eastAsia="Arial" w:hAnsi="Arial"/>
          <w:sz w:val="18"/>
          <w:szCs w:val="18"/>
          <w:color w:val="auto"/>
        </w:rPr>
      </w:pPr>
    </w:p>
    <w:p>
      <w:pPr>
        <w:jc w:val="both"/>
        <w:ind w:left="100" w:firstLine="653"/>
        <w:spacing w:after="0" w:line="272" w:lineRule="auto"/>
        <w:tabs>
          <w:tab w:leader="none" w:pos="1419"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AUTHORIZATION TO SUPPLEMENT</w:t>
      </w:r>
      <w:r>
        <w:rPr>
          <w:rFonts w:ascii="Arial" w:cs="Arial" w:eastAsia="Arial" w:hAnsi="Arial"/>
          <w:sz w:val="17"/>
          <w:szCs w:val="17"/>
          <w:color w:val="auto"/>
        </w:rPr>
        <w:t xml:space="preserve">. If any Grantor shall obtain rights to any new trademarks, the provisions of this Trademark Security Agreement shall automatically apply thereto. To the extent required under the Security Agreement, Grantors shall give prompt notice in writing to Secured Parties with respect to any such new trademarks or renewal or extension of any trademark registration. Without limiting each Grantor’s obligations under this Section 5, Grantors hereby authorize Secured Parties unilaterally to modify this Agreement by amending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to include any such new trademark rights of Grantors. Notwithstanding the foregoing, no failure to so modify this Trademark Security Agreement or amend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shall in any way affect, invalidate or detract from any Secured Party’s continuing security interest in all Collateral, whether or not listed on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31" w:name="page132"/>
    <w:bookmarkEnd w:id="131"/>
    <w:p>
      <w:pPr>
        <w:jc w:val="both"/>
        <w:ind w:left="100" w:firstLine="653"/>
        <w:spacing w:after="0" w:line="291" w:lineRule="auto"/>
        <w:tabs>
          <w:tab w:leader="none" w:pos="1473"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Trademark Security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In proving this Trademark Security Agre ement or any other Transaction Document in any judicial proceedings, it shall not be necessary to produce or account for more than one such counterpart signed by the party against whom such enforcement is sought.</w:t>
      </w:r>
    </w:p>
    <w:p>
      <w:pPr>
        <w:spacing w:after="0" w:line="167" w:lineRule="exact"/>
        <w:rPr>
          <w:rFonts w:ascii="Arial" w:cs="Arial" w:eastAsia="Arial" w:hAnsi="Arial"/>
          <w:sz w:val="16"/>
          <w:szCs w:val="16"/>
          <w:color w:val="auto"/>
        </w:rPr>
      </w:pPr>
    </w:p>
    <w:p>
      <w:pPr>
        <w:jc w:val="both"/>
        <w:ind w:left="100" w:firstLine="653"/>
        <w:spacing w:after="0" w:line="285" w:lineRule="auto"/>
        <w:tabs>
          <w:tab w:leader="none" w:pos="1392"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Unless the context of this Trademark Security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Trademark Security Agreement or any other Transaction Document refer to this Trademark Security Agreement or such other Transaction Document, as the case may be, as a whole and not to any particular provision of this Trademark Security Agreement or such other Transaction Document, as the case may be. Section, subsection, clause, schedule, and exhibit references herein are to this Agreement unless otherwise specified. Any reference in this Trademark Security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permitted successors and permitted assigns. Any requirement of a writing contained herein or in any other Transaction Docum ent shall be satisfied by the transmission of a Record and any Record so transmitted shall constitute a representation and warranty as to the accuracy and completeness of the information contained therein. The language used in this Trademark Security Agreement will be deemed to be the language chosen by the parties to express their mutual intent, and no rules of strict construction will be applied against any party. For clarification purposes, the Recitals are part of this Trademark Security Agreement.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73025</wp:posOffset>
            </wp:positionV>
            <wp:extent cx="642747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747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32" w:name="page133"/>
    <w:bookmarkEnd w:id="132"/>
    <w:p>
      <w:pPr>
        <w:ind w:left="100" w:firstLine="648"/>
        <w:spacing w:after="0" w:line="277" w:lineRule="auto"/>
        <w:rPr>
          <w:sz w:val="20"/>
          <w:szCs w:val="20"/>
          <w:color w:val="auto"/>
        </w:rPr>
      </w:pPr>
      <w:r>
        <w:rPr>
          <w:rFonts w:ascii="Arial" w:cs="Arial" w:eastAsia="Arial" w:hAnsi="Arial"/>
          <w:sz w:val="18"/>
          <w:szCs w:val="18"/>
          <w:color w:val="auto"/>
        </w:rPr>
        <w:t>IN WITNESS WHEREOF, each Grantor has caused this Trademark Security Agreement to be executed and delivered by its duly authorized officer as of the date first set forth above.</w:t>
      </w:r>
    </w:p>
    <w:p>
      <w:pPr>
        <w:spacing w:after="0" w:line="166" w:lineRule="exact"/>
        <w:rPr>
          <w:sz w:val="20"/>
          <w:szCs w:val="20"/>
          <w:color w:val="auto"/>
        </w:rPr>
      </w:pPr>
    </w:p>
    <w:p>
      <w:pPr>
        <w:ind w:left="760"/>
        <w:spacing w:after="0"/>
        <w:tabs>
          <w:tab w:leader="none" w:pos="438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color w:val="auto"/>
        </w:rPr>
        <w:t>TAPIMMUNE INC., a Nevada corporation</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GENEMAX PHARMACEUTICALS INC., a Delaware corporation</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00" w:right="240"/>
        <w:spacing w:after="0" w:line="277" w:lineRule="auto"/>
        <w:rPr>
          <w:sz w:val="20"/>
          <w:szCs w:val="20"/>
          <w:color w:val="auto"/>
        </w:rPr>
      </w:pPr>
      <w:r>
        <w:rPr>
          <w:rFonts w:ascii="Arial" w:cs="Arial" w:eastAsia="Arial" w:hAnsi="Arial"/>
          <w:sz w:val="18"/>
          <w:szCs w:val="18"/>
          <w:color w:val="auto"/>
        </w:rPr>
        <w:t>GENEMAX PHARMACEUTICALS CANADA INC., a corporation existing pursuant to the British Columbia Business Corporations Act</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-27305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-72390</wp:posOffset>
            </wp:positionV>
            <wp:extent cx="72504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[___], 2010, is by and among TapImmune Inc., a Nevada corporation with offices located at 800 Bellevue Way NE, Suite 400, Bellevue, WA 98004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undersigned buyers (each, a “</w:t>
      </w:r>
      <w:r>
        <w:rPr>
          <w:rFonts w:ascii="Arial" w:cs="Arial" w:eastAsia="Arial" w:hAnsi="Arial"/>
          <w:sz w:val="18"/>
          <w:szCs w:val="18"/>
          <w:b w:val="1"/>
          <w:b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56"/>
        <w:spacing w:after="0" w:line="277" w:lineRule="auto"/>
        <w:tabs>
          <w:tab w:leader="none" w:pos="157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connection with the Securities Purchase Agreement by and among the parties hereto, dated as of May 17, 2010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Agreement</w:t>
      </w:r>
      <w:r>
        <w:rPr>
          <w:rFonts w:ascii="Arial" w:cs="Arial" w:eastAsia="Arial" w:hAnsi="Arial"/>
          <w:sz w:val="17"/>
          <w:szCs w:val="17"/>
          <w:color w:val="auto"/>
        </w:rPr>
        <w:t>”), the Company has agreed, upon the terms and subject to the conditions of the Securities Purchase Agreement, to issue and sell to</w:t>
      </w:r>
      <w:r>
        <w:rPr>
          <w:rFonts w:ascii="Arial" w:cs="Arial" w:eastAsia="Arial" w:hAnsi="Arial"/>
          <w:sz w:val="17"/>
          <w:szCs w:val="17"/>
          <w:b w:val="1"/>
          <w:bCs w:val="1"/>
          <w:color w:val="auto"/>
        </w:rPr>
        <w:t xml:space="preserve"> </w:t>
      </w:r>
      <w:r>
        <w:rPr>
          <w:rFonts w:ascii="Arial" w:cs="Arial" w:eastAsia="Arial" w:hAnsi="Arial"/>
          <w:sz w:val="17"/>
          <w:szCs w:val="17"/>
          <w:color w:val="auto"/>
        </w:rPr>
        <w:t>each Buyer (i) the Notes (as defined in the Securities Purchase Agreement) which will be convertible into Conversion Shares (as defined in the Securities Purchase Agreement) in accordance with the terms of the Notes and (ii) the Warrants (as defined in the Securities Purchase Agreement) which will be exercisable to purchase Warrant Shares (as defined in the Securities Purchase Agreement) in accordance with the terms of the Warra nts.</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45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induce the Buyers to consummate the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 and applicable state securities 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Company and each of the Buyers hereby agree as follows:</w:t>
      </w:r>
    </w:p>
    <w:p>
      <w:pPr>
        <w:spacing w:after="0" w:line="166"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Capitalized terms used herein and not otherwise defined herein shall have the respective meanings set forth in the Securities Purchase Agreement. As used in this Agreement, the following terms shall have the following meanings:</w:t>
      </w:r>
    </w:p>
    <w:p>
      <w:pPr>
        <w:spacing w:after="0" w:line="166" w:lineRule="exact"/>
        <w:rPr>
          <w:sz w:val="20"/>
          <w:szCs w:val="20"/>
          <w:color w:val="auto"/>
        </w:rPr>
      </w:pPr>
    </w:p>
    <w:p>
      <w:pPr>
        <w:ind w:firstLine="656"/>
        <w:spacing w:after="0" w:line="282" w:lineRule="auto"/>
        <w:tabs>
          <w:tab w:leader="none" w:pos="145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any other day on which commercial banks in New York, New York are authorized or required by law to remain closed.</w:t>
      </w:r>
    </w:p>
    <w:p>
      <w:pPr>
        <w:spacing w:after="0" w:line="161" w:lineRule="exact"/>
        <w:rPr>
          <w:rFonts w:ascii="Arial" w:cs="Arial" w:eastAsia="Arial" w:hAnsi="Arial"/>
          <w:sz w:val="18"/>
          <w:szCs w:val="18"/>
          <w:color w:val="auto"/>
        </w:rPr>
      </w:pPr>
    </w:p>
    <w:p>
      <w:pPr>
        <w:ind w:left="1360" w:hanging="704"/>
        <w:spacing w:after="0"/>
        <w:tabs>
          <w:tab w:leader="none" w:pos="1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the Securities Purchase Agreement.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that the applicable Registration Statement has been declared effective by the SEC.</w:t>
      </w:r>
    </w:p>
    <w:p>
      <w:pPr>
        <w:spacing w:after="0" w:line="225" w:lineRule="exact"/>
        <w:rPr>
          <w:rFonts w:ascii="Arial" w:cs="Arial" w:eastAsia="Arial" w:hAnsi="Arial"/>
          <w:sz w:val="18"/>
          <w:szCs w:val="18"/>
          <w:color w:val="auto"/>
        </w:rPr>
      </w:pPr>
    </w:p>
    <w:p>
      <w:pPr>
        <w:ind w:right="20" w:firstLine="656"/>
        <w:spacing w:after="0" w:line="285" w:lineRule="auto"/>
        <w:tabs>
          <w:tab w:leader="none" w:pos="15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Deadline</w:t>
      </w:r>
      <w:r>
        <w:rPr>
          <w:rFonts w:ascii="Arial" w:cs="Arial" w:eastAsia="Arial" w:hAnsi="Arial"/>
          <w:sz w:val="18"/>
          <w:szCs w:val="18"/>
          <w:color w:val="auto"/>
        </w:rPr>
        <w:t>” means (i) with respect to the initial Registration Statement required to be filed pursuant to Section 2(a), the earlier of the (A)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calendar day after the Closing Date (or the 120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calendar day after the Closing Date in the event that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34" w:name="page135"/>
    <w:bookmarkEnd w:id="134"/>
    <w:p>
      <w:pPr>
        <w:jc w:val="both"/>
        <w:spacing w:after="0" w:line="210" w:lineRule="auto"/>
        <w:rPr>
          <w:sz w:val="20"/>
          <w:szCs w:val="20"/>
          <w:color w:val="auto"/>
        </w:rPr>
      </w:pPr>
      <w:r>
        <w:rPr>
          <w:rFonts w:ascii="Arial" w:cs="Arial" w:eastAsia="Arial" w:hAnsi="Arial"/>
          <w:sz w:val="17"/>
          <w:szCs w:val="17"/>
          <w:color w:val="auto"/>
        </w:rPr>
        <w:t>Registration Statement is subject to review by the SEC) and (B)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following the date on which the Company was required to file such additional Registration Statement (or the 120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after such date in the event th at such Registration Statement is subject to review by the SEC) and (B)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Business Day after the date the Company is notified (orally or in writing, whichever is earlier) by the SEC that such Registration Statement will not be reviewed or will not be subject to further review.</w:t>
      </w:r>
    </w:p>
    <w:p>
      <w:pPr>
        <w:spacing w:after="0" w:line="201" w:lineRule="exact"/>
        <w:rPr>
          <w:sz w:val="20"/>
          <w:szCs w:val="20"/>
          <w:color w:val="auto"/>
        </w:rPr>
      </w:pPr>
    </w:p>
    <w:p>
      <w:pPr>
        <w:jc w:val="both"/>
        <w:ind w:firstLine="656"/>
        <w:spacing w:after="0" w:line="265" w:lineRule="auto"/>
        <w:tabs>
          <w:tab w:leader="none" w:pos="131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Filing Deadline</w:t>
      </w:r>
      <w:r>
        <w:rPr>
          <w:rFonts w:ascii="Arial" w:cs="Arial" w:eastAsia="Arial" w:hAnsi="Arial"/>
          <w:sz w:val="16"/>
          <w:szCs w:val="16"/>
          <w:color w:val="auto"/>
        </w:rPr>
        <w:t>” means (i) with respect to the initial Registration Statement required to be filed pursuant to Section 2(a),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calendar day after the Closing Date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78" w:lineRule="exact"/>
        <w:rPr>
          <w:rFonts w:ascii="Arial" w:cs="Arial" w:eastAsia="Arial" w:hAnsi="Arial"/>
          <w:sz w:val="16"/>
          <w:szCs w:val="16"/>
          <w:color w:val="auto"/>
        </w:rPr>
      </w:pPr>
    </w:p>
    <w:p>
      <w:pPr>
        <w:jc w:val="both"/>
        <w:ind w:firstLine="656"/>
        <w:spacing w:after="0" w:line="281" w:lineRule="auto"/>
        <w:tabs>
          <w:tab w:leader="none" w:pos="139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Investor</w:t>
      </w:r>
      <w:r>
        <w:rPr>
          <w:rFonts w:ascii="Arial" w:cs="Arial" w:eastAsia="Arial" w:hAnsi="Arial"/>
          <w:sz w:val="17"/>
          <w:szCs w:val="17"/>
          <w:color w:val="auto"/>
        </w:rPr>
        <w:t>” means a Buyer or any transferee or assignee of any Registrable Securities, Notes or Warrants, as applicable, to whom a Buyer assigns its rights under this Agreement and who agrees to become bound by the provisions of this Agreement in accordance with Section 9 and any transferee or assignee thereof to whom a transferee or assignee of any Registrable Securities, Notes or Warrants, as applicable, assigns its rights under this Agreement and who agrees to become bound by the provisions of this Agreement in accordance with Section 9.</w:t>
      </w:r>
    </w:p>
    <w:p>
      <w:pPr>
        <w:spacing w:after="0" w:line="164" w:lineRule="exact"/>
        <w:rPr>
          <w:rFonts w:ascii="Arial" w:cs="Arial" w:eastAsia="Arial" w:hAnsi="Arial"/>
          <w:sz w:val="17"/>
          <w:szCs w:val="17"/>
          <w:color w:val="auto"/>
        </w:rPr>
      </w:pPr>
    </w:p>
    <w:p>
      <w:pPr>
        <w:ind w:right="20" w:firstLine="656"/>
        <w:spacing w:after="0" w:line="282" w:lineRule="auto"/>
        <w:tabs>
          <w:tab w:leader="none" w:pos="157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or a government or any department or agency thereof.</w:t>
      </w:r>
    </w:p>
    <w:p>
      <w:pPr>
        <w:spacing w:after="0" w:line="161" w:lineRule="exact"/>
        <w:rPr>
          <w:rFonts w:ascii="Arial" w:cs="Arial" w:eastAsia="Arial" w:hAnsi="Arial"/>
          <w:sz w:val="18"/>
          <w:szCs w:val="18"/>
          <w:color w:val="auto"/>
        </w:rPr>
      </w:pPr>
    </w:p>
    <w:p>
      <w:pPr>
        <w:ind w:firstLine="656"/>
        <w:spacing w:after="0" w:line="313" w:lineRule="auto"/>
        <w:tabs>
          <w:tab w:leader="none" w:pos="136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w:t>
      </w:r>
      <w:r>
        <w:rPr>
          <w:rFonts w:ascii="Arial" w:cs="Arial" w:eastAsia="Arial" w:hAnsi="Arial"/>
          <w:sz w:val="17"/>
          <w:szCs w:val="17"/>
          <w:b w:val="1"/>
          <w:bCs w:val="1"/>
          <w:color w:val="auto"/>
        </w:rPr>
        <w:t>registered</w:t>
      </w:r>
      <w:r>
        <w:rPr>
          <w:rFonts w:ascii="Arial" w:cs="Arial" w:eastAsia="Arial" w:hAnsi="Arial"/>
          <w:sz w:val="17"/>
          <w:szCs w:val="17"/>
          <w:color w:val="auto"/>
        </w:rPr>
        <w:t>,” and “</w:t>
      </w:r>
      <w:r>
        <w:rPr>
          <w:rFonts w:ascii="Arial" w:cs="Arial" w:eastAsia="Arial" w:hAnsi="Arial"/>
          <w:sz w:val="17"/>
          <w:szCs w:val="17"/>
          <w:b w:val="1"/>
          <w:bCs w:val="1"/>
          <w:color w:val="auto"/>
        </w:rPr>
        <w:t>registration</w:t>
      </w:r>
      <w:r>
        <w:rPr>
          <w:rFonts w:ascii="Arial" w:cs="Arial" w:eastAsia="Arial" w:hAnsi="Arial"/>
          <w:sz w:val="17"/>
          <w:szCs w:val="17"/>
          <w:color w:val="auto"/>
        </w:rPr>
        <w:t>” refer to a registration effected by preparing and filing one or more Registration Statements in compliance with the 1933 Act and pursuant to Rule 415 and the declaration of effectiveness of such Registration Statement(s) by the SEC.</w:t>
      </w:r>
    </w:p>
    <w:p>
      <w:pPr>
        <w:spacing w:after="0" w:line="138" w:lineRule="exact"/>
        <w:rPr>
          <w:rFonts w:ascii="Arial" w:cs="Arial" w:eastAsia="Arial" w:hAnsi="Arial"/>
          <w:sz w:val="17"/>
          <w:szCs w:val="17"/>
          <w:color w:val="auto"/>
        </w:rPr>
      </w:pPr>
    </w:p>
    <w:p>
      <w:pPr>
        <w:jc w:val="both"/>
        <w:ind w:firstLine="656"/>
        <w:spacing w:after="0" w:line="277" w:lineRule="auto"/>
        <w:tabs>
          <w:tab w:leader="none" w:pos="144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Conversion Shares, (ii) the Warrant Shares and (iii) any capital stock of the Company issued or issuable with respect to the Conversion Shares, the Warrant Shares, the Notes or the Warrants,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(as defined in the Warrants) into which the shares of Common Stock are converted or exchanged, in each case, without regard to any limitations on conversion of the Notes or exer cise of the Warrants.</w:t>
      </w:r>
    </w:p>
    <w:p>
      <w:pPr>
        <w:spacing w:after="0" w:line="168" w:lineRule="exact"/>
        <w:rPr>
          <w:rFonts w:ascii="Arial" w:cs="Arial" w:eastAsia="Arial" w:hAnsi="Arial"/>
          <w:sz w:val="17"/>
          <w:szCs w:val="17"/>
          <w:color w:val="auto"/>
        </w:rPr>
      </w:pPr>
    </w:p>
    <w:p>
      <w:pPr>
        <w:ind w:firstLine="656"/>
        <w:spacing w:after="0" w:line="282" w:lineRule="auto"/>
        <w:tabs>
          <w:tab w:leader="none" w:pos="14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 registration statement or registration statements of the Company filed under the 1933 Act covering Registrable Securities.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5" w:name="page136"/>
    <w:bookmarkEnd w:id="135"/>
    <w:p>
      <w:pPr>
        <w:jc w:val="both"/>
        <w:ind w:firstLine="656"/>
        <w:spacing w:after="0" w:line="281" w:lineRule="auto"/>
        <w:tabs>
          <w:tab w:leader="none" w:pos="135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Registration Amount</w:t>
      </w:r>
      <w:r>
        <w:rPr>
          <w:rFonts w:ascii="Arial" w:cs="Arial" w:eastAsia="Arial" w:hAnsi="Arial"/>
          <w:sz w:val="17"/>
          <w:szCs w:val="17"/>
          <w:color w:val="auto"/>
        </w:rPr>
        <w:t>” means 133% of the sum of (i) the maximum number of Conversion Shares issued and issuable pursuant to the Notes and (ii) the maximum number of Warrant Shares issued and issuable pursuant to the Warrants, in each case, as of the Trading Day (as defined in the Warrants) immediately preceding the applicable date of determination (without taking into account any limitations on the conversion of the Notes or the exercise of the Warrants set forth therein), all subject to adjustment as provided in Section 2(d).</w:t>
      </w:r>
    </w:p>
    <w:p>
      <w:pPr>
        <w:spacing w:after="0" w:line="164" w:lineRule="exact"/>
        <w:rPr>
          <w:rFonts w:ascii="Arial" w:cs="Arial" w:eastAsia="Arial" w:hAnsi="Arial"/>
          <w:sz w:val="17"/>
          <w:szCs w:val="17"/>
          <w:color w:val="auto"/>
        </w:rPr>
      </w:pPr>
    </w:p>
    <w:p>
      <w:pPr>
        <w:jc w:val="both"/>
        <w:ind w:right="20" w:firstLine="656"/>
        <w:spacing w:after="0" w:line="266" w:lineRule="auto"/>
        <w:tabs>
          <w:tab w:leader="none" w:pos="140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spacing w:after="0" w:line="176" w:lineRule="exact"/>
        <w:rPr>
          <w:rFonts w:ascii="Arial" w:cs="Arial" w:eastAsia="Arial" w:hAnsi="Arial"/>
          <w:sz w:val="18"/>
          <w:szCs w:val="18"/>
          <w:color w:val="auto"/>
        </w:rPr>
      </w:pPr>
    </w:p>
    <w:p>
      <w:pPr>
        <w:ind w:firstLine="656"/>
        <w:spacing w:after="0" w:line="282" w:lineRule="auto"/>
        <w:tabs>
          <w:tab w:leader="none" w:pos="143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415</w:t>
      </w:r>
      <w:r>
        <w:rPr>
          <w:rFonts w:ascii="Arial" w:cs="Arial" w:eastAsia="Arial" w:hAnsi="Arial"/>
          <w:sz w:val="18"/>
          <w:szCs w:val="18"/>
          <w:color w:val="auto"/>
        </w:rPr>
        <w:t>” means Rule 415 promulgated by the SEC under the 1933 Act, as such rule may be amended from time to time, or any other similar or successor rule or regulation of the SEC providing for offering securities on a continuous or delayed basis.</w:t>
      </w:r>
    </w:p>
    <w:p>
      <w:pPr>
        <w:spacing w:after="0" w:line="161" w:lineRule="exact"/>
        <w:rPr>
          <w:rFonts w:ascii="Arial" w:cs="Arial" w:eastAsia="Arial" w:hAnsi="Arial"/>
          <w:sz w:val="18"/>
          <w:szCs w:val="18"/>
          <w:color w:val="auto"/>
        </w:rPr>
      </w:pPr>
    </w:p>
    <w:p>
      <w:pPr>
        <w:ind w:left="1360" w:hanging="704"/>
        <w:spacing w:after="0"/>
        <w:tabs>
          <w:tab w:leader="none" w:pos="13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 thereto.</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424" w:val="left"/>
        </w:tabs>
        <w:numPr>
          <w:ilvl w:val="1"/>
          <w:numId w:val="164"/>
        </w:numPr>
        <w:rPr>
          <w:rFonts w:ascii="Arial" w:cs="Arial" w:eastAsia="Arial" w:hAnsi="Arial"/>
          <w:sz w:val="17"/>
          <w:szCs w:val="17"/>
          <w:color w:val="auto"/>
        </w:rPr>
      </w:pPr>
      <w:r>
        <w:rPr>
          <w:rFonts w:ascii="Arial" w:cs="Arial" w:eastAsia="Arial" w:hAnsi="Arial"/>
          <w:sz w:val="17"/>
          <w:szCs w:val="17"/>
          <w:u w:val="single" w:color="auto"/>
          <w:color w:val="auto"/>
        </w:rPr>
        <w:t>Mandatory Registration</w:t>
      </w:r>
      <w:r>
        <w:rPr>
          <w:rFonts w:ascii="Arial" w:cs="Arial" w:eastAsia="Arial" w:hAnsi="Arial"/>
          <w:sz w:val="17"/>
          <w:szCs w:val="17"/>
          <w:color w:val="auto"/>
        </w:rPr>
        <w:t>. The Company shall prepare and, as soon as practicable, but in no event later than the Filing Deadline, file with the SEC an initial Registration Statement on Form S-1 covering the resale of all of the Registrable Securities, provided that such initial Registration Statement shall register for resale at least the number of shares of Common Stock equal to the Required Registration Amount as of the date such Registration Statement is initially filed with the SEC. Such initial Registration Statement, and each other Registration Statement required to filed pursuant to the terms of this Agreement, shall contain (except if otherwise directed by each of the Investors or the SE C)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 and “</w:t>
      </w:r>
      <w:r>
        <w:rPr>
          <w:rFonts w:ascii="Arial" w:cs="Arial" w:eastAsia="Arial" w:hAnsi="Arial"/>
          <w:sz w:val="17"/>
          <w:szCs w:val="17"/>
          <w:u w:val="single" w:color="auto"/>
          <w:color w:val="auto"/>
        </w:rPr>
        <w:t>Plan of Distribution</w:t>
      </w:r>
      <w:r>
        <w:rPr>
          <w:rFonts w:ascii="Arial" w:cs="Arial" w:eastAsia="Arial" w:hAnsi="Arial"/>
          <w:sz w:val="17"/>
          <w:szCs w:val="17"/>
          <w:color w:val="auto"/>
        </w:rPr>
        <w:t xml:space="preserve">” sections in substantially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The Company shall use its best efforts to have such initial Registration Statement, and each other Registration Statement required to filed pursuant to the terms of this Agreement, declared effective by the SEC as soon as practicable, but in no event later than the applicable Effectiveness Deadline for such Registration Statement.</w:t>
      </w:r>
    </w:p>
    <w:p>
      <w:pPr>
        <w:spacing w:after="0" w:line="174" w:lineRule="exact"/>
        <w:rPr>
          <w:rFonts w:ascii="Arial" w:cs="Arial" w:eastAsia="Arial" w:hAnsi="Arial"/>
          <w:sz w:val="17"/>
          <w:szCs w:val="17"/>
          <w:color w:val="auto"/>
        </w:rPr>
      </w:pPr>
    </w:p>
    <w:p>
      <w:pPr>
        <w:jc w:val="both"/>
        <w:ind w:firstLine="656"/>
        <w:spacing w:after="0" w:line="266" w:lineRule="auto"/>
        <w:tabs>
          <w:tab w:leader="none" w:pos="1421"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Legal Counsel</w:t>
      </w:r>
      <w:r>
        <w:rPr>
          <w:rFonts w:ascii="Arial" w:cs="Arial" w:eastAsia="Arial" w:hAnsi="Arial"/>
          <w:sz w:val="18"/>
          <w:szCs w:val="18"/>
          <w:color w:val="auto"/>
        </w:rPr>
        <w:t>. Subject to Section 5 hereof, Iroquois Master Fund Ltd. (“</w:t>
      </w:r>
      <w:r>
        <w:rPr>
          <w:rFonts w:ascii="Arial" w:cs="Arial" w:eastAsia="Arial" w:hAnsi="Arial"/>
          <w:sz w:val="18"/>
          <w:szCs w:val="18"/>
          <w:b w:val="1"/>
          <w:bCs w:val="1"/>
          <w:color w:val="auto"/>
        </w:rPr>
        <w:t>Iroquois</w:t>
      </w:r>
      <w:r>
        <w:rPr>
          <w:rFonts w:ascii="Arial" w:cs="Arial" w:eastAsia="Arial" w:hAnsi="Arial"/>
          <w:sz w:val="18"/>
          <w:szCs w:val="18"/>
          <w:color w:val="auto"/>
        </w:rPr>
        <w:t>”) shall have the right to select one (1) legal counsel to review and oversee, solely on its behalf, any registration pursuant to this Section 2 (“</w:t>
      </w:r>
      <w:r>
        <w:rPr>
          <w:rFonts w:ascii="Arial" w:cs="Arial" w:eastAsia="Arial" w:hAnsi="Arial"/>
          <w:sz w:val="18"/>
          <w:szCs w:val="18"/>
          <w:b w:val="1"/>
          <w:bCs w:val="1"/>
          <w:color w:val="auto"/>
        </w:rPr>
        <w:t>Legal Counsel</w:t>
      </w:r>
      <w:r>
        <w:rPr>
          <w:rFonts w:ascii="Arial" w:cs="Arial" w:eastAsia="Arial" w:hAnsi="Arial"/>
          <w:sz w:val="18"/>
          <w:szCs w:val="18"/>
          <w:color w:val="auto"/>
        </w:rPr>
        <w:t>”), which shall be Greenberg Traurig, LLP or such other counsel as thereafter designated by Iroquois.</w:t>
      </w:r>
    </w:p>
    <w:p>
      <w:pPr>
        <w:spacing w:after="0" w:line="180" w:lineRule="exact"/>
        <w:rPr>
          <w:rFonts w:ascii="Arial" w:cs="Arial" w:eastAsia="Arial" w:hAnsi="Arial"/>
          <w:sz w:val="18"/>
          <w:szCs w:val="18"/>
          <w:color w:val="auto"/>
        </w:rPr>
      </w:pPr>
    </w:p>
    <w:p>
      <w:pPr>
        <w:jc w:val="both"/>
        <w:ind w:firstLine="656"/>
        <w:spacing w:after="0" w:line="259" w:lineRule="auto"/>
        <w:tabs>
          <w:tab w:leader="none" w:pos="1383"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Use of Form S-3</w:t>
      </w:r>
      <w:r>
        <w:rPr>
          <w:rFonts w:ascii="Arial" w:cs="Arial" w:eastAsia="Arial" w:hAnsi="Arial"/>
          <w:sz w:val="18"/>
          <w:szCs w:val="18"/>
          <w:color w:val="auto"/>
        </w:rPr>
        <w:t>. The Company shall undertake to register the resale of all the Registrable Securities on Form S-3 as soon as such form is available, provided that the Company shall maintain the effectiveness of all Registration Statements then in effect until such time as a Registration Statement on Form S-3 covering the resale of all the Registrable Securities has been declared effective by the SEC and the prospectus contained therein is available for use.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6" w:name="page137"/>
    <w:bookmarkEnd w:id="136"/>
    <w:p>
      <w:pPr>
        <w:jc w:val="both"/>
        <w:ind w:firstLine="656"/>
        <w:spacing w:after="0" w:line="286" w:lineRule="auto"/>
        <w:tabs>
          <w:tab w:leader="none" w:pos="1475"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Sufficient Number of Shares Registered</w:t>
      </w:r>
      <w:r>
        <w:rPr>
          <w:rFonts w:ascii="Arial" w:cs="Arial" w:eastAsia="Arial" w:hAnsi="Arial"/>
          <w:sz w:val="16"/>
          <w:szCs w:val="16"/>
          <w:color w:val="auto"/>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 cticable, but in any event not later than fifteen (15)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the number of shares of Common Stock available for resale under the applicable Registration Statement is less than the product determined by multiplying (i ) the Required Registration Amount as of such time by (ii) 0.90. The calculation set forth in the foregoing sentence shall be made without regard to any limitations on (i) conversion of the Notes (and such calculation shall assume that the Notes are then fully convertible into shares of Common Stock at the then-prevailing applicable Conversion Price) and (ii) exercise of the Warrants (and such calculation shall assume that the Warrants are then fully exercisable for shares of Common Stock at the then-prevailing applicable Exercise Price).</w:t>
      </w:r>
    </w:p>
    <w:p>
      <w:pPr>
        <w:spacing w:after="0" w:line="168" w:lineRule="exact"/>
        <w:rPr>
          <w:rFonts w:ascii="Arial" w:cs="Arial" w:eastAsia="Arial" w:hAnsi="Arial"/>
          <w:sz w:val="16"/>
          <w:szCs w:val="16"/>
          <w:color w:val="auto"/>
        </w:rPr>
      </w:pPr>
    </w:p>
    <w:p>
      <w:pPr>
        <w:jc w:val="both"/>
        <w:ind w:firstLine="656"/>
        <w:spacing w:after="0" w:line="283" w:lineRule="auto"/>
        <w:tabs>
          <w:tab w:leader="none" w:pos="1397"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Effect of Failure to File and Obtain and Maintain Effectiveness of any Registration Statement</w:t>
      </w:r>
      <w:r>
        <w:rPr>
          <w:rFonts w:ascii="Arial" w:cs="Arial" w:eastAsia="Arial" w:hAnsi="Arial"/>
          <w:sz w:val="16"/>
          <w:szCs w:val="16"/>
          <w:color w:val="auto"/>
        </w:rPr>
        <w:t>. If (i) a Registration Statement covering the resale of all of the Registrable Securities required to be covered thereby (disregarding any reduction pursuant to Section 2(f)) and required to be filed by the Company pursuant to this Agreement is (A) not filed with the SEC on or before the Filing Deadline for such Registration Statement (a “</w:t>
      </w:r>
      <w:r>
        <w:rPr>
          <w:rFonts w:ascii="Arial" w:cs="Arial" w:eastAsia="Arial" w:hAnsi="Arial"/>
          <w:sz w:val="16"/>
          <w:szCs w:val="16"/>
          <w:b w:val="1"/>
          <w:bCs w:val="1"/>
          <w:color w:val="auto"/>
        </w:rPr>
        <w:t>Filing Failure</w:t>
      </w:r>
      <w:r>
        <w:rPr>
          <w:rFonts w:ascii="Arial" w:cs="Arial" w:eastAsia="Arial" w:hAnsi="Arial"/>
          <w:sz w:val="16"/>
          <w:szCs w:val="16"/>
          <w:color w:val="auto"/>
        </w:rPr>
        <w:t>”) (it being understood that if the Company files a Registration Statement without affording each Investor the opportunity to review and comment on the same as required by Section 3(c) hereof, th e Company shall be deemed to not have satisfied this clause (i)(A) and such event shall be deemed to be a Filing Failure) or (B) not declared effective by the SEC on or before the Effectiveness Deadline for such Registration Statement (an “</w:t>
      </w:r>
      <w:r>
        <w:rPr>
          <w:rFonts w:ascii="Arial" w:cs="Arial" w:eastAsia="Arial" w:hAnsi="Arial"/>
          <w:sz w:val="16"/>
          <w:szCs w:val="16"/>
          <w:b w:val="1"/>
          <w:bCs w:val="1"/>
          <w:color w:val="auto"/>
        </w:rPr>
        <w:t>Effectiveness Failure</w:t>
      </w:r>
      <w:r>
        <w:rPr>
          <w:rFonts w:ascii="Arial" w:cs="Arial" w:eastAsia="Arial" w:hAnsi="Arial"/>
          <w:sz w:val="16"/>
          <w:szCs w:val="16"/>
          <w:color w:val="auto"/>
        </w:rPr>
        <w:t>”) (it being understood that if on the Business Day immediately following the Effective Date for such Registration Statement the Company shall not have filed a “final” prospectus for such Registration Statement with the SEC under Rule 424(b) in accordance with Section 3(b) (whether or not such a prospectus is technically required by such rule), the Company shall be deemed to not have satisfied this clause (i)(B) and such event shall be deemed to be an Effectiveness Failure),</w:t>
      </w:r>
    </w:p>
    <w:p>
      <w:pPr>
        <w:spacing w:after="0" w:line="6" w:lineRule="exact"/>
        <w:rPr>
          <w:rFonts w:ascii="Arial" w:cs="Arial" w:eastAsia="Arial" w:hAnsi="Arial"/>
          <w:sz w:val="16"/>
          <w:szCs w:val="16"/>
          <w:color w:val="auto"/>
        </w:rPr>
      </w:pPr>
    </w:p>
    <w:p>
      <w:pPr>
        <w:jc w:val="both"/>
        <w:ind w:firstLine="8"/>
        <w:spacing w:after="0" w:line="254" w:lineRule="auto"/>
        <w:tabs>
          <w:tab w:leader="none" w:pos="28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than during an Allowable Grace Period (as defined below), on any day after the Effective Date of a Registration Statement sales of all of the Registrable Securities required to be included on such Registration Statement (disregarding any reduction pursuant to Section 2(f)) cannot be made pursuant to such Registration Statement (including, without limitation, because of a failure to keep such Registration Statement effective, a failure to disclose such information as is necessary for sales to be made pursuant to such Registration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7" w:name="page138"/>
    <w:bookmarkEnd w:id="137"/>
    <w:p>
      <w:pPr>
        <w:jc w:val="both"/>
        <w:spacing w:after="0" w:line="274" w:lineRule="auto"/>
        <w:rPr>
          <w:sz w:val="20"/>
          <w:szCs w:val="20"/>
          <w:color w:val="auto"/>
        </w:rPr>
      </w:pPr>
      <w:r>
        <w:rPr>
          <w:rFonts w:ascii="Arial" w:cs="Arial" w:eastAsia="Arial" w:hAnsi="Arial"/>
          <w:sz w:val="16"/>
          <w:szCs w:val="16"/>
          <w:color w:val="auto"/>
        </w:rPr>
        <w:t>Statement, a suspension or delisting of (or a failure to timely list) the shares of Common Stock on the Principal Market, or a failure to register a sufficient number of shares of Common Stock or by reason of a stop order) or the prospectus contained therein is not available for use for any reason (a “</w:t>
      </w:r>
      <w:r>
        <w:rPr>
          <w:rFonts w:ascii="Arial" w:cs="Arial" w:eastAsia="Arial" w:hAnsi="Arial"/>
          <w:sz w:val="16"/>
          <w:szCs w:val="16"/>
          <w:b w:val="1"/>
          <w:bCs w:val="1"/>
          <w:color w:val="auto"/>
        </w:rPr>
        <w:t>Maintenance</w:t>
      </w:r>
      <w:r>
        <w:rPr>
          <w:rFonts w:ascii="Arial" w:cs="Arial" w:eastAsia="Arial" w:hAnsi="Arial"/>
          <w:sz w:val="16"/>
          <w:szCs w:val="16"/>
          <w:color w:val="auto"/>
        </w:rPr>
        <w:t xml:space="preserve"> </w:t>
      </w:r>
      <w:r>
        <w:rPr>
          <w:rFonts w:ascii="Arial" w:cs="Arial" w:eastAsia="Arial" w:hAnsi="Arial"/>
          <w:sz w:val="16"/>
          <w:szCs w:val="16"/>
          <w:b w:val="1"/>
          <w:bCs w:val="1"/>
          <w:color w:val="auto"/>
        </w:rPr>
        <w:t>Failure</w:t>
      </w:r>
      <w:r>
        <w:rPr>
          <w:rFonts w:ascii="Arial" w:cs="Arial" w:eastAsia="Arial" w:hAnsi="Arial"/>
          <w:sz w:val="16"/>
          <w:szCs w:val="16"/>
          <w:color w:val="auto"/>
        </w:rPr>
        <w:t>”), or (iii) if a Registration Statement is not effective for any reason or the prospectus contained therein is not available for use for any reason,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fails to file with the SEC any required reports under Section 13 or 15(d) of the 1934 Act such that it is not in compliance with Rule 144(c)(1) (or Rule 144(i)(2), if applicable) (a “</w:t>
      </w:r>
      <w:r>
        <w:rPr>
          <w:rFonts w:ascii="Arial" w:cs="Arial" w:eastAsia="Arial" w:hAnsi="Arial"/>
          <w:sz w:val="16"/>
          <w:szCs w:val="16"/>
          <w:b w:val="1"/>
          <w:bCs w:val="1"/>
          <w:color w:val="auto"/>
        </w:rPr>
        <w:t>Current Public Information Failure</w:t>
      </w:r>
      <w:r>
        <w:rPr>
          <w:rFonts w:ascii="Arial" w:cs="Arial" w:eastAsia="Arial" w:hAnsi="Arial"/>
          <w:sz w:val="16"/>
          <w:szCs w:val="16"/>
          <w:color w:val="auto"/>
        </w:rPr>
        <w:t>”) as a re sult of which any of the Investors are unable to sell Registrable Securities without restriction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the Company shall pay to each holder of Registrable Securities relating to such Registration Statement an amount in cash equal to one percent (1%) of such Investor’s original principal amount stated in such Investor’s Note on the Closing Date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 uch Maintenance Failure is cured; and (IV) a Current Public Information Failure until the earlier of (i) the date such Current Public Information Failure is cured and (ii) such time that such public information is no longer required pursuant to Rule 144 (in each case, pro rated for periods totaling less than thirty (30) days). The payments to which a holder of Registrable Securities shall be entitled pursuant to this Section 2(e) are referred to herein as “</w:t>
      </w:r>
      <w:r>
        <w:rPr>
          <w:rFonts w:ascii="Arial" w:cs="Arial" w:eastAsia="Arial" w:hAnsi="Arial"/>
          <w:sz w:val="16"/>
          <w:szCs w:val="16"/>
          <w:b w:val="1"/>
          <w:bCs w:val="1"/>
          <w:color w:val="auto"/>
        </w:rPr>
        <w:t>Registration Delay</w:t>
      </w:r>
      <w:r>
        <w:rPr>
          <w:rFonts w:ascii="Arial" w:cs="Arial" w:eastAsia="Arial" w:hAnsi="Arial"/>
          <w:sz w:val="16"/>
          <w:szCs w:val="16"/>
          <w:color w:val="auto"/>
        </w:rPr>
        <w:t xml:space="preserve"> </w:t>
      </w:r>
      <w:r>
        <w:rPr>
          <w:rFonts w:ascii="Arial" w:cs="Arial" w:eastAsia="Arial" w:hAnsi="Arial"/>
          <w:sz w:val="16"/>
          <w:szCs w:val="16"/>
          <w:b w:val="1"/>
          <w:bCs w:val="1"/>
          <w:color w:val="auto"/>
        </w:rPr>
        <w:t>Payments</w:t>
      </w:r>
      <w:r>
        <w:rPr>
          <w:rFonts w:ascii="Arial" w:cs="Arial" w:eastAsia="Arial" w:hAnsi="Arial"/>
          <w:sz w:val="16"/>
          <w:szCs w:val="16"/>
          <w:color w:val="auto"/>
        </w:rPr>
        <w:t>.” Following the initial Registration Delay Payment for any particular event or failure (which shall be paid on the first (1</w:t>
      </w:r>
      <w:r>
        <w:rPr>
          <w:rFonts w:ascii="Arial" w:cs="Arial" w:eastAsia="Arial" w:hAnsi="Arial"/>
          <w:sz w:val="22"/>
          <w:szCs w:val="22"/>
          <w:color w:val="auto"/>
          <w:vertAlign w:val="superscript"/>
        </w:rPr>
        <w:t>st</w:t>
      </w:r>
      <w:r>
        <w:rPr>
          <w:rFonts w:ascii="Arial" w:cs="Arial" w:eastAsia="Arial" w:hAnsi="Arial"/>
          <w:sz w:val="16"/>
          <w:szCs w:val="16"/>
          <w:color w:val="auto"/>
        </w:rPr>
        <w:t>)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following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w:t>
      </w:r>
      <w:r>
        <w:rPr>
          <w:rFonts w:ascii="Arial" w:cs="Arial" w:eastAsia="Arial" w:hAnsi="Arial"/>
          <w:sz w:val="22"/>
          <w:szCs w:val="22"/>
          <w:color w:val="auto"/>
          <w:vertAlign w:val="superscript"/>
        </w:rPr>
        <w:t>rd</w:t>
      </w:r>
      <w:r>
        <w:rPr>
          <w:rFonts w:ascii="Arial" w:cs="Arial" w:eastAsia="Arial" w:hAnsi="Arial"/>
          <w:sz w:val="16"/>
          <w:szCs w:val="16"/>
          <w:color w:val="auto"/>
        </w:rPr>
        <w:t>) Business Day after such cure. In the event the Company fails to make Registration Delay Payments in a timely manner in accordance with the foregoing, such Registration Delay Payments shall bear interest at the rate of one and one-half percent (1.5%) per month (prorated for partial months) until paid in full. Notwithstanding the foregoing, no Registration Delay Payments shall be owed to an Investor (other than with respect to a Maintenance Failure resulting from a suspension or delisting of (or a failure to timely list) the shares of Common Stock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spacing w:after="0" w:line="200" w:lineRule="exact"/>
        <w:rPr>
          <w:sz w:val="20"/>
          <w:szCs w:val="20"/>
          <w:color w:val="auto"/>
        </w:rPr>
      </w:pPr>
    </w:p>
    <w:p>
      <w:pPr>
        <w:spacing w:after="0" w:line="207" w:lineRule="exact"/>
        <w:rPr>
          <w:sz w:val="20"/>
          <w:szCs w:val="20"/>
          <w:color w:val="auto"/>
        </w:rPr>
      </w:pPr>
    </w:p>
    <w:p>
      <w:pPr>
        <w:jc w:val="both"/>
        <w:ind w:firstLine="656"/>
        <w:spacing w:after="0" w:line="297" w:lineRule="auto"/>
        <w:tabs>
          <w:tab w:leader="none" w:pos="1498"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Offering</w:t>
      </w:r>
      <w:r>
        <w:rPr>
          <w:rFonts w:ascii="Arial" w:cs="Arial" w:eastAsia="Arial" w:hAnsi="Arial"/>
          <w:sz w:val="16"/>
          <w:szCs w:val="16"/>
          <w:color w:val="auto"/>
        </w:rPr>
        <w:t>. Notwithstanding anything to the contrary contained in this Agreement, but subject to the payment of the Registration Delay Payments pursuant to Section 2(e), in the event the staff of the SEC (the “</w:t>
      </w:r>
      <w:r>
        <w:rPr>
          <w:rFonts w:ascii="Arial" w:cs="Arial" w:eastAsia="Arial" w:hAnsi="Arial"/>
          <w:sz w:val="16"/>
          <w:szCs w:val="16"/>
          <w:b w:val="1"/>
          <w:bCs w:val="1"/>
          <w:color w:val="auto"/>
        </w:rPr>
        <w:t>Staff</w:t>
      </w:r>
      <w:r>
        <w:rPr>
          <w:rFonts w:ascii="Arial" w:cs="Arial" w:eastAsia="Arial" w:hAnsi="Arial"/>
          <w:sz w:val="16"/>
          <w:szCs w:val="16"/>
          <w:color w:val="auto"/>
        </w:rPr>
        <w:t>”)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 e continuous resale at the market by the Investors participating therein (or as otherwise may be acceptable to each Investor) without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8" w:name="page139"/>
    <w:bookmarkEnd w:id="138"/>
    <w:p>
      <w:pPr>
        <w:jc w:val="both"/>
        <w:spacing w:after="0" w:line="284" w:lineRule="auto"/>
        <w:rPr>
          <w:sz w:val="20"/>
          <w:szCs w:val="20"/>
          <w:color w:val="auto"/>
        </w:rPr>
      </w:pPr>
      <w:r>
        <w:rPr>
          <w:rFonts w:ascii="Arial" w:cs="Arial" w:eastAsia="Arial" w:hAnsi="Arial"/>
          <w:sz w:val="16"/>
          <w:szCs w:val="16"/>
          <w:color w:val="auto"/>
        </w:rPr>
        <w:t>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in the event of any such pro rata reduction, the number of Series C Warrant Shares shall first be reduced until all Series C Warrant Shares have been eliminated from such Registration Statement (if so required), then the number of Series A Warrant Shares shall first be reduced until all Series A Warrant Shares have been eliminated from such Registration Statement (if so required), then the number of Series B Warrant Shares shall first be reduced until all Series B Warrant Shares have been eliminated from such Registration Statement (if so required) and then the number of Conversion Shares shall be reduced until all Conversion Shares have been eliminated from such Registration Statement (if so required). In addition, in the event that the Staff or the SEC requires any Investor seeking to sell securities under a Regist 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thirty (30)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 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9" w:name="page140"/>
    <w:bookmarkEnd w:id="139"/>
    <w:p>
      <w:pPr>
        <w:jc w:val="both"/>
        <w:ind w:firstLine="656"/>
        <w:spacing w:after="0" w:line="269" w:lineRule="auto"/>
        <w:tabs>
          <w:tab w:leader="none" w:pos="1407"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t>Piggyback Registrations</w:t>
      </w:r>
      <w:r>
        <w:rPr>
          <w:rFonts w:ascii="Arial" w:cs="Arial" w:eastAsia="Arial" w:hAnsi="Arial"/>
          <w:sz w:val="17"/>
          <w:szCs w:val="17"/>
          <w:color w:val="auto"/>
        </w:rPr>
        <w:t>.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 ity securities issuable in connection with the Company’s stock option or other employee benefit plans), then the Company shall deliver to each Investor a written notice of such determination and, if within fifteen (15) days after the date of the delivery of such notice, any such Investor shall so request in writing, the Company shall include in such registration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then-effective Registration Statement.</w:t>
      </w:r>
    </w:p>
    <w:p>
      <w:pPr>
        <w:spacing w:after="0" w:line="182" w:lineRule="exact"/>
        <w:rPr>
          <w:rFonts w:ascii="Arial" w:cs="Arial" w:eastAsia="Arial" w:hAnsi="Arial"/>
          <w:sz w:val="17"/>
          <w:szCs w:val="17"/>
          <w:color w:val="auto"/>
        </w:rPr>
      </w:pPr>
    </w:p>
    <w:p>
      <w:pPr>
        <w:jc w:val="both"/>
        <w:ind w:firstLine="656"/>
        <w:spacing w:after="0" w:line="290" w:lineRule="auto"/>
        <w:tabs>
          <w:tab w:leader="none" w:pos="1407"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Allocation of Registrable Securities</w:t>
      </w:r>
      <w:r>
        <w:rPr>
          <w:rFonts w:ascii="Arial" w:cs="Arial" w:eastAsia="Arial" w:hAnsi="Arial"/>
          <w:sz w:val="16"/>
          <w:szCs w:val="16"/>
          <w:color w:val="auto"/>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 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spacing w:after="0" w:line="166" w:lineRule="exact"/>
        <w:rPr>
          <w:rFonts w:ascii="Arial" w:cs="Arial" w:eastAsia="Arial" w:hAnsi="Arial"/>
          <w:sz w:val="16"/>
          <w:szCs w:val="16"/>
          <w:color w:val="auto"/>
        </w:rPr>
      </w:pPr>
    </w:p>
    <w:p>
      <w:pPr>
        <w:jc w:val="both"/>
        <w:ind w:firstLine="656"/>
        <w:spacing w:after="0" w:line="264" w:lineRule="auto"/>
        <w:tabs>
          <w:tab w:leader="none" w:pos="1313"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No Inclusion of Other Securities</w:t>
      </w:r>
      <w:r>
        <w:rPr>
          <w:rFonts w:ascii="Arial" w:cs="Arial" w:eastAsia="Arial" w:hAnsi="Arial"/>
          <w:sz w:val="18"/>
          <w:szCs w:val="18"/>
          <w:color w:val="auto"/>
        </w:rPr>
        <w:t>. In no event shall the Company include any securities other than Registrable Securities on any Registration Statement without the prior written consent of each of the Investors. Until the Applicable Date, the Company shall not enter into any agreement providing any registration rights to any of its security holders.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Related Obligations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shall use its best efforts to effect the registration of the Registrable Securities in accordance with the intended method of disposition thereof, and, pursuant thereto, the Company shall have the following obligations:</w:t>
      </w:r>
    </w:p>
    <w:p>
      <w:pPr>
        <w:spacing w:after="0" w:line="170" w:lineRule="exact"/>
        <w:rPr>
          <w:sz w:val="20"/>
          <w:szCs w:val="20"/>
          <w:color w:val="auto"/>
        </w:rPr>
      </w:pPr>
    </w:p>
    <w:p>
      <w:pPr>
        <w:jc w:val="both"/>
        <w:ind w:firstLine="656"/>
        <w:spacing w:after="0" w:line="264" w:lineRule="auto"/>
        <w:tabs>
          <w:tab w:leader="none" w:pos="1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promptly prepare and file with the SEC a Registration Statement with respect to all the Registrable Securities (but in no event later than the applicable Filing Deadline) and use its best efforts to cause such Registration Statement to become effective as soon as practicable after such filing (but in no event later than the Effectiveness Deadline).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0" w:name="page141"/>
    <w:bookmarkEnd w:id="140"/>
    <w:p>
      <w:pPr>
        <w:jc w:val="both"/>
        <w:spacing w:after="0" w:line="286" w:lineRule="auto"/>
        <w:rPr>
          <w:sz w:val="20"/>
          <w:szCs w:val="20"/>
          <w:color w:val="auto"/>
        </w:rPr>
      </w:pPr>
      <w:r>
        <w:rPr>
          <w:rFonts w:ascii="Arial" w:cs="Arial" w:eastAsia="Arial" w:hAnsi="Arial"/>
          <w:sz w:val="16"/>
          <w:szCs w:val="16"/>
          <w:color w:val="auto"/>
        </w:rPr>
        <w:t>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or (ii) the date on which the Investors shall have sold all of the Registrable Securities covered by such Registrat ion Statement (the “</w:t>
      </w:r>
      <w:r>
        <w:rPr>
          <w:rFonts w:ascii="Arial" w:cs="Arial" w:eastAsia="Arial" w:hAnsi="Arial"/>
          <w:sz w:val="16"/>
          <w:szCs w:val="16"/>
          <w:b w:val="1"/>
          <w:bCs w:val="1"/>
          <w:color w:val="auto"/>
        </w:rPr>
        <w:t>Registration Period</w:t>
      </w:r>
      <w:r>
        <w:rPr>
          <w:rFonts w:ascii="Arial" w:cs="Arial" w:eastAsia="Arial" w:hAnsi="Arial"/>
          <w:sz w:val="16"/>
          <w:szCs w:val="16"/>
          <w:color w:val="auto"/>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 (1) Busine 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forty-eight (48) hours after the submission of such request.</w:t>
      </w:r>
    </w:p>
    <w:p>
      <w:pPr>
        <w:spacing w:after="0" w:line="169" w:lineRule="exact"/>
        <w:rPr>
          <w:sz w:val="20"/>
          <w:szCs w:val="20"/>
          <w:color w:val="auto"/>
        </w:rPr>
      </w:pPr>
    </w:p>
    <w:p>
      <w:pPr>
        <w:jc w:val="both"/>
        <w:ind w:firstLine="656"/>
        <w:spacing w:after="0" w:line="268" w:lineRule="auto"/>
        <w:tabs>
          <w:tab w:leader="none" w:pos="161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(including any supplement thereto)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 ll of such 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report on Form 10-Q or Form 10-K or any analogous report under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the Company shall have inco 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1" w:name="page142"/>
    <w:bookmarkEnd w:id="141"/>
    <w:p>
      <w:pPr>
        <w:jc w:val="both"/>
        <w:ind w:firstLine="656"/>
        <w:spacing w:after="0" w:line="286" w:lineRule="auto"/>
        <w:tabs>
          <w:tab w:leader="none" w:pos="137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shall (A) permit Legal Counsel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Legal Counsel reasonably objects. The Company shall not submit a request for acceleration of the effectiveness of a Registration Statement or any amendment or suppl ement thereto or to any prospectus contained therein without the prior consent of Legal Counsel, which consent shall not be unreasonably withheld. The Company shall promptly furnish to Legal Counsel, without charge, (i) copies of any correspondence from the SEC or the Staff to the Company or its representatives relating to each Registration Statement, provided that such correspondence shall not contain any material, non-public information regarding the Company or any of its Subsidiaries, (ii) after the same is prepared and filed with the SEC, one (1) copy of each Registration Statement and any amendment(s) and supplement(s) thereto, including, without limitation, financial statements and schedules, all documents incorporated therein by reference, if requested by an Investor, and all exhibits and (iii) upon the effectiveness of each Registration Statement, one (1) copy of the prospectus included in such Registration Statement and all amendments and supplements thereto, if requested by an Investor. T he Company shall reasonably cooperate with Legal Counsel in performing the Company’s obligations pursuant to this Section 3.</w:t>
      </w:r>
    </w:p>
    <w:p>
      <w:pPr>
        <w:spacing w:after="0" w:line="174" w:lineRule="exact"/>
        <w:rPr>
          <w:rFonts w:ascii="Arial" w:cs="Arial" w:eastAsia="Arial" w:hAnsi="Arial"/>
          <w:sz w:val="16"/>
          <w:szCs w:val="16"/>
          <w:color w:val="auto"/>
        </w:rPr>
      </w:pPr>
    </w:p>
    <w:p>
      <w:pPr>
        <w:jc w:val="both"/>
        <w:ind w:firstLine="656"/>
        <w:spacing w:after="0" w:line="291" w:lineRule="auto"/>
        <w:tabs>
          <w:tab w:leader="none" w:pos="147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shall promptly furnish to each Investor whose Registrable Securities are included in any Registration Statement, without charge, (i) after the same is prepared and filed with the SEC, at least one (1) copy of each Registration Statement and any amendment(s) and supplement(s) thereto, including, without limitation, financial statements and schedules, all documents incorporated therein by reference, if requested by an Investor, all exhibits and each preliminary prospectus, (ii) upon the effectiveness of each Registration Statement, ten (10) copies of the prospectus included in such Registration Statement and all amendments and supplements thereto (or such other number of copies as such Investor may reasonably request from time to time), if requested by an I nvestor and (iii) such other documents (including, without limitation, copies of any preliminary or final prospectus) as such Investor may reasonably request from time to time in order to facilitate the disposition of the Registrable Securities owned by such Investor.</w:t>
      </w:r>
    </w:p>
    <w:p>
      <w:pPr>
        <w:spacing w:after="0" w:line="167" w:lineRule="exact"/>
        <w:rPr>
          <w:rFonts w:ascii="Arial" w:cs="Arial" w:eastAsia="Arial" w:hAnsi="Arial"/>
          <w:sz w:val="16"/>
          <w:szCs w:val="16"/>
          <w:color w:val="auto"/>
        </w:rPr>
      </w:pPr>
    </w:p>
    <w:p>
      <w:pPr>
        <w:jc w:val="both"/>
        <w:ind w:firstLine="656"/>
        <w:spacing w:after="0" w:line="272" w:lineRule="auto"/>
        <w:tabs>
          <w:tab w:leader="none" w:pos="136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2" w:name="page143"/>
    <w:bookmarkEnd w:id="142"/>
    <w:p>
      <w:pPr>
        <w:jc w:val="both"/>
        <w:spacing w:after="0" w:line="257" w:lineRule="auto"/>
        <w:rPr>
          <w:sz w:val="20"/>
          <w:szCs w:val="20"/>
          <w:color w:val="auto"/>
        </w:rPr>
      </w:pPr>
      <w:r>
        <w:rPr>
          <w:rFonts w:ascii="Arial" w:cs="Arial" w:eastAsia="Arial" w:hAnsi="Arial"/>
          <w:sz w:val="18"/>
          <w:szCs w:val="18"/>
          <w:color w:val="auto"/>
        </w:rPr>
        <w:t>not otherwise be required to qualify but for this Section 3(e),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88" w:lineRule="exact"/>
        <w:rPr>
          <w:sz w:val="20"/>
          <w:szCs w:val="20"/>
          <w:color w:val="auto"/>
        </w:rPr>
      </w:pPr>
    </w:p>
    <w:p>
      <w:pPr>
        <w:jc w:val="both"/>
        <w:ind w:firstLine="656"/>
        <w:spacing w:after="0" w:line="282" w:lineRule="auto"/>
        <w:tabs>
          <w:tab w:leader="none" w:pos="135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 nd such prospectus contained therein to correct such untrue statement or omission and deliver ten (10) copies of such supplement or amendment to Legal Counsel, legal counsel for each other Investor and each Investor (or such other number of copies as Legal Counsel, legal counsel for each other Investor or such Investor may reasonably request). The Company shall also promptly notify Legal Counsel, legal counsel for each other Investor and each Investor in writing (i) when a prospectus or any prospectus supplement or post-effective amendment has been filed, when a Registration Statement or any post-effective amendment has become effective (notification of such effectiveness shall be delivered to Legal Counsel, legal counsel for each other Investor and each Investor by facsimile or e-mail on the same day of such effectiveness and by overnight mail), and when the Company receives written notice from the SEC that a Registration Statement or any post-effective amendment will be reviewed by the SEC, (ii) of any req 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 (it being understood and agreed that the Company’s response to any such comments shall be delivered to the SEC no later than ten</w:t>
      </w:r>
    </w:p>
    <w:p>
      <w:pPr>
        <w:spacing w:after="0" w:line="12" w:lineRule="exact"/>
        <w:rPr>
          <w:rFonts w:ascii="Arial" w:cs="Arial" w:eastAsia="Arial" w:hAnsi="Arial"/>
          <w:sz w:val="16"/>
          <w:szCs w:val="16"/>
          <w:color w:val="auto"/>
        </w:rPr>
      </w:pPr>
    </w:p>
    <w:p>
      <w:pPr>
        <w:ind w:left="360" w:hanging="352"/>
        <w:spacing w:after="0"/>
        <w:tabs>
          <w:tab w:leader="none" w:pos="3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Business Days after the receipt therof).</w:t>
      </w:r>
    </w:p>
    <w:p>
      <w:pPr>
        <w:spacing w:after="0" w:line="210" w:lineRule="exact"/>
        <w:rPr>
          <w:rFonts w:ascii="Arial" w:cs="Arial" w:eastAsia="Arial" w:hAnsi="Arial"/>
          <w:sz w:val="18"/>
          <w:szCs w:val="18"/>
          <w:color w:val="auto"/>
        </w:rPr>
      </w:pPr>
    </w:p>
    <w:p>
      <w:pPr>
        <w:jc w:val="both"/>
        <w:ind w:firstLine="656"/>
        <w:spacing w:after="0" w:line="297" w:lineRule="auto"/>
        <w:tabs>
          <w:tab w:leader="none" w:pos="135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3" w:name="page144"/>
    <w:bookmarkEnd w:id="143"/>
    <w:p>
      <w:pPr>
        <w:jc w:val="both"/>
        <w:ind w:firstLine="656"/>
        <w:spacing w:after="0" w:line="293" w:lineRule="auto"/>
        <w:tabs>
          <w:tab w:leader="none" w:pos="142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If any Investor may be required under applicable securities law to be described in any Registration Statement as an underwriter and such Investor consents to so being named an underwriter, at the request of any Investor, the Company shall furnish to such Investor,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40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(ii) legal counsel for such Investor and (iii) one (1) firm of accountants or other agents retained by such Investor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pertinent financial and other records, and pertinent corporate documents and properties of the Company (collectively, the “</w:t>
      </w:r>
      <w:r>
        <w:rPr>
          <w:rFonts w:ascii="Arial" w:cs="Arial" w:eastAsia="Arial" w:hAnsi="Arial"/>
          <w:sz w:val="16"/>
          <w:szCs w:val="16"/>
          <w:b w:val="1"/>
          <w:bCs w:val="1"/>
          <w:color w:val="auto"/>
        </w:rPr>
        <w:t>Records</w:t>
      </w:r>
      <w:r>
        <w:rPr>
          <w:rFonts w:ascii="Arial" w:cs="Arial" w:eastAsia="Arial" w:hAnsi="Arial"/>
          <w:sz w:val="16"/>
          <w:szCs w:val="16"/>
          <w:color w:val="auto"/>
        </w:rPr>
        <w:t>”), as shall be reasonably deemed necessary by each In spector,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Transaction Document.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spacing w:after="0" w:line="168" w:lineRule="exact"/>
        <w:rPr>
          <w:rFonts w:ascii="Arial" w:cs="Arial" w:eastAsia="Arial" w:hAnsi="Arial"/>
          <w:sz w:val="16"/>
          <w:szCs w:val="16"/>
          <w:color w:val="auto"/>
        </w:rPr>
      </w:pPr>
    </w:p>
    <w:p>
      <w:pPr>
        <w:ind w:left="1340" w:hanging="684"/>
        <w:spacing w:after="0"/>
        <w:tabs>
          <w:tab w:leader="none" w:pos="13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Company shall hold in confidence and not make any disclosure of information concerning an Investor provided to the Company unless</w:t>
      </w:r>
    </w:p>
    <w:p>
      <w:pPr>
        <w:spacing w:after="0" w:line="46" w:lineRule="exact"/>
        <w:rPr>
          <w:rFonts w:ascii="Arial" w:cs="Arial" w:eastAsia="Arial" w:hAnsi="Arial"/>
          <w:sz w:val="16"/>
          <w:szCs w:val="16"/>
          <w:color w:val="auto"/>
        </w:rPr>
      </w:pPr>
    </w:p>
    <w:p>
      <w:pPr>
        <w:jc w:val="both"/>
        <w:ind w:firstLine="8"/>
        <w:spacing w:after="0" w:line="288" w:lineRule="auto"/>
        <w:tabs>
          <w:tab w:leader="none" w:pos="22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 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4" w:name="page145"/>
    <w:bookmarkEnd w:id="144"/>
    <w:p>
      <w:pPr>
        <w:ind w:left="1400" w:hanging="744"/>
        <w:spacing w:after="0"/>
        <w:tabs>
          <w:tab w:leader="none" w:pos="140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Without limiting any obligation of the Company under the Securities Purchase Agreement, the Company shall use its best efforts either to</w:t>
      </w:r>
    </w:p>
    <w:p>
      <w:pPr>
        <w:spacing w:after="0" w:line="46" w:lineRule="exact"/>
        <w:rPr>
          <w:rFonts w:ascii="Arial" w:cs="Arial" w:eastAsia="Arial" w:hAnsi="Arial"/>
          <w:sz w:val="16"/>
          <w:szCs w:val="16"/>
          <w:color w:val="auto"/>
        </w:rPr>
      </w:pPr>
    </w:p>
    <w:p>
      <w:pPr>
        <w:jc w:val="both"/>
        <w:ind w:firstLine="8"/>
        <w:spacing w:after="0" w:line="287" w:lineRule="auto"/>
        <w:tabs>
          <w:tab w:leader="none" w:pos="21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 (ii) secure designation and quotation of all of the Registrable Securities covered by each Registration Statement on the OTC Bulletin Board, or (iii) if, despite the Company’s best efforts to satisfy the preceding clauses (i) or (ii) the Company is unsuccessful in satisfying the preceding clauses (i) or (ii), withou t limiting the generality of the foregoing, to use its best efforts to arrange for at least two market makers to register with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as such with respect to such Registrable Securities. In addition, the Company shall cooperate with each Investor and any broker or dealer through which any such Investor proposes to sell its Registrable Securities in effecting a filing with FINRA pursuant to FINRA Rule 5110 as requested by such Investor. The Company shall pay all fees and expenses in connection with satisfying its obligations under this Section 3(k).</w:t>
      </w:r>
    </w:p>
    <w:p>
      <w:pPr>
        <w:spacing w:after="0" w:line="170" w:lineRule="exact"/>
        <w:rPr>
          <w:rFonts w:ascii="Arial" w:cs="Arial" w:eastAsia="Arial" w:hAnsi="Arial"/>
          <w:sz w:val="16"/>
          <w:szCs w:val="16"/>
          <w:color w:val="auto"/>
        </w:rPr>
      </w:pPr>
    </w:p>
    <w:p>
      <w:pPr>
        <w:jc w:val="both"/>
        <w:ind w:firstLine="656"/>
        <w:spacing w:after="0" w:line="259" w:lineRule="auto"/>
        <w:tabs>
          <w:tab w:leader="none" w:pos="138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w:t>
      </w:r>
    </w:p>
    <w:p>
      <w:pPr>
        <w:spacing w:after="0" w:line="186" w:lineRule="exact"/>
        <w:rPr>
          <w:rFonts w:ascii="Arial" w:cs="Arial" w:eastAsia="Arial" w:hAnsi="Arial"/>
          <w:sz w:val="18"/>
          <w:szCs w:val="18"/>
          <w:color w:val="auto"/>
        </w:rPr>
      </w:pPr>
    </w:p>
    <w:p>
      <w:pPr>
        <w:jc w:val="both"/>
        <w:ind w:firstLine="656"/>
        <w:spacing w:after="0" w:line="272" w:lineRule="auto"/>
        <w:tabs>
          <w:tab w:leader="none" w:pos="1434"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 upplement or post-effective amendment; and (iii) supplement or make amendments to any Registration Statement or prospectus contained therein if reasonably requested by an Investor holding any Registrable Securities.</w:t>
      </w:r>
    </w:p>
    <w:p>
      <w:pPr>
        <w:spacing w:after="0" w:line="177" w:lineRule="exact"/>
        <w:rPr>
          <w:rFonts w:ascii="Arial" w:cs="Arial" w:eastAsia="Arial" w:hAnsi="Arial"/>
          <w:sz w:val="17"/>
          <w:szCs w:val="17"/>
          <w:color w:val="auto"/>
        </w:rPr>
      </w:pPr>
    </w:p>
    <w:p>
      <w:pPr>
        <w:ind w:firstLine="656"/>
        <w:spacing w:after="0" w:line="342" w:lineRule="auto"/>
        <w:tabs>
          <w:tab w:leader="none" w:pos="1494"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Company shall use its best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35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shall make generally available to its security holders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 Date of each Registration Statement.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5" w:name="page146"/>
    <w:bookmarkEnd w:id="145"/>
    <w:p>
      <w:pPr>
        <w:ind w:firstLine="656"/>
        <w:spacing w:after="0" w:line="277" w:lineRule="auto"/>
        <w:tabs>
          <w:tab w:leader="none" w:pos="146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otherwise use its best efforts to comply with all applicable rules and regulations of the SEC in connection with any registration hereunder.</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53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Within one (1) Business Day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5" w:lineRule="auto"/>
        <w:tabs>
          <w:tab w:leader="none" w:pos="134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Notwithstanding anything to the contrary herein (but subject to the last sentence of this Section 3(r)),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Arial" w:cs="Arial" w:eastAsia="Arial" w:hAnsi="Arial"/>
          <w:sz w:val="16"/>
          <w:szCs w:val="16"/>
          <w:b w:val="1"/>
          <w:bCs w:val="1"/>
          <w:color w:val="auto"/>
        </w:rPr>
        <w:t>Grace Period</w:t>
      </w:r>
      <w:r>
        <w:rPr>
          <w:rFonts w:ascii="Arial" w:cs="Arial" w:eastAsia="Arial" w:hAnsi="Arial"/>
          <w:sz w:val="16"/>
          <w:szCs w:val="16"/>
          <w:color w:val="auto"/>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 (60) Trading Day period immediately following the Effective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Arial" w:cs="Arial" w:eastAsia="Arial" w:hAnsi="Arial"/>
          <w:sz w:val="16"/>
          <w:szCs w:val="16"/>
          <w:b w:val="1"/>
          <w:bCs w:val="1"/>
          <w:color w:val="auto"/>
        </w:rPr>
        <w:t>Allowable Grace Period</w:t>
      </w:r>
      <w:r>
        <w:rPr>
          <w:rFonts w:ascii="Arial" w:cs="Arial" w:eastAsia="Arial" w:hAnsi="Arial"/>
          <w:sz w:val="16"/>
          <w:szCs w:val="16"/>
          <w:color w:val="auto"/>
        </w:rPr>
        <w:t>”). For purposes of determining the length of a Grace Period above, such Grace 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3(r), the Company shall cause its transfer agent to deliver unlegended shares of Common Stock to a transferee of an Investor in accordance with the terms of the Securities Purcha 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spacing w:after="0" w:line="168" w:lineRule="exact"/>
        <w:rPr>
          <w:rFonts w:ascii="Arial" w:cs="Arial" w:eastAsia="Arial" w:hAnsi="Arial"/>
          <w:sz w:val="16"/>
          <w:szCs w:val="16"/>
          <w:color w:val="auto"/>
        </w:rPr>
      </w:pPr>
    </w:p>
    <w:p>
      <w:pPr>
        <w:ind w:firstLine="656"/>
        <w:spacing w:after="0" w:line="277" w:lineRule="auto"/>
        <w:tabs>
          <w:tab w:leader="none" w:pos="145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take all other reasonable actions necessary to expedite and facilitate disposition by each Investors of its Registrable Securities pursuant to each Registration Statement.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6" w:name="page147"/>
    <w:bookmarkEnd w:id="146"/>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93" w:lineRule="auto"/>
        <w:tabs>
          <w:tab w:leader="none" w:pos="150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At least five (5)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 rities and shall execute such documents in connection with such registration as the Company may reasonably request.</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40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spacing w:after="0" w:line="165" w:lineRule="exact"/>
        <w:rPr>
          <w:rFonts w:ascii="Arial" w:cs="Arial" w:eastAsia="Arial" w:hAnsi="Arial"/>
          <w:sz w:val="17"/>
          <w:szCs w:val="17"/>
          <w:color w:val="auto"/>
        </w:rPr>
      </w:pPr>
    </w:p>
    <w:p>
      <w:pPr>
        <w:jc w:val="both"/>
        <w:ind w:firstLine="656"/>
        <w:spacing w:after="0" w:line="289" w:lineRule="auto"/>
        <w:tabs>
          <w:tab w:leader="none" w:pos="1347"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Each Investor agrees that, upon receipt of any notice from the Company of the happening of any event of the kind described in Section 3(g) or the first sentence of Section 3(f), such Investor will immediately discontinue disposition of Registrable Securities pursuant to any Registration Statement(s) covering such Registrable Securities until the earliest to occur of (i) such Investor’s receipt of the copies of the supplemented or amended prospectus contemplated by Section 3(g) or the first sentence of Section 3(f), (ii) the Company’s filing of the supplemented or amended prospectus contemplated by Section 3(g) or the first sentence of Section 3(f) with the SEC and (iii) receipt of notice that no supplement or amendment is required. Notwithstanding anythin g to the contrary in this Section 4(c),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w:t>
      </w:r>
    </w:p>
    <w:p>
      <w:pPr>
        <w:spacing w:after="0" w:line="166" w:lineRule="exact"/>
        <w:rPr>
          <w:rFonts w:ascii="Arial" w:cs="Arial" w:eastAsia="Arial" w:hAnsi="Arial"/>
          <w:sz w:val="16"/>
          <w:szCs w:val="16"/>
          <w:color w:val="auto"/>
        </w:rPr>
      </w:pPr>
    </w:p>
    <w:p>
      <w:pPr>
        <w:ind w:firstLine="656"/>
        <w:spacing w:after="0" w:line="277" w:lineRule="auto"/>
        <w:tabs>
          <w:tab w:leader="none" w:pos="148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Each Investor covenants and agrees that it will comply with the prospectus delivery requirements of the 1933 Act as applicable to it in connection with sales of Registrable Securities pursuant to a Registration Statement.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Expenses of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All reasonable expenses incurred by the Company (other than underwriting discounts and commissions)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The Company shall also reimburse Iroquois for the fees and disbursements of Legal Counsel in connection with registration, filing or qualification pursuant to Sections 2 and 3 of this Agreement, which amount shall be limited to $5,000.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7" w:name="page148"/>
    <w:bookmarkEnd w:id="147"/>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4" w:lineRule="auto"/>
        <w:tabs>
          <w:tab w:leader="none" w:pos="139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In the event any Registrable Securities are included in any Registration Statement under this Agreement, to the fullest extent permitted by law, the Company will, and hereby does, indemnify, hold harmless and defend each Investor and each of its directors, officers, shareholders, members, partners, employees, agents, advisors, representatives (and any other Persons with a functionally equivalent role of a Person holding such titles notwithstanding the lack of such title or any other title) and each Person, if any, who controls such Investor within the meaning of the 1933 Act or the 1934 Act and each of the directors, officers, shareholders, members, partners, employees, agents, advisors, representatives (and any other Persons with a functionally equivalent role of a Person holding such titles notwithstanding the lack of such title or any other title) of such controlling Persons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Arial" w:cs="Arial" w:eastAsia="Arial" w:hAnsi="Arial"/>
          <w:sz w:val="16"/>
          <w:szCs w:val="16"/>
          <w:b w:val="1"/>
          <w:bCs w:val="1"/>
          <w:color w:val="auto"/>
        </w:rPr>
        <w:t>Indemnified Damage 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 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(the matters in the foregoing clauses (i) through (iii)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for such Indemnified Person expressly for use in connection with the preparation of such Registration Statement or any such amendment thereof or supplement thereto and (ii) shall not be available to a particular Investor to the extent such Claim is based on a failure of such Investor to deliver or to cause to be delivered the prospectus made available by the Company (to the extent applicable), including, without limitation, 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8" w:name="page149"/>
    <w:bookmarkEnd w:id="148"/>
    <w:p>
      <w:pPr>
        <w:jc w:val="both"/>
        <w:spacing w:after="0" w:line="276" w:lineRule="auto"/>
        <w:rPr>
          <w:sz w:val="20"/>
          <w:szCs w:val="20"/>
          <w:color w:val="auto"/>
        </w:rPr>
      </w:pPr>
      <w:r>
        <w:rPr>
          <w:rFonts w:ascii="Arial" w:cs="Arial" w:eastAsia="Arial" w:hAnsi="Arial"/>
          <w:sz w:val="17"/>
          <w:szCs w:val="17"/>
          <w:color w:val="auto"/>
        </w:rPr>
        <w:t>corrected prospectus, if such prospectus or corrected prospectus was timely made available by the Company pursuant to Section 3(d) and then only if, and to the extent that, following the receipt of the corrected prospectus no grounds for such Claim would have existed;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any of the Registrable Securities by any of the Investors pursuant to Section 9.</w:t>
      </w:r>
    </w:p>
    <w:p>
      <w:pPr>
        <w:spacing w:after="0" w:line="173" w:lineRule="exact"/>
        <w:rPr>
          <w:sz w:val="20"/>
          <w:szCs w:val="20"/>
          <w:color w:val="auto"/>
        </w:rPr>
      </w:pPr>
    </w:p>
    <w:p>
      <w:pPr>
        <w:jc w:val="both"/>
        <w:ind w:firstLine="656"/>
        <w:spacing w:after="0" w:line="268" w:lineRule="auto"/>
        <w:tabs>
          <w:tab w:leader="none" w:pos="155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connection with any Registration Statement in which an Investor is participating,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against any Claim or Indemnified Damages to which any of them may become subject, under the 1933 Act, the 1934 Act or otherwise, insofar as such Claim or Indemnified Damages arise out of or are based upon any Violation, in each case, t o the extent, and only to the extent, that such Violation occurs in reliance upon and in conformity with written information furnished to the Company by such Investor expressly for use in connection with such Registration Statement; and, subject to Section 6(c) and the below provisos in this Section 6(b), such Investor will reimburse an Indemnified Party any legal or other expenses reasonably incurred by such Indemnified Party in connection with investigating or defending any such Claim; provided, however,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that such Investor shall be liable under this Section 6(b) for only that amount of a Claim or Indemnified Damages as does not exceed the net proceeds to such Investor as a result of the applicable sale of Registrable Securities pursuant to such Registration Statement. Such indemnity shall remain in full force and effect regardless of any investigation made by or on behalf of such Indemnified Party and shall survive the transfer of any of the Registrable Securities by any of the Investors pursuant to Section 9.</w:t>
      </w:r>
    </w:p>
    <w:p>
      <w:pPr>
        <w:spacing w:after="0" w:line="185" w:lineRule="exact"/>
        <w:rPr>
          <w:rFonts w:ascii="Arial" w:cs="Arial" w:eastAsia="Arial" w:hAnsi="Arial"/>
          <w:sz w:val="17"/>
          <w:szCs w:val="17"/>
          <w:color w:val="auto"/>
        </w:rPr>
      </w:pPr>
    </w:p>
    <w:p>
      <w:pPr>
        <w:jc w:val="both"/>
        <w:ind w:firstLine="656"/>
        <w:spacing w:after="0" w:line="270" w:lineRule="auto"/>
        <w:tabs>
          <w:tab w:leader="none" w:pos="164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Promptly after receipt by an Indemnified Person or Indemnified Party (as the case may be) under this Section 6 of notice of the commencement of any action or proceeding (including, without limitation, any governmental action or proceeding) involving a Claim, such Indemnified Person or Indemnified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 emnifying party and the Indemnified Person or the Indemnified Party (as the case may be); provided, however, an Indemnified Person or Indemnified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9" w:name="page150"/>
    <w:bookmarkEnd w:id="149"/>
    <w:p>
      <w:pPr>
        <w:jc w:val="both"/>
        <w:spacing w:after="0" w:line="267" w:lineRule="auto"/>
        <w:rPr>
          <w:sz w:val="20"/>
          <w:szCs w:val="20"/>
          <w:color w:val="auto"/>
        </w:rPr>
      </w:pPr>
      <w:r>
        <w:rPr>
          <w:rFonts w:ascii="Arial" w:cs="Arial" w:eastAsia="Arial" w:hAnsi="Arial"/>
          <w:sz w:val="17"/>
          <w:szCs w:val="17"/>
          <w:color w:val="auto"/>
        </w:rPr>
        <w:t>Person or Indemnified Party (as the case may be) in any such Claim; or (iii) the named parties to any such Claim (including, without limitation, any impleaded parties) include both such Indemnified Person or Indemnified Party (as the case may be) and the indemnifying party, and such Indemnified Person or such Indemnified Party (as the case may be) shall have been advised by counsel that a conflict of interest is likely to exist if the same counsel were to represent such Indemnified Person or such Indemnified Party and the indemnifying party (in which case, if such Indemnified Person or such Indemnified Party (as the case may be)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reasonable fees and expenses of more than one (1) separate legal counsel for such Indemnified Person or Indemnified Party (as the case may be). The Indemnified Party or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(as the case may be) which relates to such action or Claim. The indemnifying party shall keep the Indemnified Party or Indemnified Person (as the case may be) reasonably apprised at all times as to the status of the defense or any settlement negotiations with respect thereto. No indemnifying party shall be liable for any settlement of any action, cl aim or proceeding effected without its prior written consent; provided, however, the indemnifying party shall not unreasonably withhold, delay or condition its consent. No indemnifying party shall, without the prior written consent of the Indemnified Party or Indemnified Person (as the case may be), consent to entry of any judgment or enter into any settlement or other compromise which does not include as an unconditional term thereof the giving by the claimant or plaintiff to such Indemnified Party or Indemnified Person (as the case may be)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(as the case may be) with respect to all third parties, firms or corporations relating to the matter for which indemnification has be en made. The failure to deliver written notice to the indemnifying party within a reasonable time of the commencement of any such action shall not relieve such indemnifying party of any liability to the Indemnified Person or Indemnified Party (as the case may be) under this Section 6, except to the extent that the indemnifying party is materially and adversely prejudiced in its ability to defend such action.</w:t>
      </w:r>
    </w:p>
    <w:p>
      <w:pPr>
        <w:spacing w:after="0" w:line="186" w:lineRule="exact"/>
        <w:rPr>
          <w:sz w:val="20"/>
          <w:szCs w:val="20"/>
          <w:color w:val="auto"/>
        </w:rPr>
      </w:pPr>
    </w:p>
    <w:p>
      <w:pPr>
        <w:jc w:val="both"/>
        <w:ind w:firstLine="656"/>
        <w:spacing w:after="0" w:line="264" w:lineRule="auto"/>
        <w:tabs>
          <w:tab w:leader="none" w:pos="137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Person involved in the sale of Registrable Securities who is guilty of fraudulent misrepresentation (within the meaning of Section 11(f) of the 1933 Act) in connection with such sale shall be entitled to indemnification from any Person involved in such sale of Registrable Securities who is not guilty of fraudulent misrepresentation.</w:t>
      </w:r>
    </w:p>
    <w:p>
      <w:pPr>
        <w:spacing w:after="0" w:line="181" w:lineRule="exact"/>
        <w:rPr>
          <w:rFonts w:ascii="Arial" w:cs="Arial" w:eastAsia="Arial" w:hAnsi="Arial"/>
          <w:sz w:val="18"/>
          <w:szCs w:val="18"/>
          <w:color w:val="auto"/>
        </w:rPr>
      </w:pPr>
    </w:p>
    <w:p>
      <w:pPr>
        <w:ind w:firstLine="656"/>
        <w:spacing w:after="0" w:line="277" w:lineRule="auto"/>
        <w:tabs>
          <w:tab w:leader="none" w:pos="159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61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indemnity and contribution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0" w:name="page151"/>
    <w:bookmarkEnd w:id="150"/>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 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spacing w:after="0" w:line="183"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Reports Under the 1934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view to making available to the Investors the benefits of Rule 144, the Company agrees to:</w:t>
      </w:r>
    </w:p>
    <w:p>
      <w:pPr>
        <w:spacing w:after="0" w:line="225" w:lineRule="exact"/>
        <w:rPr>
          <w:sz w:val="20"/>
          <w:szCs w:val="20"/>
          <w:color w:val="auto"/>
        </w:rPr>
      </w:pPr>
    </w:p>
    <w:p>
      <w:pPr>
        <w:ind w:left="1360" w:hanging="704"/>
        <w:spacing w:after="0"/>
        <w:tabs>
          <w:tab w:leader="none" w:pos="13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25" w:lineRule="exact"/>
        <w:rPr>
          <w:rFonts w:ascii="Arial" w:cs="Arial" w:eastAsia="Arial" w:hAnsi="Arial"/>
          <w:sz w:val="18"/>
          <w:szCs w:val="18"/>
          <w:color w:val="auto"/>
        </w:rPr>
      </w:pPr>
    </w:p>
    <w:p>
      <w:pPr>
        <w:jc w:val="both"/>
        <w:ind w:firstLine="656"/>
        <w:spacing w:after="0" w:line="312" w:lineRule="auto"/>
        <w:tabs>
          <w:tab w:leader="none" w:pos="145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Securities Purchase Agreement) and the filing of such reports and other documents is required for the applicable provisions of Rule 144; and</w:t>
      </w:r>
    </w:p>
    <w:p>
      <w:pPr>
        <w:spacing w:after="0" w:line="146" w:lineRule="exact"/>
        <w:rPr>
          <w:rFonts w:ascii="Arial" w:cs="Arial" w:eastAsia="Arial" w:hAnsi="Arial"/>
          <w:sz w:val="16"/>
          <w:szCs w:val="16"/>
          <w:color w:val="auto"/>
        </w:rPr>
      </w:pPr>
    </w:p>
    <w:p>
      <w:pPr>
        <w:jc w:val="both"/>
        <w:ind w:firstLine="656"/>
        <w:spacing w:after="0" w:line="257" w:lineRule="auto"/>
        <w:tabs>
          <w:tab w:leader="none" w:pos="157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furnish to each Investor so long as such Investor owns Registrable Securities, promptly upon request, (i) a written statement by the Company, if true, that it has complied with the reporting, submission and posting requirements of Rule 144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Assignment of Registration Rights.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or any portion of the rights under this Agreement shall be automatically assignable by each Investor to any transferee or assignee (as the case may be) of all or any portion of such Investor’s Notes or Warrants if: (i) such Investor agrees in writing with such transferee or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1" w:name="page152"/>
    <w:bookmarkEnd w:id="151"/>
    <w:p>
      <w:pPr>
        <w:jc w:val="both"/>
        <w:spacing w:after="0" w:line="289" w:lineRule="auto"/>
        <w:rPr>
          <w:sz w:val="20"/>
          <w:szCs w:val="20"/>
          <w:color w:val="auto"/>
        </w:rPr>
      </w:pPr>
      <w:r>
        <w:rPr>
          <w:rFonts w:ascii="Arial" w:cs="Arial" w:eastAsia="Arial" w:hAnsi="Arial"/>
          <w:sz w:val="16"/>
          <w:szCs w:val="16"/>
          <w:color w:val="auto"/>
        </w:rPr>
        <w:t>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Securities Purchase Agreement, the Notes and the Warrants (as the case may be); and (vi) such transfer or assignment (as the case may be) shall have been conducted in accordance with all applicable federal and state securities laws.</w:t>
      </w:r>
    </w:p>
    <w:p>
      <w:pPr>
        <w:spacing w:after="0" w:line="167"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Amendment of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Provisions of this Agreement may be amended only with the written consent of the Company and each of the Investors.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also is offered to all of the parties to this Agreement.</w:t>
      </w:r>
    </w:p>
    <w:p>
      <w:pPr>
        <w:spacing w:after="0" w:line="147" w:lineRule="exact"/>
        <w:rPr>
          <w:sz w:val="20"/>
          <w:szCs w:val="20"/>
          <w:color w:val="auto"/>
        </w:rPr>
      </w:pPr>
    </w:p>
    <w:p>
      <w:pPr>
        <w:ind w:left="660" w:hanging="652"/>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51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43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with respect to Section 3(c), by electronic mail (provided confirmation of transmission is electronically generated and kept on file by the sending party); or (iv) one (1) Business Day after deposit with a nationally recognized overnight delivery service with next day delivery specified, in each case, properly addressed to the party to receive the same. The addresses and fa csimile numbers for such communications shall be: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2" w:name="page153"/>
    <w:bookmarkEnd w:id="152"/>
    <w:p>
      <w:pPr>
        <w:ind w:left="19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 Bellevue Way, NE, Suite 400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Bellevue, Washington 98004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(425) 462-2556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(425) 462-5638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Sanders Ortoli Vaughn-Flam Rosenstadt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501 Madison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(212) 588-0022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(212) 826-9307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William Rosenstadt</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Island Stock Transfer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 Second Avenue South, Suite 705S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Petersburg, Florida 33701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(727) 289-0010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(727) 289-0069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Jillian Mally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Legal Counsel:</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 W. Wacker Drive, Suite 3100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Chicago, Illinois 60601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(312) 456-8400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(312) 456-8435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Peter H. Lieberman, Esq.</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Todd A. Mazur, Esq.</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to a Buyer, to its address and facsimile number set forth on the Schedule of Buyers attached to the Securities Purchase Agreement, with copies to such Buyer’s representatives as set forth on the Schedule of Buyers, or to such other address and/or facsimile number and/or to the attention of such other Person as the recipient party has specified by written notice given to each other party five (5) days prior to the effectiveness of such change, provided that Greenberg Traurig, LLP shall only be provided notices sent to Iroquois. Written confirmation of receipt (A) given by the recipient of such notice, consent, waiver or other communication, (B) mechanically or electronically generated by the sender’s facsimile machine or electronic mail transmission containing the time, date, recipient facsimile number or electronic mail address and an image of the first page of such transmission or (C) provided by a courier or overnight courier service shall be rebuttable evidence of personal service, receipt by facsimile or receipt from a nationally recognized overnight delivery service in accordance with clause (i), (ii) or (iii) above,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3" w:name="page154"/>
    <w:bookmarkEnd w:id="153"/>
    <w:p>
      <w:pPr>
        <w:jc w:val="both"/>
        <w:ind w:firstLine="656"/>
        <w:spacing w:after="0" w:line="273" w:lineRule="auto"/>
        <w:tabs>
          <w:tab w:leader="none" w:pos="148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 g in addition to any other remedy to which any party may be entitled by law or equity.</w:t>
      </w:r>
    </w:p>
    <w:p>
      <w:pPr>
        <w:spacing w:after="0" w:line="178" w:lineRule="exact"/>
        <w:rPr>
          <w:rFonts w:ascii="Arial" w:cs="Arial" w:eastAsia="Arial" w:hAnsi="Arial"/>
          <w:sz w:val="17"/>
          <w:szCs w:val="17"/>
          <w:color w:val="auto"/>
        </w:rPr>
      </w:pPr>
    </w:p>
    <w:p>
      <w:pPr>
        <w:jc w:val="both"/>
        <w:ind w:firstLine="656"/>
        <w:spacing w:after="0" w:line="268" w:lineRule="auto"/>
        <w:tabs>
          <w:tab w:leader="none" w:pos="157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parties hereby agree that pursuant to 735 Illinois Compiled Statutes 105/5-5 they have chosen that all questions concerning the construction, validity, enforcement and interpretation of this Agreement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Chicago, Illinois, for the adjudication of any dispute hereunder or in connection herewith or with any transaction contemplated hereby or discussed herein ,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183" w:lineRule="exact"/>
        <w:rPr>
          <w:rFonts w:ascii="Arial" w:cs="Arial" w:eastAsia="Arial" w:hAnsi="Arial"/>
          <w:sz w:val="17"/>
          <w:szCs w:val="17"/>
          <w:color w:val="auto"/>
        </w:rPr>
      </w:pPr>
    </w:p>
    <w:p>
      <w:pPr>
        <w:jc w:val="both"/>
        <w:ind w:firstLine="656"/>
        <w:spacing w:after="0" w:line="272" w:lineRule="auto"/>
        <w:tabs>
          <w:tab w:leader="none" w:pos="141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 ction Document shall (or shall be deemed to) (i) have any effect on any agreements any Investor has entered into with the Company or any of its Subsidiaries prior to the date hereof with respect to any prior investment made by such Investor in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4" w:name="page155"/>
    <w:bookmarkEnd w:id="154"/>
    <w:p>
      <w:pPr>
        <w:jc w:val="both"/>
        <w:spacing w:after="0" w:line="259" w:lineRule="auto"/>
        <w:rPr>
          <w:sz w:val="20"/>
          <w:szCs w:val="20"/>
          <w:color w:val="auto"/>
        </w:rPr>
      </w:pPr>
      <w:r>
        <w:rPr>
          <w:rFonts w:ascii="Arial" w:cs="Arial" w:eastAsia="Arial" w:hAnsi="Arial"/>
          <w:sz w:val="18"/>
          <w:szCs w:val="18"/>
          <w:color w:val="auto"/>
        </w:rPr>
        <w:t>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spacing w:after="0" w:line="187" w:lineRule="exact"/>
        <w:rPr>
          <w:sz w:val="20"/>
          <w:szCs w:val="20"/>
          <w:color w:val="auto"/>
        </w:rPr>
      </w:pPr>
    </w:p>
    <w:p>
      <w:pPr>
        <w:jc w:val="both"/>
        <w:ind w:firstLine="656"/>
        <w:spacing w:after="0" w:line="286" w:lineRule="auto"/>
        <w:tabs>
          <w:tab w:leader="none" w:pos="154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spacing w:after="0" w:line="165" w:lineRule="exact"/>
        <w:rPr>
          <w:rFonts w:ascii="Arial" w:cs="Arial" w:eastAsia="Arial" w:hAnsi="Arial"/>
          <w:sz w:val="17"/>
          <w:szCs w:val="17"/>
          <w:color w:val="auto"/>
        </w:rPr>
      </w:pPr>
    </w:p>
    <w:p>
      <w:pPr>
        <w:jc w:val="both"/>
        <w:ind w:firstLine="656"/>
        <w:spacing w:after="0" w:line="302" w:lineRule="auto"/>
        <w:tabs>
          <w:tab w:leader="none" w:pos="135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54" w:lineRule="exact"/>
        <w:rPr>
          <w:rFonts w:ascii="Arial" w:cs="Arial" w:eastAsia="Arial" w:hAnsi="Arial"/>
          <w:sz w:val="16"/>
          <w:szCs w:val="16"/>
          <w:color w:val="auto"/>
        </w:rPr>
      </w:pPr>
    </w:p>
    <w:p>
      <w:pPr>
        <w:jc w:val="both"/>
        <w:ind w:firstLine="656"/>
        <w:spacing w:after="0" w:line="257" w:lineRule="auto"/>
        <w:tabs>
          <w:tab w:leader="none" w:pos="140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8" w:lineRule="exact"/>
        <w:rPr>
          <w:rFonts w:ascii="Arial" w:cs="Arial" w:eastAsia="Arial" w:hAnsi="Arial"/>
          <w:sz w:val="18"/>
          <w:szCs w:val="18"/>
          <w:color w:val="auto"/>
        </w:rPr>
      </w:pPr>
    </w:p>
    <w:p>
      <w:pPr>
        <w:jc w:val="both"/>
        <w:ind w:right="20" w:firstLine="656"/>
        <w:spacing w:after="0" w:line="264" w:lineRule="auto"/>
        <w:tabs>
          <w:tab w:leader="none" w:pos="135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33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Closing Date in such other Transaction Documents unless otherwise consented to in writing by each Investor.</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39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5" w:name="page156"/>
    <w:bookmarkEnd w:id="155"/>
    <w:p>
      <w:pPr>
        <w:jc w:val="both"/>
        <w:spacing w:after="0" w:line="270" w:lineRule="auto"/>
        <w:rPr>
          <w:sz w:val="20"/>
          <w:szCs w:val="20"/>
          <w:color w:val="auto"/>
        </w:rPr>
      </w:pPr>
      <w:r>
        <w:rPr>
          <w:rFonts w:ascii="Arial" w:cs="Arial" w:eastAsia="Arial" w:hAnsi="Arial"/>
          <w:sz w:val="17"/>
          <w:szCs w:val="17"/>
          <w:color w:val="auto"/>
        </w:rPr>
        <w:t>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 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6" w:name="page157"/>
    <w:bookmarkEnd w:id="15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Buyer and the Company have caused their respective signature page to this Registration Rights Agreement to be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as of the date first written above.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7" w:name="page158"/>
    <w:bookmarkEnd w:id="15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Buyer and the Company have caused their respective signature page to this Registration Rights Agreement to be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as of the date first written above.</w:t>
      </w:r>
    </w:p>
    <w:p>
      <w:pPr>
        <w:spacing w:after="0" w:line="37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IROQUOIS MASTER FUND LTD.</w:t>
      </w:r>
    </w:p>
    <w:p>
      <w:pPr>
        <w:spacing w:after="0" w:line="200" w:lineRule="exact"/>
        <w:rPr>
          <w:sz w:val="20"/>
          <w:szCs w:val="20"/>
          <w:color w:val="auto"/>
        </w:rPr>
      </w:pPr>
    </w:p>
    <w:p>
      <w:pPr>
        <w:spacing w:after="0" w:line="24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Joshua Silverman, Authorized Signatory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ind w:left="3060"/>
              <w:spacing w:after="0"/>
              <w:rPr>
                <w:sz w:val="20"/>
                <w:szCs w:val="20"/>
                <w:color w:val="auto"/>
              </w:rPr>
            </w:pPr>
            <w:r>
              <w:rPr>
                <w:rFonts w:ascii="Arial" w:cs="Arial" w:eastAsia="Arial" w:hAnsi="Arial"/>
                <w:sz w:val="18"/>
                <w:szCs w:val="18"/>
                <w:b w:val="1"/>
                <w:bCs w:val="1"/>
                <w:color w:val="auto"/>
              </w:rPr>
              <w:t>EXHIBIT A</w:t>
            </w:r>
          </w:p>
        </w:tc>
      </w:tr>
      <w:tr>
        <w:trPr>
          <w:trHeight w:val="392"/>
        </w:trPr>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20" w:type="dxa"/>
            <w:vAlign w:val="bottom"/>
            <w:gridSpan w:val="4"/>
          </w:tcPr>
          <w:p>
            <w:pPr>
              <w:jc w:val="center"/>
              <w:ind w:right="3910"/>
              <w:spacing w:after="0"/>
              <w:rPr>
                <w:sz w:val="20"/>
                <w:szCs w:val="20"/>
                <w:color w:val="auto"/>
              </w:rPr>
            </w:pPr>
            <w:r>
              <w:rPr>
                <w:rFonts w:ascii="Arial" w:cs="Arial" w:eastAsia="Arial" w:hAnsi="Arial"/>
                <w:sz w:val="18"/>
                <w:szCs w:val="18"/>
                <w:b w:val="1"/>
                <w:bCs w:val="1"/>
                <w:color w:val="auto"/>
              </w:rPr>
              <w:t>FORM OF NOTICE OF EFFECTIVENESS</w:t>
            </w:r>
          </w:p>
        </w:tc>
      </w:tr>
      <w:tr>
        <w:trPr>
          <w:trHeight w:val="412"/>
        </w:trPr>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OF REGISTRATION STATEMENT</w:t>
            </w:r>
          </w:p>
        </w:tc>
        <w:tc>
          <w:tcPr>
            <w:tcW w:w="4000" w:type="dxa"/>
            <w:vAlign w:val="bottom"/>
          </w:tcPr>
          <w:p>
            <w:pPr>
              <w:spacing w:after="0"/>
              <w:rPr>
                <w:sz w:val="24"/>
                <w:szCs w:val="24"/>
                <w:color w:val="auto"/>
              </w:rPr>
            </w:pPr>
          </w:p>
        </w:tc>
      </w:tr>
      <w:tr>
        <w:trPr>
          <w:trHeight w:val="453"/>
        </w:trPr>
        <w:tc>
          <w:tcPr>
            <w:tcW w:w="2040" w:type="dxa"/>
            <w:vAlign w:val="bottom"/>
          </w:tcPr>
          <w:p>
            <w:pPr>
              <w:spacing w:after="0"/>
              <w:rPr>
                <w:sz w:val="20"/>
                <w:szCs w:val="20"/>
                <w:color w:val="auto"/>
              </w:rPr>
            </w:pPr>
            <w:r>
              <w:rPr>
                <w:rFonts w:ascii="Arial" w:cs="Arial" w:eastAsia="Arial" w:hAnsi="Arial"/>
                <w:sz w:val="18"/>
                <w:szCs w:val="18"/>
                <w:color w:val="auto"/>
                <w:w w:val="91"/>
              </w:rPr>
              <w:t>______________________</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w w:val="91"/>
              </w:rPr>
              <w:t>______________________</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w w:val="91"/>
              </w:rPr>
              <w:t>______________________</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w w:val="95"/>
              </w:rPr>
              <w:t>Attention: _____________</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32"/>
        </w:trPr>
        <w:tc>
          <w:tcPr>
            <w:tcW w:w="2040" w:type="dxa"/>
            <w:vAlign w:val="bottom"/>
          </w:tcPr>
          <w:p>
            <w:pPr>
              <w:ind w:left="1300"/>
              <w:spacing w:after="0"/>
              <w:rPr>
                <w:sz w:val="20"/>
                <w:szCs w:val="20"/>
                <w:color w:val="auto"/>
              </w:rPr>
            </w:pPr>
            <w:r>
              <w:rPr>
                <w:rFonts w:ascii="Arial" w:cs="Arial" w:eastAsia="Arial" w:hAnsi="Arial"/>
                <w:sz w:val="18"/>
                <w:szCs w:val="18"/>
                <w:b w:val="1"/>
                <w:bCs w:val="1"/>
                <w:color w:val="auto"/>
              </w:rPr>
              <w:t>Re:</w:t>
            </w:r>
          </w:p>
        </w:tc>
        <w:tc>
          <w:tcPr>
            <w:tcW w:w="9380" w:type="dxa"/>
            <w:vAlign w:val="bottom"/>
            <w:gridSpan w:val="5"/>
          </w:tcPr>
          <w:p>
            <w:pPr>
              <w:ind w:left="2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Ladies and Gentlemen:</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[We are][I am] counsel to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represented the Company in connection with that certain Securities Purchase Agreement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entered into by and among the Company and the buyers named therein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pursuant to which the Company issued to the Holders secured convertible notes (the “</w:t>
      </w:r>
      <w:r>
        <w:rPr>
          <w:rFonts w:ascii="Arial" w:cs="Arial" w:eastAsia="Arial" w:hAnsi="Arial"/>
          <w:sz w:val="16"/>
          <w:szCs w:val="16"/>
          <w:b w:val="1"/>
          <w:bCs w:val="1"/>
          <w:color w:val="auto"/>
        </w:rPr>
        <w:t>Notes</w:t>
      </w:r>
      <w:r>
        <w:rPr>
          <w:rFonts w:ascii="Arial" w:cs="Arial" w:eastAsia="Arial" w:hAnsi="Arial"/>
          <w:sz w:val="16"/>
          <w:szCs w:val="16"/>
          <w:color w:val="auto"/>
        </w:rPr>
        <w:t>”) convertible into the Company’s shares of common stock, $0.001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warrants exercisable for shares of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Pursuant to the Securities Purchase Agreement, the Company also has entered into a Registration Rights Agreement with the Holders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Rights Agreement</w:t>
      </w:r>
      <w:r>
        <w:rPr>
          <w:rFonts w:ascii="Arial" w:cs="Arial" w:eastAsia="Arial" w:hAnsi="Arial"/>
          <w:sz w:val="16"/>
          <w:szCs w:val="16"/>
          <w:color w:val="auto"/>
        </w:rPr>
        <w:t>”) pursuant to which the Company agreed, among other things, to register the Registrable Securities (as defined in the Registration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the shares of Common Stock issuable upon conversion of the Notes and exercise of the Warrants, under the Securities Act of 1933, as amended (the “</w:t>
      </w:r>
      <w:r>
        <w:rPr>
          <w:rFonts w:ascii="Arial" w:cs="Arial" w:eastAsia="Arial" w:hAnsi="Arial"/>
          <w:sz w:val="16"/>
          <w:szCs w:val="16"/>
          <w:b w:val="1"/>
          <w:bCs w:val="1"/>
          <w:color w:val="auto"/>
        </w:rPr>
        <w:t>1933 Act</w:t>
      </w:r>
      <w:r>
        <w:rPr>
          <w:rFonts w:ascii="Arial" w:cs="Arial" w:eastAsia="Arial" w:hAnsi="Arial"/>
          <w:sz w:val="16"/>
          <w:szCs w:val="16"/>
          <w:color w:val="auto"/>
        </w:rPr>
        <w:t>”). In connection with the Company’s obligations under the Registration Rights Agreement, on ______________, 20__,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Company filed a Registration Statement on Form S-3 (File No. 333-_____________)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 the Securities and Exchange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Commission (the “</w:t>
      </w:r>
      <w:r>
        <w:rPr>
          <w:rFonts w:ascii="Arial" w:cs="Arial" w:eastAsia="Arial" w:hAnsi="Arial"/>
          <w:sz w:val="18"/>
          <w:szCs w:val="18"/>
          <w:b w:val="1"/>
          <w:bCs w:val="1"/>
          <w:color w:val="auto"/>
        </w:rPr>
        <w:t>SEC</w:t>
      </w:r>
      <w:r>
        <w:rPr>
          <w:rFonts w:ascii="Arial" w:cs="Arial" w:eastAsia="Arial" w:hAnsi="Arial"/>
          <w:sz w:val="18"/>
          <w:szCs w:val="18"/>
          <w:color w:val="auto"/>
        </w:rPr>
        <w:t>”) relating to the Registrable Securities which names each of the Holders as a selling stockholder thereunder.</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connection with the foregoing, [we][I] advise you that a member of the SEC’s staff has advised [us][me] by telephone that the SEC has entered an order declaring the Registration Statement effective under the 1933 Act at [ENTER TIME OF EFFECTIVENESS] on [ENTER DATE OF EFFECTIVENESS], and [we][I] have no knowledge that any stop order suspending its effectiveness has been issued or that any proceedings for that purpose are pending before, or threatened by, the SEC and the Registrable Securities are available for resale under the 1933 Act pursuant to the Registration Statement.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letter shall serve as our standing opinion to you that the shares of Common Stock underlying the Notes and Warrants are freely transferable by the Holders pursuant to the Registration Statement. As long as the Registration Statement remains effective, you need not require further letters from us to effect any future legend-free issuance or reissuance of such shares of Common Stock to the Holders as contemplated by the Company’s Irrevocable Transfer Agent Instructions dated ___________, 20__.</w:t>
      </w: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[ISSUER’S COUNSEL]</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w:t>
      </w:r>
    </w:p>
    <w:p>
      <w:pPr>
        <w:spacing w:after="0" w:line="200" w:lineRule="exact"/>
        <w:rPr>
          <w:sz w:val="20"/>
          <w:szCs w:val="20"/>
          <w:color w:val="auto"/>
        </w:rPr>
      </w:pPr>
    </w:p>
    <w:p>
      <w:pPr>
        <w:spacing w:after="0" w:line="237" w:lineRule="exact"/>
        <w:rPr>
          <w:sz w:val="20"/>
          <w:szCs w:val="20"/>
          <w:color w:val="auto"/>
        </w:rPr>
      </w:pPr>
    </w:p>
    <w:p>
      <w:pPr>
        <w:ind w:left="800" w:hanging="792"/>
        <w:spacing w:after="0"/>
        <w:tabs>
          <w:tab w:leader="none" w:pos="8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LIST NAMES OF HOLDERS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shares of common stock being offered by the selling stockholders are those issuable to the selling stockholders upon conversion of the notes and exercise of the warrants. For additional information regarding the issuance of the notes and the warrants, see “Private Placement of Notes and Warrants” above. We are registering the shares of common stock in order to permit the selling stockholders to offer the shares for resale from time to time. Except for the ownership of the notes and the warrants issued pursuant to the Securities Purchase Agreement, the selling stockholders have not had any material relationship with us within the past three years.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notes and warrants, as of ________, 2010, assuming conversion of the notes and exercise of the warrants held by each such selling stockholder on that date but taking account of any limitations on conversion and exercise set forth therein.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(i) conversion of the notes set forth therein or (ii) exercise of the warrants set forth therein.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terms of a registration rights agreement with the holders of the notes and the warrants, this prospectus generally covers the resale of 133% of the sum of (i) the maximum number of shares of common stock issuable upon conversion of the notes and (ii) the maximum number of shares of common stock issuable upon exercise of the warrants, in each case, determined as if the outstanding notes and warrants were converted or exercised (as the case may be) in full (without regard to any limitations on conversion or exercise contained therein) as of the trading day immediately preceding the date this registration statement was initially filed with the SEC. Because the conversion price of the notes and the exercise price of the warrants may be adjusted, the number of shares that will actually be issued may be more or less t han the number of shares being offered by this prospectus. The fourth column assumes the sale of all of the shares offered by the selling stockholders pursuant to this prospectus.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notes and the warrants, a selling stockholder may not convert the notes or exercise the warrants to the extent (but only to the extent) such selling stockholder or any of its affiliates would beneficially own a number of shares of our common stock which would exceed 4.9%. The number of shares in the second column reflects these limitations. The selling stockholders may sell all, some or none of their shares in this offering.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6380" w:type="dxa"/>
            <w:vAlign w:val="bottom"/>
          </w:tcPr>
          <w:p>
            <w:pPr>
              <w:ind w:left="3980"/>
              <w:spacing w:after="0"/>
              <w:rPr>
                <w:sz w:val="20"/>
                <w:szCs w:val="20"/>
                <w:color w:val="auto"/>
              </w:rPr>
            </w:pPr>
            <w:r>
              <w:rPr>
                <w:rFonts w:ascii="Arial" w:cs="Arial" w:eastAsia="Arial" w:hAnsi="Arial"/>
                <w:sz w:val="18"/>
                <w:szCs w:val="18"/>
                <w:b w:val="1"/>
                <w:bCs w:val="1"/>
                <w:color w:val="auto"/>
                <w:w w:val="91"/>
              </w:rPr>
              <w:t>Number of Shares of Common</w:t>
            </w:r>
          </w:p>
        </w:tc>
        <w:tc>
          <w:tcPr>
            <w:tcW w:w="50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Maximum Number of Shares of Number of Shares of Common</w:t>
            </w:r>
          </w:p>
        </w:tc>
      </w:tr>
      <w:tr>
        <w:trPr>
          <w:trHeight w:val="216"/>
        </w:trPr>
        <w:tc>
          <w:tcPr>
            <w:tcW w:w="6380" w:type="dxa"/>
            <w:vAlign w:val="bottom"/>
          </w:tcPr>
          <w:p>
            <w:pPr>
              <w:ind w:left="3960"/>
              <w:spacing w:after="0"/>
              <w:rPr>
                <w:sz w:val="20"/>
                <w:szCs w:val="20"/>
                <w:color w:val="auto"/>
              </w:rPr>
            </w:pPr>
            <w:r>
              <w:rPr>
                <w:rFonts w:ascii="Arial" w:cs="Arial" w:eastAsia="Arial" w:hAnsi="Arial"/>
                <w:sz w:val="18"/>
                <w:szCs w:val="18"/>
                <w:b w:val="1"/>
                <w:bCs w:val="1"/>
                <w:color w:val="auto"/>
                <w:w w:val="92"/>
              </w:rPr>
              <w:t>Stock Owned Prior to Offering</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to be Sold</w:t>
            </w:r>
          </w:p>
        </w:tc>
        <w:tc>
          <w:tcPr>
            <w:tcW w:w="2480" w:type="dxa"/>
            <w:vAlign w:val="bottom"/>
          </w:tcPr>
          <w:p>
            <w:pPr>
              <w:ind w:left="180"/>
              <w:spacing w:after="0"/>
              <w:rPr>
                <w:sz w:val="20"/>
                <w:szCs w:val="20"/>
                <w:color w:val="auto"/>
              </w:rPr>
            </w:pPr>
            <w:r>
              <w:rPr>
                <w:rFonts w:ascii="Arial" w:cs="Arial" w:eastAsia="Arial" w:hAnsi="Arial"/>
                <w:sz w:val="18"/>
                <w:szCs w:val="18"/>
                <w:b w:val="1"/>
                <w:bCs w:val="1"/>
                <w:color w:val="auto"/>
                <w:w w:val="96"/>
              </w:rPr>
              <w:t>Stock Owned After Offering</w:t>
            </w:r>
          </w:p>
        </w:tc>
      </w:tr>
      <w:tr>
        <w:trPr>
          <w:trHeight w:val="241"/>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Pursuant to this Prospectus</w:t>
            </w:r>
          </w:p>
        </w:tc>
        <w:tc>
          <w:tcPr>
            <w:tcW w:w="2480" w:type="dxa"/>
            <w:vAlign w:val="bottom"/>
            <w:tcBorders>
              <w:bottom w:val="single" w:sz="8" w:color="auto"/>
            </w:tcBorders>
          </w:tcPr>
          <w:p>
            <w:pPr>
              <w:spacing w:after="0"/>
              <w:rPr>
                <w:sz w:val="20"/>
                <w:szCs w:val="20"/>
                <w:color w:val="auto"/>
              </w:rPr>
            </w:pPr>
          </w:p>
        </w:tc>
      </w:t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Iroquois Master Fund Ltd.</w:t>
            </w:r>
          </w:p>
        </w:tc>
        <w:tc>
          <w:tcPr>
            <w:tcW w:w="25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883"/>
        </w:trPr>
        <w:tc>
          <w:tcPr>
            <w:tcW w:w="63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registering the shares of common stock issuable upon conversion of the notes and exercise of the warrants to permit the resale of these shares of common stock by the holders of the notes and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selling stockholders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73" w:lineRule="exact"/>
        <w:rPr>
          <w:sz w:val="20"/>
          <w:szCs w:val="20"/>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through the writing or settlement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short sales made after the date the Registration Statement is declared effective by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agreements between broker-dealers and the selling securityholders to sell a specified number of such shares at a stipulated price per share;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2" w:name="page163"/>
    <w:bookmarkEnd w:id="162"/>
    <w:p>
      <w:pPr>
        <w:jc w:val="both"/>
        <w:ind w:firstLine="648"/>
        <w:spacing w:after="0" w:line="269" w:lineRule="auto"/>
        <w:rPr>
          <w:sz w:val="20"/>
          <w:szCs w:val="20"/>
          <w:color w:val="auto"/>
        </w:rPr>
      </w:pPr>
      <w:r>
        <w:rPr>
          <w:rFonts w:ascii="Arial" w:cs="Arial" w:eastAsia="Arial" w:hAnsi="Arial"/>
          <w:sz w:val="17"/>
          <w:szCs w:val="17"/>
          <w:color w:val="auto"/>
        </w:rPr>
        <w:t>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 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may pledge or grant a security interest in some or all of the notes,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 poses of this prospectus.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3" w:name="page164"/>
    <w:bookmarkEnd w:id="163"/>
    <w:p>
      <w:pPr>
        <w:jc w:val="both"/>
        <w:ind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 spect to the shares of common stock.</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estimated to be $[ ]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 tion furnished to us by the selling stockholder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A WARRANT]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ARRANT</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Series A Warrant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[___], 2010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[BUYER],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 but not after 11:59 p.m., New York time, on the Expiration Date (as defined below), [______________]</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(subject to adjustment as provided</w:t>
      </w:r>
    </w:p>
    <w:p>
      <w:pPr>
        <w:jc w:val="both"/>
        <w:spacing w:after="0" w:line="253" w:lineRule="auto"/>
        <w:rPr>
          <w:sz w:val="20"/>
          <w:szCs w:val="20"/>
          <w:color w:val="auto"/>
        </w:rPr>
      </w:pPr>
      <w:r>
        <w:rPr>
          <w:rFonts w:ascii="Arial" w:cs="Arial" w:eastAsia="Arial" w:hAnsi="Arial"/>
          <w:sz w:val="18"/>
          <w:szCs w:val="18"/>
          <w:color w:val="auto"/>
        </w:rPr>
        <w:t>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Section 1 of that certain Securities Purchase Agreement, dated as of May 17, 2010, by and among the Company and the investors (the “</w:t>
      </w:r>
      <w:r>
        <w:rPr>
          <w:rFonts w:ascii="Arial" w:cs="Arial" w:eastAsia="Arial" w:hAnsi="Arial"/>
          <w:sz w:val="18"/>
          <w:szCs w:val="18"/>
          <w:b w:val="1"/>
          <w:bCs w:val="1"/>
          <w:color w:val="auto"/>
        </w:rPr>
        <w:t>Buyers</w:t>
      </w:r>
      <w:r>
        <w:rPr>
          <w:rFonts w:ascii="Arial" w:cs="Arial" w:eastAsia="Arial" w:hAnsi="Arial"/>
          <w:sz w:val="18"/>
          <w:szCs w:val="18"/>
          <w:color w:val="auto"/>
        </w:rPr>
        <w:t>”)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221;).</w:t>
      </w:r>
    </w:p>
    <w:p>
      <w:pPr>
        <w:spacing w:after="0" w:line="192"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397"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 xml:space="preserve"> Subject to the terms and conditions hereof (including, without limitation, the limitations set forth in Section 1(f)), this Warrant may be exercised by the</w:t>
      </w:r>
    </w:p>
    <w:p>
      <w:pPr>
        <w:spacing w:after="0" w:line="329" w:lineRule="exact"/>
        <w:rPr>
          <w:sz w:val="20"/>
          <w:szCs w:val="20"/>
          <w:color w:val="auto"/>
        </w:rPr>
      </w:pPr>
    </w:p>
    <w:p>
      <w:pPr>
        <w:ind w:left="160" w:hanging="152"/>
        <w:spacing w:after="0"/>
        <w:tabs>
          <w:tab w:leader="none" w:pos="160" w:val="left"/>
        </w:tabs>
        <w:numPr>
          <w:ilvl w:val="0"/>
          <w:numId w:val="195"/>
        </w:numPr>
        <w:rPr>
          <w:rFonts w:ascii="Arial" w:cs="Arial" w:eastAsia="Arial" w:hAnsi="Arial"/>
          <w:sz w:val="25"/>
          <w:szCs w:val="25"/>
          <w:color w:val="auto"/>
          <w:vertAlign w:val="superscript"/>
        </w:rPr>
      </w:pPr>
      <w:r>
        <w:rPr>
          <w:rFonts w:ascii="Arial" w:cs="Arial" w:eastAsia="Arial" w:hAnsi="Arial"/>
          <w:sz w:val="18"/>
          <w:szCs w:val="18"/>
          <w:color w:val="auto"/>
        </w:rPr>
        <w:t>125% warrant coverage.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65" w:name="page166"/>
    <w:bookmarkEnd w:id="165"/>
    <w:p>
      <w:pPr>
        <w:jc w:val="both"/>
        <w:spacing w:after="0" w:line="276" w:lineRule="auto"/>
        <w:rPr>
          <w:sz w:val="20"/>
          <w:szCs w:val="20"/>
          <w:color w:val="auto"/>
        </w:rPr>
      </w:pPr>
      <w:r>
        <w:rPr>
          <w:rFonts w:ascii="Arial" w:cs="Arial" w:eastAsia="Arial" w:hAnsi="Arial"/>
          <w:sz w:val="16"/>
          <w:szCs w:val="16"/>
          <w:color w:val="auto"/>
        </w:rPr>
        <w:t xml:space="preserve">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Trading Day following the date on which the Company has received an Exercise Notice, the Company shall transmit by facsimile an acknowledg ment of confirmation of receipt of such Exercise Notice,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following the date on which the Company has received such Exercise Notice,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 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which may be payable with respect to the issuance and delivery of Warrant Shares upon exercise of this Warrant.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6" w:name="page167"/>
    <w:bookmarkEnd w:id="166"/>
    <w:p>
      <w:pPr>
        <w:ind w:left="1360" w:hanging="704"/>
        <w:spacing w:after="0"/>
        <w:tabs>
          <w:tab w:leader="none" w:pos="13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$0.30, subject to adjustment as provided herein.</w:t>
      </w:r>
    </w:p>
    <w:p>
      <w:pPr>
        <w:spacing w:after="0" w:line="229" w:lineRule="exact"/>
        <w:rPr>
          <w:rFonts w:ascii="Arial" w:cs="Arial" w:eastAsia="Arial" w:hAnsi="Arial"/>
          <w:sz w:val="18"/>
          <w:szCs w:val="18"/>
          <w:color w:val="auto"/>
        </w:rPr>
      </w:pPr>
    </w:p>
    <w:p>
      <w:pPr>
        <w:jc w:val="both"/>
        <w:ind w:firstLine="656"/>
        <w:spacing w:after="0" w:line="274" w:lineRule="auto"/>
        <w:tabs>
          <w:tab w:leader="none" w:pos="1424"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then, in addition to all other remedi es available to the Holder, the Company shall pay in cash to the Holder on each day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a certificate to the Holder and register such shares of Common Stock on the Company’s share register or credit the Holder’s balance account with DTC for the number of shares of Common Stock to which the Holder is entitled upon the Holder’s exercise hereunder (as the case may be), and if on or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shares of Common Stock issuable upon such exercise that the Holder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 icate or credit the Holder’s balance account with DTC for the number of shares of Common Stock to which the Holder is entitled upon the Holder’s exercise hereunder (as the case may be) (and to issue such shares of Common Stock) shall terminate, or (ii) promptly honor its obligation to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times (B) the Closing Sale Price of the Common Stock on the Trading Day immediately preceding the date of the applicable Exercise Notice.</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jc w:val="both"/>
        <w:ind w:firstLine="656"/>
        <w:spacing w:after="0" w:line="273" w:lineRule="auto"/>
        <w:tabs>
          <w:tab w:leader="none" w:pos="1475"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on or after the six (6) month anniversary of the Issuance Date, at the time of exercise hereof a Registration Statement (as defined in the Registration Rights Agreement (as defined in the Securities Purchase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7" w:name="page168"/>
    <w:bookmarkEnd w:id="167"/>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and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firstLine="656"/>
        <w:spacing w:after="0" w:line="264" w:lineRule="auto"/>
        <w:tabs>
          <w:tab w:leader="none" w:pos="1492"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181" w:lineRule="exact"/>
        <w:rPr>
          <w:rFonts w:ascii="Arial" w:cs="Arial" w:eastAsia="Arial" w:hAnsi="Arial"/>
          <w:sz w:val="18"/>
          <w:szCs w:val="18"/>
          <w:color w:val="auto"/>
        </w:rPr>
      </w:pPr>
    </w:p>
    <w:p>
      <w:pPr>
        <w:jc w:val="both"/>
        <w:ind w:firstLine="656"/>
        <w:spacing w:after="0" w:line="253" w:lineRule="auto"/>
        <w:tabs>
          <w:tab w:leader="none" w:pos="1363"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Limitations on Exercises</w:t>
      </w:r>
      <w:r>
        <w:rPr>
          <w:rFonts w:ascii="Arial" w:cs="Arial" w:eastAsia="Arial" w:hAnsi="Arial"/>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8"/>
          <w:szCs w:val="18"/>
          <w:b w:val="1"/>
          <w:bCs w:val="1"/>
          <w:color w:val="auto"/>
        </w:rPr>
        <w:t>Maximum</w:t>
      </w:r>
      <w:r>
        <w:rPr>
          <w:rFonts w:ascii="Arial" w:cs="Arial" w:eastAsia="Arial" w:hAnsi="Arial"/>
          <w:sz w:val="18"/>
          <w:szCs w:val="18"/>
          <w:color w:val="auto"/>
        </w:rPr>
        <w:t xml:space="preserve"> </w:t>
      </w:r>
      <w:r>
        <w:rPr>
          <w:rFonts w:ascii="Arial" w:cs="Arial" w:eastAsia="Arial" w:hAnsi="Arial"/>
          <w:sz w:val="18"/>
          <w:szCs w:val="18"/>
          <w:b w:val="1"/>
          <w:bCs w:val="1"/>
          <w:color w:val="auto"/>
        </w:rPr>
        <w:t>Percentage</w:t>
      </w:r>
      <w:r>
        <w:rPr>
          <w:rFonts w:ascii="Arial" w:cs="Arial" w:eastAsia="Arial" w:hAnsi="Arial"/>
          <w:sz w:val="18"/>
          <w:szCs w:val="18"/>
          <w:color w:val="auto"/>
        </w:rPr>
        <w:t>”) of the Common Stock. To the extent the above limitation applies, the determination of whether this Warrant shall be exercisable (vis-à-vis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exercisable or exchangeable securities owned by the Holder or any of its affiliates) and of which such securities shall be exercisable (as among all such secu 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8" w:name="page169"/>
    <w:bookmarkEnd w:id="168"/>
    <w:p>
      <w:pPr>
        <w:jc w:val="both"/>
        <w:spacing w:after="0" w:line="270" w:lineRule="auto"/>
        <w:rPr>
          <w:sz w:val="20"/>
          <w:szCs w:val="20"/>
          <w:color w:val="auto"/>
        </w:rPr>
      </w:pPr>
      <w:r>
        <w:rPr>
          <w:rFonts w:ascii="Arial" w:cs="Arial" w:eastAsia="Arial" w:hAnsi="Arial"/>
          <w:sz w:val="17"/>
          <w:szCs w:val="17"/>
          <w:color w:val="auto"/>
        </w:rPr>
        <w:t>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 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Each delivery of an Exercise Notice by the Holder will constitute a representation by the Holder that it has evaluated the limitation set forth in this paragraph and determined that issuance of the full number of Warrant Shares requested by the Holder in such Exercise Notice is permitted under this paragraph.</w:t>
      </w:r>
    </w:p>
    <w:p>
      <w:pPr>
        <w:spacing w:after="0" w:line="178" w:lineRule="exact"/>
        <w:rPr>
          <w:sz w:val="20"/>
          <w:szCs w:val="20"/>
          <w:color w:val="auto"/>
        </w:rPr>
      </w:pPr>
    </w:p>
    <w:p>
      <w:pPr>
        <w:jc w:val="both"/>
        <w:ind w:firstLine="656"/>
        <w:spacing w:after="0" w:line="286" w:lineRule="auto"/>
        <w:tabs>
          <w:tab w:leader="none" w:pos="1556"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 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 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174" w:lineRule="exact"/>
        <w:rPr>
          <w:rFonts w:ascii="Arial" w:cs="Arial" w:eastAsia="Arial" w:hAnsi="Arial"/>
          <w:sz w:val="16"/>
          <w:szCs w:val="16"/>
          <w:color w:val="auto"/>
        </w:rPr>
      </w:pPr>
    </w:p>
    <w:p>
      <w:pPr>
        <w:ind w:firstLine="8"/>
        <w:spacing w:after="0" w:line="277" w:lineRule="auto"/>
        <w:tabs>
          <w:tab w:leader="none" w:pos="765"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9" w:name="page170"/>
    <w:bookmarkEnd w:id="169"/>
    <w:p>
      <w:pPr>
        <w:jc w:val="both"/>
        <w:ind w:firstLine="656"/>
        <w:spacing w:after="0" w:line="284" w:lineRule="auto"/>
        <w:tabs>
          <w:tab w:leader="none" w:pos="1383"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Without limiting any provision of Section 4,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 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w:t>
      </w:r>
    </w:p>
    <w:p>
      <w:pPr>
        <w:spacing w:after="0" w:line="2" w:lineRule="exact"/>
        <w:rPr>
          <w:rFonts w:ascii="Arial" w:cs="Arial" w:eastAsia="Arial" w:hAnsi="Arial"/>
          <w:sz w:val="16"/>
          <w:szCs w:val="16"/>
          <w:color w:val="auto"/>
        </w:rPr>
      </w:pPr>
    </w:p>
    <w:p>
      <w:pPr>
        <w:jc w:val="both"/>
        <w:ind w:firstLine="8"/>
        <w:spacing w:after="0" w:line="254" w:lineRule="auto"/>
        <w:tabs>
          <w:tab w:leader="none" w:pos="24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9" w:lineRule="exact"/>
        <w:rPr>
          <w:rFonts w:ascii="Arial" w:cs="Arial" w:eastAsia="Arial" w:hAnsi="Arial"/>
          <w:sz w:val="18"/>
          <w:szCs w:val="18"/>
          <w:color w:val="auto"/>
        </w:rPr>
      </w:pPr>
    </w:p>
    <w:p>
      <w:pPr>
        <w:jc w:val="both"/>
        <w:ind w:firstLine="656"/>
        <w:spacing w:after="0" w:line="291" w:lineRule="auto"/>
        <w:tabs>
          <w:tab w:leader="none" w:pos="1448"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Adjustment Upon Issuance of Shares of Common Stock</w:t>
      </w:r>
      <w:r>
        <w:rPr>
          <w:rFonts w:ascii="Arial" w:cs="Arial" w:eastAsia="Arial" w:hAnsi="Arial"/>
          <w:sz w:val="16"/>
          <w:szCs w:val="16"/>
          <w:color w:val="auto"/>
        </w:rPr>
        <w:t>.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equal to the Exercise Price in effect immediately prior to such issue or sale or deemed issuance or sale (such Exercise Price then in effect is referred to as the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Exercise Price then in effect shall be reduced to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New Issuance Price. For purposes of determining the adjusted Exercise Price under this Section 2(b), the following shall be applicable:</w:t>
      </w:r>
    </w:p>
    <w:p>
      <w:pPr>
        <w:spacing w:after="0" w:line="167" w:lineRule="exact"/>
        <w:rPr>
          <w:rFonts w:ascii="Arial" w:cs="Arial" w:eastAsia="Arial" w:hAnsi="Arial"/>
          <w:sz w:val="16"/>
          <w:szCs w:val="16"/>
          <w:color w:val="auto"/>
        </w:rPr>
      </w:pPr>
    </w:p>
    <w:p>
      <w:pPr>
        <w:jc w:val="both"/>
        <w:ind w:left="660" w:firstLine="645"/>
        <w:spacing w:after="0" w:line="289" w:lineRule="auto"/>
        <w:tabs>
          <w:tab w:leader="none" w:pos="1987" w:val="left"/>
        </w:tabs>
        <w:numPr>
          <w:ilvl w:val="2"/>
          <w:numId w:val="201"/>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 onversion, exercise or exchange of any Convertible Securities issuable upon exercise of any such Option”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and (y) the lowest exercise price set forth in such Option for which one share of Common Stock is issuable upon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0" w:name="page171"/>
    <w:bookmarkEnd w:id="170"/>
    <w:p>
      <w:pPr>
        <w:jc w:val="both"/>
        <w:spacing w:after="0" w:line="255" w:lineRule="auto"/>
        <w:rPr>
          <w:sz w:val="20"/>
          <w:szCs w:val="20"/>
          <w:color w:val="auto"/>
        </w:rPr>
      </w:pPr>
      <w:r>
        <w:rPr>
          <w:rFonts w:ascii="Arial" w:cs="Arial" w:eastAsia="Arial" w:hAnsi="Arial"/>
          <w:sz w:val="18"/>
          <w:szCs w:val="18"/>
          <w:color w:val="auto"/>
        </w:rPr>
        <w:t>exercise of any such Options or upon conversion, exercise or exchange of any Convertible Securities issuable upon exercise of any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 sion, exercise or exchange of such Convertible Securities.</w:t>
      </w:r>
    </w:p>
    <w:p>
      <w:pPr>
        <w:spacing w:after="0" w:line="189" w:lineRule="exact"/>
        <w:rPr>
          <w:sz w:val="20"/>
          <w:szCs w:val="20"/>
          <w:color w:val="auto"/>
        </w:rPr>
      </w:pPr>
    </w:p>
    <w:p>
      <w:pPr>
        <w:jc w:val="both"/>
        <w:ind w:firstLine="807"/>
        <w:spacing w:after="0" w:line="286" w:lineRule="auto"/>
        <w:tabs>
          <w:tab w:leader="none" w:pos="1647"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 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171" w:lineRule="exact"/>
        <w:rPr>
          <w:rFonts w:ascii="Arial" w:cs="Arial" w:eastAsia="Arial" w:hAnsi="Arial"/>
          <w:sz w:val="16"/>
          <w:szCs w:val="16"/>
          <w:color w:val="auto"/>
        </w:rPr>
      </w:pPr>
    </w:p>
    <w:p>
      <w:pPr>
        <w:jc w:val="both"/>
        <w:ind w:firstLine="807"/>
        <w:spacing w:after="0" w:line="288" w:lineRule="auto"/>
        <w:tabs>
          <w:tab w:leader="none" w:pos="1683"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 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171" w:name="page172"/>
    <w:bookmarkEnd w:id="171"/>
    <w:p>
      <w:pPr>
        <w:jc w:val="both"/>
        <w:ind w:left="660" w:firstLine="807"/>
        <w:spacing w:after="0" w:line="279" w:lineRule="auto"/>
        <w:tabs>
          <w:tab w:leader="none" w:pos="2266"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 ch such Option or Convertible Security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 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 Trading Days after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such Valuation Event by an independent, reputable appraiser jointly selected by the Company and the Holder. The determination of such appraiser shall be final and binding upon all parties absent man ifest error and the fees and expenses of such appraiser shall be borne by the Company.</w:t>
      </w:r>
    </w:p>
    <w:p>
      <w:pPr>
        <w:spacing w:after="0" w:line="177" w:lineRule="exact"/>
        <w:rPr>
          <w:rFonts w:ascii="Arial" w:cs="Arial" w:eastAsia="Arial" w:hAnsi="Arial"/>
          <w:sz w:val="16"/>
          <w:szCs w:val="16"/>
          <w:color w:val="auto"/>
        </w:rPr>
      </w:pPr>
    </w:p>
    <w:p>
      <w:pPr>
        <w:jc w:val="both"/>
        <w:ind w:left="660" w:firstLine="807"/>
        <w:spacing w:after="0" w:line="257" w:lineRule="auto"/>
        <w:tabs>
          <w:tab w:leader="none" w:pos="2216"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8" w:lineRule="exact"/>
        <w:rPr>
          <w:rFonts w:ascii="Arial" w:cs="Arial" w:eastAsia="Arial" w:hAnsi="Arial"/>
          <w:sz w:val="18"/>
          <w:szCs w:val="18"/>
          <w:color w:val="auto"/>
        </w:rPr>
      </w:pPr>
    </w:p>
    <w:p>
      <w:pPr>
        <w:jc w:val="both"/>
        <w:ind w:firstLine="656"/>
        <w:spacing w:after="0" w:line="279" w:lineRule="auto"/>
        <w:tabs>
          <w:tab w:leader="none" w:pos="1424"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Number of Warrant Shares</w:t>
      </w:r>
      <w:r>
        <w:rPr>
          <w:rFonts w:ascii="Arial" w:cs="Arial" w:eastAsia="Arial" w:hAnsi="Arial"/>
          <w:sz w:val="17"/>
          <w:szCs w:val="17"/>
          <w:color w:val="auto"/>
        </w:rPr>
        <w:t>. Simultaneously with any adjustment to the Exercise Price pursuant to paragraphs (a) or (b)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2" w:name="page173"/>
    <w:bookmarkEnd w:id="172"/>
    <w:p>
      <w:pPr>
        <w:jc w:val="both"/>
        <w:ind w:firstLine="656"/>
        <w:spacing w:after="0" w:line="270" w:lineRule="auto"/>
        <w:tabs>
          <w:tab w:leader="none" w:pos="1542"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 er, provided that no such adjustment pursuant to this Section 2(d)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1" w:lineRule="exact"/>
        <w:rPr>
          <w:rFonts w:ascii="Arial" w:cs="Arial" w:eastAsia="Arial" w:hAnsi="Arial"/>
          <w:sz w:val="17"/>
          <w:szCs w:val="17"/>
          <w:color w:val="auto"/>
        </w:rPr>
      </w:pPr>
    </w:p>
    <w:p>
      <w:pPr>
        <w:jc w:val="both"/>
        <w:ind w:firstLine="656"/>
        <w:spacing w:after="0" w:line="226" w:lineRule="auto"/>
        <w:tabs>
          <w:tab w:leader="none" w:pos="1532"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Arial" w:cs="Arial" w:eastAsia="Arial" w:hAnsi="Arial"/>
          <w:sz w:val="18"/>
          <w:szCs w:val="18"/>
          <w:color w:val="auto"/>
        </w:rPr>
      </w:pPr>
    </w:p>
    <w:p>
      <w:pPr>
        <w:jc w:val="both"/>
        <w:ind w:firstLine="8"/>
        <w:spacing w:after="0" w:line="269" w:lineRule="auto"/>
        <w:tabs>
          <w:tab w:leader="none" w:pos="697"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 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 er until such time, if ever, as its right thereto would not result in the Holder exceeding the Maximum Percentage).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3" w:name="page174"/>
    <w:bookmarkEnd w:id="173"/>
    <w:p>
      <w:pPr>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9" w:lineRule="auto"/>
        <w:tabs>
          <w:tab w:leader="none" w:pos="1532"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 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jc w:val="both"/>
        <w:ind w:firstLine="656"/>
        <w:spacing w:after="0" w:line="285" w:lineRule="auto"/>
        <w:tabs>
          <w:tab w:leader="none" w:pos="1461"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 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 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4" w:name="page175"/>
    <w:bookmarkEnd w:id="174"/>
    <w:p>
      <w:pPr>
        <w:jc w:val="both"/>
        <w:spacing w:after="0" w:line="286" w:lineRule="auto"/>
        <w:rPr>
          <w:sz w:val="20"/>
          <w:szCs w:val="20"/>
          <w:color w:val="auto"/>
        </w:rPr>
      </w:pPr>
      <w:r>
        <w:rPr>
          <w:rFonts w:ascii="Arial" w:cs="Arial" w:eastAsia="Arial" w:hAnsi="Arial"/>
          <w:sz w:val="16"/>
          <w:szCs w:val="16"/>
          <w:color w:val="auto"/>
        </w:rPr>
        <w:t>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 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 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72" w:lineRule="exact"/>
        <w:rPr>
          <w:sz w:val="20"/>
          <w:szCs w:val="20"/>
          <w:color w:val="auto"/>
        </w:rPr>
      </w:pPr>
    </w:p>
    <w:p>
      <w:pPr>
        <w:jc w:val="both"/>
        <w:ind w:firstLine="656"/>
        <w:spacing w:after="0" w:line="272" w:lineRule="auto"/>
        <w:tabs>
          <w:tab w:leader="none" w:pos="1343"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Black Scholes Value</w:t>
      </w:r>
      <w:r>
        <w:rPr>
          <w:rFonts w:ascii="Arial" w:cs="Arial" w:eastAsia="Arial" w:hAnsi="Arial"/>
          <w:sz w:val="16"/>
          <w:szCs w:val="16"/>
          <w:color w:val="auto"/>
        </w:rPr>
        <w:t>. Notwithstanding the foregoing and the provisions of Section 4(b) above, in the event of a Fundamental Transaction, if the Holder has not exercised this Warrant in full prior to the consummation of such Fundamental Transaction, at the request of the Holder delivered before the ninetieth (90</w:t>
      </w:r>
      <w:r>
        <w:rPr>
          <w:rFonts w:ascii="Arial" w:cs="Arial" w:eastAsia="Arial" w:hAnsi="Arial"/>
          <w:sz w:val="22"/>
          <w:szCs w:val="22"/>
          <w:color w:val="auto"/>
          <w:vertAlign w:val="superscript"/>
        </w:rPr>
        <w:t>th</w:t>
      </w:r>
      <w:r>
        <w:rPr>
          <w:rFonts w:ascii="Arial" w:cs="Arial" w:eastAsia="Arial" w:hAnsi="Arial"/>
          <w:sz w:val="16"/>
          <w:szCs w:val="16"/>
          <w:color w:val="auto"/>
        </w:rPr>
        <w:t>) day after the consummation of such Fundamental Transaction, the Company or the Successor Entity (as the case may be) shall purchase this Warrant from the Holder on the date of such request by paying to the Holder cash in an amount equal to the Black Scholes Value.</w:t>
      </w:r>
    </w:p>
    <w:p>
      <w:pPr>
        <w:spacing w:after="0" w:line="168" w:lineRule="exact"/>
        <w:rPr>
          <w:rFonts w:ascii="Arial" w:cs="Arial" w:eastAsia="Arial" w:hAnsi="Arial"/>
          <w:sz w:val="16"/>
          <w:szCs w:val="16"/>
          <w:color w:val="auto"/>
        </w:rPr>
      </w:pPr>
    </w:p>
    <w:p>
      <w:pPr>
        <w:jc w:val="both"/>
        <w:ind w:firstLine="656"/>
        <w:spacing w:after="0" w:line="302" w:lineRule="auto"/>
        <w:tabs>
          <w:tab w:leader="none" w:pos="1515"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54" w:lineRule="exact"/>
        <w:rPr>
          <w:rFonts w:ascii="Arial" w:cs="Arial" w:eastAsia="Arial" w:hAnsi="Arial"/>
          <w:sz w:val="16"/>
          <w:szCs w:val="16"/>
          <w:color w:val="auto"/>
        </w:rPr>
      </w:pPr>
    </w:p>
    <w:p>
      <w:pPr>
        <w:jc w:val="both"/>
        <w:ind w:firstLine="8"/>
        <w:spacing w:after="0" w:line="257" w:lineRule="auto"/>
        <w:tabs>
          <w:tab w:leader="none" w:pos="657"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5" w:name="page176"/>
    <w:bookmarkEnd w:id="175"/>
    <w:p>
      <w:pPr>
        <w:jc w:val="both"/>
        <w:spacing w:after="0" w:line="273" w:lineRule="auto"/>
        <w:rPr>
          <w:sz w:val="20"/>
          <w:szCs w:val="20"/>
          <w:color w:val="auto"/>
        </w:rPr>
      </w:pPr>
      <w:r>
        <w:rPr>
          <w:rFonts w:ascii="Arial" w:cs="Arial" w:eastAsia="Arial" w:hAnsi="Arial"/>
          <w:sz w:val="17"/>
          <w:szCs w:val="17"/>
          <w:color w:val="auto"/>
        </w:rPr>
        <w:t>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 hout regard to any limitations on exercise).</w:t>
      </w:r>
    </w:p>
    <w:p>
      <w:pPr>
        <w:spacing w:after="0" w:line="178" w:lineRule="exact"/>
        <w:rPr>
          <w:sz w:val="20"/>
          <w:szCs w:val="20"/>
          <w:color w:val="auto"/>
        </w:rPr>
      </w:pPr>
    </w:p>
    <w:p>
      <w:pPr>
        <w:jc w:val="both"/>
        <w:ind w:firstLine="8"/>
        <w:spacing w:after="0" w:line="270" w:lineRule="auto"/>
        <w:tabs>
          <w:tab w:leader="none" w:pos="643"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 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77" w:lineRule="exact"/>
        <w:rPr>
          <w:rFonts w:ascii="Arial" w:cs="Arial" w:eastAsia="Arial" w:hAnsi="Arial"/>
          <w:sz w:val="17"/>
          <w:szCs w:val="17"/>
          <w:color w:val="auto"/>
        </w:rPr>
      </w:pPr>
    </w:p>
    <w:p>
      <w:pPr>
        <w:ind w:left="640" w:hanging="632"/>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383"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8" w:lineRule="exact"/>
        <w:rPr>
          <w:rFonts w:ascii="Arial" w:cs="Arial" w:eastAsia="Arial" w:hAnsi="Arial"/>
          <w:sz w:val="18"/>
          <w:szCs w:val="18"/>
          <w:color w:val="auto"/>
        </w:rPr>
      </w:pPr>
    </w:p>
    <w:p>
      <w:pPr>
        <w:jc w:val="both"/>
        <w:ind w:firstLine="656"/>
        <w:spacing w:after="0" w:line="276" w:lineRule="auto"/>
        <w:tabs>
          <w:tab w:leader="none" w:pos="1475"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6" w:name="page177"/>
    <w:bookmarkEnd w:id="176"/>
    <w:p>
      <w:pPr>
        <w:jc w:val="both"/>
        <w:ind w:firstLine="656"/>
        <w:spacing w:after="0" w:line="279" w:lineRule="auto"/>
        <w:tabs>
          <w:tab w:leader="none" w:pos="1410"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jc w:val="both"/>
        <w:ind w:firstLine="656"/>
        <w:spacing w:after="0" w:line="273" w:lineRule="auto"/>
        <w:tabs>
          <w:tab w:leader="none" w:pos="1475"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 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jc w:val="both"/>
        <w:ind w:firstLine="8"/>
        <w:spacing w:after="0" w:line="286" w:lineRule="auto"/>
        <w:tabs>
          <w:tab w:leader="none" w:pos="684"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and (ii) at least fifte 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 rrent Report on Form 8-K. It is expressly understood and agreed that the time of execution specified by the Holder in each Exercise Notice shall be definitive and may not be disputed or challenged by the Company.</w:t>
      </w:r>
    </w:p>
    <w:p>
      <w:pPr>
        <w:spacing w:after="0" w:line="174" w:lineRule="exact"/>
        <w:rPr>
          <w:rFonts w:ascii="Arial" w:cs="Arial" w:eastAsia="Arial" w:hAnsi="Arial"/>
          <w:sz w:val="16"/>
          <w:szCs w:val="16"/>
          <w:color w:val="auto"/>
        </w:rPr>
      </w:pPr>
    </w:p>
    <w:p>
      <w:pPr>
        <w:jc w:val="both"/>
        <w:ind w:firstLine="8"/>
        <w:spacing w:after="0" w:line="257" w:lineRule="auto"/>
        <w:tabs>
          <w:tab w:leader="none" w:pos="657"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7" w:name="page178"/>
    <w:bookmarkEnd w:id="177"/>
    <w:p>
      <w:pPr>
        <w:jc w:val="both"/>
        <w:ind w:firstLine="8"/>
        <w:spacing w:after="0" w:line="271" w:lineRule="auto"/>
        <w:tabs>
          <w:tab w:leader="none" w:pos="896"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 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8"/>
        <w:spacing w:after="0" w:line="259" w:lineRule="auto"/>
        <w:tabs>
          <w:tab w:leader="none" w:pos="997"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w:t>
      </w:r>
    </w:p>
    <w:p>
      <w:pPr>
        <w:spacing w:after="0" w:line="186" w:lineRule="exact"/>
        <w:rPr>
          <w:rFonts w:ascii="Arial" w:cs="Arial" w:eastAsia="Arial" w:hAnsi="Arial"/>
          <w:sz w:val="18"/>
          <w:szCs w:val="18"/>
          <w:color w:val="auto"/>
        </w:rPr>
      </w:pPr>
    </w:p>
    <w:p>
      <w:pPr>
        <w:jc w:val="both"/>
        <w:ind w:firstLine="8"/>
        <w:spacing w:after="0" w:line="302" w:lineRule="auto"/>
        <w:tabs>
          <w:tab w:leader="none" w:pos="815"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jc w:val="both"/>
        <w:ind w:firstLine="8"/>
        <w:spacing w:after="0" w:line="286" w:lineRule="auto"/>
        <w:tabs>
          <w:tab w:leader="none" w:pos="734"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 ance or sale or deemed issuance or sale was an issuance or sale or deemed issuance or sale of Excluded Securities).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determination of the Exercise Price, the Closing Sale Price, the Bid Price or fair market value (as the case may be)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 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8" w:name="page179"/>
    <w:bookmarkEnd w:id="178"/>
    <w:p>
      <w:pPr>
        <w:jc w:val="both"/>
        <w:ind w:firstLine="8"/>
        <w:spacing w:after="0" w:line="268" w:lineRule="auto"/>
        <w:tabs>
          <w:tab w:leader="none" w:pos="96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 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firstLine="8"/>
        <w:spacing w:after="0" w:line="277" w:lineRule="auto"/>
        <w:tabs>
          <w:tab w:leader="none" w:pos="774"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 except as may otherwise be required by Section 2(g) of the Securities Purchase 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656"/>
        <w:spacing w:after="0" w:line="270" w:lineRule="auto"/>
        <w:tabs>
          <w:tab w:leader="none" w:pos="143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 rice is reported for such security by Bloomberg as of such time of determination, the average of the bid prices of any market makers for such security as reported in the “pink sheets” by Pink Sheets LLC (formerly the National Quotation Bureau, Inc.)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9" w:name="page180"/>
    <w:bookmarkEnd w:id="179"/>
    <w:p>
      <w:pPr>
        <w:jc w:val="both"/>
        <w:ind w:firstLine="656"/>
        <w:spacing w:after="0" w:line="287" w:lineRule="auto"/>
        <w:tabs>
          <w:tab w:leader="none" w:pos="138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Consideration Value</w:t>
      </w:r>
      <w:r>
        <w:rPr>
          <w:rFonts w:ascii="Arial" w:cs="Arial" w:eastAsia="Arial" w:hAnsi="Arial"/>
          <w:sz w:val="16"/>
          <w:szCs w:val="16"/>
          <w:color w:val="auto"/>
        </w:rPr>
        <w:t>” means the value of the applicable Option or Convertible Security (as the case may be) calculated using the Black Scholes Option Pricing Model obtained from the “OV” function on Bloomberg as of the applicable date of determination and for purposes of such calculation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w:t>
      </w:r>
    </w:p>
    <w:p>
      <w:pPr>
        <w:spacing w:after="0" w:line="2" w:lineRule="exact"/>
        <w:rPr>
          <w:rFonts w:ascii="Arial" w:cs="Arial" w:eastAsia="Arial" w:hAnsi="Arial"/>
          <w:sz w:val="16"/>
          <w:szCs w:val="16"/>
          <w:color w:val="auto"/>
        </w:rPr>
      </w:pPr>
    </w:p>
    <w:p>
      <w:pPr>
        <w:jc w:val="both"/>
        <w:ind w:firstLine="8"/>
        <w:spacing w:after="0" w:line="254" w:lineRule="auto"/>
        <w:tabs>
          <w:tab w:leader="none" w:pos="27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risk-free interest rate corresponding to the U.S. Treasury rate for a period equal to the remaining t erm of such Option or Convertible Security (as the case may be) as of the date of issuance of such Option or Convertible Security (as the case may be) and (iii) an expected volatility equal to the greater of 100% and the 100 day volatility obtained from the HVT function on Bloomberg as of the Trading Day immediately following the date of issuance of such Option or Convertible Security (as the case may be).</w:t>
      </w:r>
    </w:p>
    <w:p>
      <w:pPr>
        <w:spacing w:after="0" w:line="185" w:lineRule="exact"/>
        <w:rPr>
          <w:rFonts w:ascii="Arial" w:cs="Arial" w:eastAsia="Arial" w:hAnsi="Arial"/>
          <w:sz w:val="18"/>
          <w:szCs w:val="18"/>
          <w:color w:val="auto"/>
        </w:rPr>
      </w:pPr>
    </w:p>
    <w:p>
      <w:pPr>
        <w:jc w:val="both"/>
        <w:ind w:firstLine="656"/>
        <w:spacing w:after="0" w:line="290" w:lineRule="auto"/>
        <w:tabs>
          <w:tab w:leader="none" w:pos="1487"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that remained on the date of the Holder’s request pursuant to Section 4(c) calculated using the Black Scholes Option Pricing Model obtained from the “OV” function on Bloomberg as of the applicable date of determination and for purposes of such calculation utilizing (i) an underlying price per share equal to the greater of (1) the highest Closing Sale Price of the Common Stock during the period beginning on the Trading Day immediately preceding the announcement of the applicable Fundamental Transaction and ending on the Trading Day immediately following the consummation of the applicable Fundamental Transactio n and (2) the sum of the price per share being offered in cash in the applicable Fundamental Transaction (if any) plus the value of the non-cash consideration being offered in the applicable Fundamental Transaction (if any), (ii) a risk-free interest rate corresponding to the U.S. Treasury rate for a period equal to the remaining term of this Warrant as of the date of consummation of the applicable Fundamental Transaction and (iii) an expected volatility equal to the greater of 100% and the 100 day volatility obtained from the HVT function on Bloomberg as of the Trading Day immediately following the public announcement of the applicable Fundamental Transaction.</w:t>
      </w:r>
    </w:p>
    <w:p>
      <w:pPr>
        <w:spacing w:after="0" w:line="159" w:lineRule="exact"/>
        <w:rPr>
          <w:rFonts w:ascii="Arial" w:cs="Arial" w:eastAsia="Arial" w:hAnsi="Arial"/>
          <w:sz w:val="16"/>
          <w:szCs w:val="16"/>
          <w:color w:val="auto"/>
        </w:rPr>
      </w:pPr>
    </w:p>
    <w:p>
      <w:pPr>
        <w:ind w:left="1320" w:hanging="664"/>
        <w:spacing w:after="0"/>
        <w:tabs>
          <w:tab w:leader="none" w:pos="13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656"/>
        <w:spacing w:after="0" w:line="282" w:lineRule="auto"/>
        <w:tabs>
          <w:tab w:leader="none" w:pos="154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jc w:val="both"/>
        <w:ind w:firstLine="656"/>
        <w:spacing w:after="0" w:line="272" w:lineRule="auto"/>
        <w:tabs>
          <w:tab w:leader="none" w:pos="1499" w:val="left"/>
        </w:tabs>
        <w:numPr>
          <w:ilvl w:val="1"/>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0" w:name="page181"/>
    <w:bookmarkEnd w:id="180"/>
    <w:p>
      <w:pPr>
        <w:jc w:val="both"/>
        <w:spacing w:after="0" w:line="259" w:lineRule="auto"/>
        <w:rPr>
          <w:sz w:val="20"/>
          <w:szCs w:val="20"/>
          <w:color w:val="auto"/>
        </w:rPr>
      </w:pPr>
      <w:r>
        <w:rPr>
          <w:rFonts w:ascii="Arial" w:cs="Arial" w:eastAsia="Arial" w:hAnsi="Arial"/>
          <w:sz w:val="18"/>
          <w:szCs w:val="18"/>
          <w:color w:val="auto"/>
        </w:rPr>
        <w:t>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3" w:lineRule="exact"/>
        <w:rPr>
          <w:sz w:val="20"/>
          <w:szCs w:val="20"/>
          <w:color w:val="auto"/>
        </w:rPr>
      </w:pPr>
    </w:p>
    <w:p>
      <w:pPr>
        <w:ind w:firstLine="656"/>
        <w:spacing w:after="0" w:line="282" w:lineRule="auto"/>
        <w:tabs>
          <w:tab w:leader="none" w:pos="132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firstLine="656"/>
        <w:spacing w:after="0" w:line="347" w:lineRule="auto"/>
        <w:tabs>
          <w:tab w:leader="none" w:pos="1362" w:val="left"/>
        </w:tabs>
        <w:numPr>
          <w:ilvl w:val="1"/>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firstLine="656"/>
        <w:spacing w:after="0" w:line="282" w:lineRule="auto"/>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firstLine="656"/>
        <w:spacing w:after="0" w:line="218" w:lineRule="auto"/>
        <w:tabs>
          <w:tab w:leader="none" w:pos="132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w:t>
      </w:r>
      <w:r>
        <w:rPr>
          <w:rFonts w:ascii="Arial" w:cs="Arial" w:eastAsia="Arial" w:hAnsi="Arial"/>
          <w:sz w:val="25"/>
          <w:szCs w:val="25"/>
          <w:color w:val="auto"/>
          <w:vertAlign w:val="superscript"/>
        </w:rPr>
        <w:t>th</w:t>
      </w:r>
      <w:r>
        <w:rPr>
          <w:rFonts w:ascii="Arial" w:cs="Arial" w:eastAsia="Arial" w:hAnsi="Arial"/>
          <w:sz w:val="18"/>
          <w:szCs w:val="18"/>
          <w:color w:val="auto"/>
        </w:rPr>
        <w:t>) anniversary of the Issuance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date that is not a Holiday.</w:t>
      </w:r>
    </w:p>
    <w:p>
      <w:pPr>
        <w:spacing w:after="0" w:line="199" w:lineRule="exact"/>
        <w:rPr>
          <w:rFonts w:ascii="Arial" w:cs="Arial" w:eastAsia="Arial" w:hAnsi="Arial"/>
          <w:sz w:val="18"/>
          <w:szCs w:val="18"/>
          <w:color w:val="auto"/>
        </w:rPr>
      </w:pPr>
    </w:p>
    <w:p>
      <w:pPr>
        <w:jc w:val="both"/>
        <w:ind w:firstLine="656"/>
        <w:spacing w:after="0" w:line="293" w:lineRule="auto"/>
        <w:tabs>
          <w:tab w:leader="none" w:pos="1457" w:val="left"/>
        </w:tabs>
        <w:numPr>
          <w:ilvl w:val="1"/>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Arial" w:cs="Arial" w:eastAsia="Arial" w:hAnsi="Arial"/>
          <w:sz w:val="16"/>
          <w:szCs w:val="16"/>
          <w:color w:val="auto"/>
        </w:rPr>
      </w:pPr>
    </w:p>
    <w:p>
      <w:pPr>
        <w:jc w:val="both"/>
        <w:ind w:firstLine="8"/>
        <w:spacing w:after="0" w:line="267" w:lineRule="auto"/>
        <w:tabs>
          <w:tab w:leader="none" w:pos="26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 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 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1" w:name="page182"/>
    <w:bookmarkEnd w:id="181"/>
    <w:p>
      <w:pPr>
        <w:ind w:left="1320" w:hanging="664"/>
        <w:spacing w:after="0"/>
        <w:tabs>
          <w:tab w:leader="none" w:pos="13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236" w:lineRule="exact"/>
        <w:rPr>
          <w:rFonts w:ascii="Arial" w:cs="Arial" w:eastAsia="Arial" w:hAnsi="Arial"/>
          <w:sz w:val="17"/>
          <w:szCs w:val="17"/>
          <w:color w:val="auto"/>
        </w:rPr>
      </w:pPr>
    </w:p>
    <w:p>
      <w:pPr>
        <w:jc w:val="both"/>
        <w:ind w:firstLine="656"/>
        <w:spacing w:after="0" w:line="266" w:lineRule="auto"/>
        <w:tabs>
          <w:tab w:leader="none" w:pos="150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right="20" w:firstLine="656"/>
        <w:spacing w:after="0" w:line="282" w:lineRule="auto"/>
        <w:tabs>
          <w:tab w:leader="none" w:pos="157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51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jc w:val="both"/>
        <w:ind w:firstLine="656"/>
        <w:spacing w:after="0" w:line="274" w:lineRule="auto"/>
        <w:tabs>
          <w:tab w:leader="none" w:pos="149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 0:00 p.m., New York time) unless such day is otherwise designated as a Trading Day in writing by the Holder.</w:t>
      </w:r>
    </w:p>
    <w:p>
      <w:pPr>
        <w:spacing w:after="0" w:line="173" w:lineRule="exact"/>
        <w:rPr>
          <w:rFonts w:ascii="Arial" w:cs="Arial" w:eastAsia="Arial" w:hAnsi="Arial"/>
          <w:sz w:val="17"/>
          <w:szCs w:val="17"/>
          <w:color w:val="auto"/>
        </w:rPr>
      </w:pPr>
    </w:p>
    <w:p>
      <w:pPr>
        <w:jc w:val="both"/>
        <w:ind w:firstLine="656"/>
        <w:spacing w:after="0" w:line="314" w:lineRule="auto"/>
        <w:tabs>
          <w:tab w:leader="none" w:pos="149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2" w:lineRule="exact"/>
        <w:rPr>
          <w:rFonts w:ascii="Arial" w:cs="Arial" w:eastAsia="Arial" w:hAnsi="Arial"/>
          <w:sz w:val="16"/>
          <w:szCs w:val="16"/>
          <w:color w:val="auto"/>
        </w:rPr>
      </w:pPr>
    </w:p>
    <w:p>
      <w:pPr>
        <w:jc w:val="both"/>
        <w:ind w:firstLine="656"/>
        <w:spacing w:after="0" w:line="273" w:lineRule="auto"/>
        <w:tabs>
          <w:tab w:leader="none" w:pos="13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 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2" w:name="page183"/>
    <w:bookmarkEnd w:id="182"/>
    <w:p>
      <w:pPr>
        <w:jc w:val="both"/>
        <w:spacing w:after="0" w:line="257" w:lineRule="auto"/>
        <w:rPr>
          <w:sz w:val="20"/>
          <w:szCs w:val="20"/>
          <w:color w:val="auto"/>
        </w:rPr>
      </w:pPr>
      <w:r>
        <w:rPr>
          <w:rFonts w:ascii="Arial" w:cs="Arial" w:eastAsia="Arial" w:hAnsi="Arial"/>
          <w:sz w:val="18"/>
          <w:szCs w:val="18"/>
          <w:color w:val="auto"/>
        </w:rPr>
        <w:t>in the “pink sheets” by Pink Sheets LLC (formerly the National Quotation Bureau, Inc.).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3" w:name="page184"/>
    <w:bookmarkEnd w:id="183"/>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4" w:name="page185"/>
    <w:bookmarkEnd w:id="184"/>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A Warrant No. _______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otherwise defined shall have the respective meanings set forth in the Warrant.</w:t>
      </w:r>
    </w:p>
    <w:p>
      <w:pPr>
        <w:spacing w:after="0" w:line="211" w:lineRule="exact"/>
        <w:rPr>
          <w:sz w:val="20"/>
          <w:szCs w:val="20"/>
          <w:color w:val="auto"/>
        </w:rPr>
      </w:pPr>
    </w:p>
    <w:p>
      <w:pPr>
        <w:ind w:left="1280" w:hanging="624"/>
        <w:spacing w:after="0"/>
        <w:tabs>
          <w:tab w:leader="none" w:pos="12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w:t>
      </w:r>
    </w:p>
    <w:p>
      <w:pPr>
        <w:spacing w:after="0"/>
        <w:rPr>
          <w:sz w:val="20"/>
          <w:szCs w:val="20"/>
          <w:color w:val="auto"/>
        </w:rPr>
      </w:pPr>
      <w:r>
        <w:rPr>
          <w:rFonts w:ascii="Arial" w:cs="Arial" w:eastAsia="Arial" w:hAnsi="Arial"/>
          <w:sz w:val="18"/>
          <w:szCs w:val="18"/>
          <w:color w:val="auto"/>
        </w:rPr>
        <w:t>applicable, the Bid Price as of such time of execution of this Exercise Notice was $________.</w:t>
      </w:r>
    </w:p>
    <w:p>
      <w:pPr>
        <w:spacing w:after="0" w:line="211" w:lineRule="exact"/>
        <w:rPr>
          <w:sz w:val="20"/>
          <w:szCs w:val="20"/>
          <w:color w:val="auto"/>
        </w:rPr>
      </w:pPr>
    </w:p>
    <w:p>
      <w:pPr>
        <w:jc w:val="both"/>
        <w:ind w:firstLine="656"/>
        <w:spacing w:after="0" w:line="264" w:lineRule="auto"/>
        <w:tabs>
          <w:tab w:leader="none" w:pos="1319"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firstLine="656"/>
        <w:spacing w:after="0" w:line="277" w:lineRule="auto"/>
        <w:tabs>
          <w:tab w:leader="none" w:pos="1305"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Holder, or its designee or agent as specified below, __________ Warrant Shares in accordance with the terms of the Warrant. Delivery shall be made to Holder, or for its benefit, to the following address:</w:t>
      </w:r>
    </w:p>
    <w:p>
      <w:pPr>
        <w:spacing w:after="0" w:line="17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acknowledges this Exercise Notice and hereby directs ______________ to issue the above indicated number of shares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Common Stock in accordance with the Transfer Agent Instructions dated _________, 20__, from the Company and acknowledged and agreed to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466725</wp:posOffset>
            </wp:positionV>
            <wp:extent cx="72504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B WARRANT]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ARRANT</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Series B Warrant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[___], 2010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[BUYER],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 but not after 11:59 p.m., New York time, on the Expiration Date (as defined below), [______________]</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(subject to adjustment as provided</w:t>
      </w:r>
    </w:p>
    <w:p>
      <w:pPr>
        <w:jc w:val="both"/>
        <w:spacing w:after="0" w:line="253" w:lineRule="auto"/>
        <w:rPr>
          <w:sz w:val="20"/>
          <w:szCs w:val="20"/>
          <w:color w:val="auto"/>
        </w:rPr>
      </w:pPr>
      <w:r>
        <w:rPr>
          <w:rFonts w:ascii="Arial" w:cs="Arial" w:eastAsia="Arial" w:hAnsi="Arial"/>
          <w:sz w:val="18"/>
          <w:szCs w:val="18"/>
          <w:color w:val="auto"/>
        </w:rPr>
        <w:t>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Section 1 of that certain Securities Purchase Agreement, dated as of May 17, 2010, by and among the Company and the investors (the “</w:t>
      </w:r>
      <w:r>
        <w:rPr>
          <w:rFonts w:ascii="Arial" w:cs="Arial" w:eastAsia="Arial" w:hAnsi="Arial"/>
          <w:sz w:val="18"/>
          <w:szCs w:val="18"/>
          <w:b w:val="1"/>
          <w:bCs w:val="1"/>
          <w:color w:val="auto"/>
        </w:rPr>
        <w:t>Buyers</w:t>
      </w:r>
      <w:r>
        <w:rPr>
          <w:rFonts w:ascii="Arial" w:cs="Arial" w:eastAsia="Arial" w:hAnsi="Arial"/>
          <w:sz w:val="18"/>
          <w:szCs w:val="18"/>
          <w:color w:val="auto"/>
        </w:rPr>
        <w:t>”)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221;).</w:t>
      </w:r>
    </w:p>
    <w:p>
      <w:pPr>
        <w:spacing w:after="0" w:line="192"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397"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 Subject to the terms and conditions hereof (including, without limitation, the limitations set forth in Section 1(f)), this Warrant may be exercised by the</w:t>
      </w:r>
    </w:p>
    <w:p>
      <w:pPr>
        <w:spacing w:after="0" w:line="200" w:lineRule="exact"/>
        <w:rPr>
          <w:sz w:val="20"/>
          <w:szCs w:val="20"/>
          <w:color w:val="auto"/>
        </w:rPr>
      </w:pPr>
    </w:p>
    <w:p>
      <w:pPr>
        <w:spacing w:after="0" w:line="346" w:lineRule="exact"/>
        <w:rPr>
          <w:sz w:val="20"/>
          <w:szCs w:val="20"/>
          <w:color w:val="auto"/>
        </w:rPr>
      </w:pPr>
    </w:p>
    <w:p>
      <w:pPr>
        <w:ind w:left="160" w:hanging="152"/>
        <w:spacing w:after="0"/>
        <w:tabs>
          <w:tab w:leader="none" w:pos="160" w:val="left"/>
        </w:tabs>
        <w:numPr>
          <w:ilvl w:val="0"/>
          <w:numId w:val="223"/>
        </w:numPr>
        <w:rPr>
          <w:rFonts w:ascii="Arial" w:cs="Arial" w:eastAsia="Arial" w:hAnsi="Arial"/>
          <w:sz w:val="25"/>
          <w:szCs w:val="25"/>
          <w:color w:val="auto"/>
          <w:vertAlign w:val="superscript"/>
        </w:rPr>
      </w:pPr>
      <w:r>
        <w:rPr>
          <w:rFonts w:ascii="Arial" w:cs="Arial" w:eastAsia="Arial" w:hAnsi="Arial"/>
          <w:sz w:val="18"/>
          <w:szCs w:val="18"/>
          <w:color w:val="auto"/>
        </w:rPr>
        <w:t>100% warrant coverage.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87" w:name="page188"/>
    <w:bookmarkEnd w:id="187"/>
    <w:p>
      <w:pPr>
        <w:jc w:val="both"/>
        <w:spacing w:after="0" w:line="276" w:lineRule="auto"/>
        <w:rPr>
          <w:sz w:val="20"/>
          <w:szCs w:val="20"/>
          <w:color w:val="auto"/>
        </w:rPr>
      </w:pPr>
      <w:r>
        <w:rPr>
          <w:rFonts w:ascii="Arial" w:cs="Arial" w:eastAsia="Arial" w:hAnsi="Arial"/>
          <w:sz w:val="16"/>
          <w:szCs w:val="16"/>
          <w:color w:val="auto"/>
        </w:rPr>
        <w:t xml:space="preserve">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Trading Day following the date on which the Company has received an Exercise Notice, the Company shall transmit by facsimile an acknowledg ment of confirmation of receipt of such Exercise Notice,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following the date on which the Company has received such Exercise Notice,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 Withdr 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 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which may be payable with respect to the issuance and delivery of Warrant Shares upon exercise of this Warrant.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8" w:name="page189"/>
    <w:bookmarkEnd w:id="188"/>
    <w:p>
      <w:pPr>
        <w:ind w:left="1360" w:hanging="704"/>
        <w:spacing w:after="0"/>
        <w:tabs>
          <w:tab w:leader="none" w:pos="13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$0.30, subject to adjustment as provided herein.</w:t>
      </w:r>
    </w:p>
    <w:p>
      <w:pPr>
        <w:spacing w:after="0" w:line="229" w:lineRule="exact"/>
        <w:rPr>
          <w:rFonts w:ascii="Arial" w:cs="Arial" w:eastAsia="Arial" w:hAnsi="Arial"/>
          <w:sz w:val="18"/>
          <w:szCs w:val="18"/>
          <w:color w:val="auto"/>
        </w:rPr>
      </w:pPr>
    </w:p>
    <w:p>
      <w:pPr>
        <w:jc w:val="both"/>
        <w:ind w:firstLine="656"/>
        <w:spacing w:after="0" w:line="274" w:lineRule="auto"/>
        <w:tabs>
          <w:tab w:leader="none" w:pos="1424"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then, in addition to all other remedi es available to the Holder, the Company shall pay in cash to the Holder on each day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a certificate to the Holder and register such shares of Common Stock on the Company’s share register or credit the Holder’s balance account with DTC for the number of shares of Common Stock to which the Holder is entitled upon the Holder’s exercise hereunder (as the case may be), and if on or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shares of Common Stock issuable upon such exercise that the Holder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 icate or credit the Holder’s balance account with DTC for the number of shares of Common Stock to which the Holder is entitled upon the Holder’s exercise hereunder (as the case may be) (and to issue such shares of Common Stock) shall terminate, or (ii) promptly honor its obligation to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times (B) the Closing Sale Price of the Common Stock on the Trading Day immediately preceding the date of the applicable Exercise Notice.</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jc w:val="both"/>
        <w:ind w:firstLine="656"/>
        <w:spacing w:after="0" w:line="273" w:lineRule="auto"/>
        <w:tabs>
          <w:tab w:leader="none" w:pos="1475"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on or after the six (6) month anniversary of the Issuance Date, at the time of exercise hereof a Registration Statement (as defined in the Registration Rights Agreement (as defined in the Securities Purchase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9" w:name="page190"/>
    <w:bookmarkEnd w:id="189"/>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and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firstLine="656"/>
        <w:spacing w:after="0" w:line="264" w:lineRule="auto"/>
        <w:tabs>
          <w:tab w:leader="none" w:pos="149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363"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Limitations on Exercises</w:t>
      </w:r>
      <w:r>
        <w:rPr>
          <w:rFonts w:ascii="Arial" w:cs="Arial" w:eastAsia="Arial" w:hAnsi="Arial"/>
          <w:sz w:val="17"/>
          <w:szCs w:val="17"/>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7"/>
          <w:szCs w:val="17"/>
          <w:b w:val="1"/>
          <w:bCs w:val="1"/>
          <w:color w:val="auto"/>
        </w:rPr>
        <w:t>Maximum</w:t>
      </w:r>
      <w:r>
        <w:rPr>
          <w:rFonts w:ascii="Arial" w:cs="Arial" w:eastAsia="Arial" w:hAnsi="Arial"/>
          <w:sz w:val="17"/>
          <w:szCs w:val="17"/>
          <w:color w:val="auto"/>
        </w:rPr>
        <w:t xml:space="preserve"> </w:t>
      </w:r>
      <w:r>
        <w:rPr>
          <w:rFonts w:ascii="Arial" w:cs="Arial" w:eastAsia="Arial" w:hAnsi="Arial"/>
          <w:sz w:val="17"/>
          <w:szCs w:val="17"/>
          <w:b w:val="1"/>
          <w:bCs w:val="1"/>
          <w:color w:val="auto"/>
        </w:rPr>
        <w:t>Percentage</w:t>
      </w:r>
      <w:r>
        <w:rPr>
          <w:rFonts w:ascii="Arial" w:cs="Arial" w:eastAsia="Arial" w:hAnsi="Arial"/>
          <w:sz w:val="17"/>
          <w:szCs w:val="17"/>
          <w:color w:val="auto"/>
        </w:rPr>
        <w:t>”) of the Common Stock. To the extent the above limitation applies, the determination of whether this Warrant shall be exercisable (vis-à-vis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exercisable or exchangeable securities owned by the Holder or any of its affiliates) and of which such securities shall be exercisable (as among all such secu 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90" w:name="page191"/>
    <w:bookmarkEnd w:id="190"/>
    <w:p>
      <w:pPr>
        <w:jc w:val="both"/>
        <w:spacing w:after="0" w:line="269" w:lineRule="auto"/>
        <w:rPr>
          <w:sz w:val="20"/>
          <w:szCs w:val="20"/>
          <w:color w:val="auto"/>
        </w:rPr>
      </w:pPr>
      <w:r>
        <w:rPr>
          <w:rFonts w:ascii="Arial" w:cs="Arial" w:eastAsia="Arial" w:hAnsi="Arial"/>
          <w:sz w:val="17"/>
          <w:szCs w:val="17"/>
          <w:color w:val="auto"/>
        </w:rPr>
        <w:t>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 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Each delivery of an Exercise Notice by the Holder will constitute a representation by the Holder that it has evaluated the limitation set forth in this paragraph and determined that issuance of the full number of Warrant Shares requested by the Holder in such Exercise Notice is permitted under this paragraph.</w:t>
      </w:r>
    </w:p>
    <w:p>
      <w:pPr>
        <w:spacing w:after="0" w:line="183" w:lineRule="exact"/>
        <w:rPr>
          <w:sz w:val="20"/>
          <w:szCs w:val="20"/>
          <w:color w:val="auto"/>
        </w:rPr>
      </w:pPr>
    </w:p>
    <w:p>
      <w:pPr>
        <w:jc w:val="both"/>
        <w:ind w:firstLine="656"/>
        <w:spacing w:after="0" w:line="286" w:lineRule="auto"/>
        <w:tabs>
          <w:tab w:leader="none" w:pos="1556"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 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 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174" w:lineRule="exact"/>
        <w:rPr>
          <w:rFonts w:ascii="Arial" w:cs="Arial" w:eastAsia="Arial" w:hAnsi="Arial"/>
          <w:sz w:val="16"/>
          <w:szCs w:val="16"/>
          <w:color w:val="auto"/>
        </w:rPr>
      </w:pPr>
    </w:p>
    <w:p>
      <w:pPr>
        <w:ind w:firstLine="8"/>
        <w:spacing w:after="0" w:line="277" w:lineRule="auto"/>
        <w:tabs>
          <w:tab w:leader="none" w:pos="76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right="20" w:firstLine="656"/>
        <w:spacing w:after="0" w:line="277" w:lineRule="auto"/>
        <w:tabs>
          <w:tab w:leader="none" w:pos="1397"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Without limiting any provision of Section 4, if the Company, at any time on or after the date of the Securities Purchase Agreement, (i) pays a stock dividend on one or more classes of its then outstanding shares of Common Stock or otherwise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1" w:name="page192"/>
    <w:bookmarkEnd w:id="191"/>
    <w:p>
      <w:pPr>
        <w:jc w:val="both"/>
        <w:spacing w:after="0" w:line="289" w:lineRule="auto"/>
        <w:rPr>
          <w:sz w:val="20"/>
          <w:szCs w:val="20"/>
          <w:color w:val="auto"/>
        </w:rPr>
      </w:pPr>
      <w:r>
        <w:rPr>
          <w:rFonts w:ascii="Arial" w:cs="Arial" w:eastAsia="Arial" w:hAnsi="Arial"/>
          <w:sz w:val="16"/>
          <w:szCs w:val="16"/>
          <w:color w:val="auto"/>
        </w:rPr>
        <w:t>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 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67" w:lineRule="exact"/>
        <w:rPr>
          <w:sz w:val="20"/>
          <w:szCs w:val="20"/>
          <w:color w:val="auto"/>
        </w:rPr>
      </w:pPr>
    </w:p>
    <w:p>
      <w:pPr>
        <w:jc w:val="both"/>
        <w:ind w:firstLine="656"/>
        <w:spacing w:after="0" w:line="291" w:lineRule="auto"/>
        <w:tabs>
          <w:tab w:leader="none" w:pos="1448"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Adjustment Upon Issuance of Shares of Common Stock</w:t>
      </w:r>
      <w:r>
        <w:rPr>
          <w:rFonts w:ascii="Arial" w:cs="Arial" w:eastAsia="Arial" w:hAnsi="Arial"/>
          <w:sz w:val="16"/>
          <w:szCs w:val="16"/>
          <w:color w:val="auto"/>
        </w:rPr>
        <w:t>.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equal to the Exercise Price in effect immediately prior to such issue or sale or deemed issuance or sale (such Exercise Price then in effect is referred to as the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Exercise Price then in effect shall be reduced to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New Issuance Price. For purposes of determining the adjusted Exercise Price under this Section 2(b), the following shall be applicable:</w:t>
      </w:r>
    </w:p>
    <w:p>
      <w:pPr>
        <w:spacing w:after="0" w:line="167" w:lineRule="exact"/>
        <w:rPr>
          <w:rFonts w:ascii="Arial" w:cs="Arial" w:eastAsia="Arial" w:hAnsi="Arial"/>
          <w:sz w:val="16"/>
          <w:szCs w:val="16"/>
          <w:color w:val="auto"/>
        </w:rPr>
      </w:pPr>
    </w:p>
    <w:p>
      <w:pPr>
        <w:jc w:val="both"/>
        <w:ind w:left="660" w:firstLine="645"/>
        <w:spacing w:after="0" w:line="287" w:lineRule="auto"/>
        <w:tabs>
          <w:tab w:leader="none" w:pos="2000"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 (2) the sum of all amounts paid or payable to the holder of such Option (or any other Person) upon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2" w:name="page193"/>
    <w:bookmarkEnd w:id="192"/>
    <w:p>
      <w:pPr>
        <w:jc w:val="both"/>
        <w:spacing w:after="0" w:line="257" w:lineRule="auto"/>
        <w:rPr>
          <w:sz w:val="20"/>
          <w:szCs w:val="20"/>
          <w:color w:val="auto"/>
        </w:rPr>
      </w:pPr>
      <w:r>
        <w:rPr>
          <w:rFonts w:ascii="Arial" w:cs="Arial" w:eastAsia="Arial" w:hAnsi="Arial"/>
          <w:sz w:val="18"/>
          <w:szCs w:val="18"/>
          <w:color w:val="auto"/>
        </w:rPr>
        <w:t>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188" w:lineRule="exact"/>
        <w:rPr>
          <w:sz w:val="20"/>
          <w:szCs w:val="20"/>
          <w:color w:val="auto"/>
        </w:rPr>
      </w:pPr>
    </w:p>
    <w:p>
      <w:pPr>
        <w:jc w:val="both"/>
        <w:ind w:firstLine="807"/>
        <w:spacing w:after="0" w:line="286" w:lineRule="auto"/>
        <w:tabs>
          <w:tab w:leader="none" w:pos="1525"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171" w:lineRule="exact"/>
        <w:rPr>
          <w:rFonts w:ascii="Arial" w:cs="Arial" w:eastAsia="Arial" w:hAnsi="Arial"/>
          <w:sz w:val="16"/>
          <w:szCs w:val="16"/>
          <w:color w:val="auto"/>
        </w:rPr>
      </w:pPr>
    </w:p>
    <w:p>
      <w:pPr>
        <w:jc w:val="both"/>
        <w:ind w:firstLine="807"/>
        <w:spacing w:after="0" w:line="288" w:lineRule="auto"/>
        <w:tabs>
          <w:tab w:leader="none" w:pos="1683"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 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193" w:name="page194"/>
    <w:bookmarkEnd w:id="193"/>
    <w:p>
      <w:pPr>
        <w:jc w:val="both"/>
        <w:ind w:left="660" w:firstLine="807"/>
        <w:spacing w:after="0" w:line="279" w:lineRule="auto"/>
        <w:tabs>
          <w:tab w:leader="none" w:pos="2266"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 ch such Option or Convertible Security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 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 Trading Days after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such Valuation Event by an independent, reputable appraiser jointly selected by the Company and the Holder. The determination of such appraiser shall be final and binding upon all parties absent man ifest error and the fees and expenses of such appraiser shall be borne by the Company.</w:t>
      </w:r>
    </w:p>
    <w:p>
      <w:pPr>
        <w:spacing w:after="0" w:line="177" w:lineRule="exact"/>
        <w:rPr>
          <w:rFonts w:ascii="Arial" w:cs="Arial" w:eastAsia="Arial" w:hAnsi="Arial"/>
          <w:sz w:val="16"/>
          <w:szCs w:val="16"/>
          <w:color w:val="auto"/>
        </w:rPr>
      </w:pPr>
    </w:p>
    <w:p>
      <w:pPr>
        <w:jc w:val="both"/>
        <w:ind w:left="660" w:firstLine="807"/>
        <w:spacing w:after="0" w:line="257" w:lineRule="auto"/>
        <w:tabs>
          <w:tab w:leader="none" w:pos="2216"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8" w:lineRule="exact"/>
        <w:rPr>
          <w:rFonts w:ascii="Arial" w:cs="Arial" w:eastAsia="Arial" w:hAnsi="Arial"/>
          <w:sz w:val="18"/>
          <w:szCs w:val="18"/>
          <w:color w:val="auto"/>
        </w:rPr>
      </w:pPr>
    </w:p>
    <w:p>
      <w:pPr>
        <w:jc w:val="both"/>
        <w:ind w:firstLine="656"/>
        <w:spacing w:after="0" w:line="279" w:lineRule="auto"/>
        <w:tabs>
          <w:tab w:leader="none" w:pos="1424"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Number of Warrant Shares</w:t>
      </w:r>
      <w:r>
        <w:rPr>
          <w:rFonts w:ascii="Arial" w:cs="Arial" w:eastAsia="Arial" w:hAnsi="Arial"/>
          <w:sz w:val="17"/>
          <w:szCs w:val="17"/>
          <w:color w:val="auto"/>
        </w:rPr>
        <w:t>. Simultaneously with any adjustment to the Exercise Price pursuant to paragraphs (a) or (b)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4" w:name="page195"/>
    <w:bookmarkEnd w:id="194"/>
    <w:p>
      <w:pPr>
        <w:jc w:val="both"/>
        <w:ind w:firstLine="656"/>
        <w:spacing w:after="0" w:line="270" w:lineRule="auto"/>
        <w:tabs>
          <w:tab w:leader="none" w:pos="1542"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 er, provided that no such adjustment pursuant to this Section 2(d)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1" w:lineRule="exact"/>
        <w:rPr>
          <w:rFonts w:ascii="Arial" w:cs="Arial" w:eastAsia="Arial" w:hAnsi="Arial"/>
          <w:sz w:val="17"/>
          <w:szCs w:val="17"/>
          <w:color w:val="auto"/>
        </w:rPr>
      </w:pPr>
    </w:p>
    <w:p>
      <w:pPr>
        <w:jc w:val="both"/>
        <w:ind w:firstLine="656"/>
        <w:spacing w:after="0" w:line="226" w:lineRule="auto"/>
        <w:tabs>
          <w:tab w:leader="none" w:pos="1532"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Arial" w:cs="Arial" w:eastAsia="Arial" w:hAnsi="Arial"/>
          <w:sz w:val="18"/>
          <w:szCs w:val="18"/>
          <w:color w:val="auto"/>
        </w:rPr>
      </w:pPr>
    </w:p>
    <w:p>
      <w:pPr>
        <w:jc w:val="both"/>
        <w:ind w:firstLine="8"/>
        <w:spacing w:after="0" w:line="269" w:lineRule="auto"/>
        <w:tabs>
          <w:tab w:leader="none" w:pos="697"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 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 er until such time, if ever, as its right thereto would not result in the Holder exceeding the Maximum Percentage).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5" w:name="page196"/>
    <w:bookmarkEnd w:id="195"/>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9" w:lineRule="auto"/>
        <w:tabs>
          <w:tab w:leader="none" w:pos="1532"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 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jc w:val="both"/>
        <w:ind w:firstLine="656"/>
        <w:spacing w:after="0" w:line="285" w:lineRule="auto"/>
        <w:tabs>
          <w:tab w:leader="none" w:pos="1461"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 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 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6" w:name="page197"/>
    <w:bookmarkEnd w:id="196"/>
    <w:p>
      <w:pPr>
        <w:jc w:val="both"/>
        <w:spacing w:after="0" w:line="286" w:lineRule="auto"/>
        <w:rPr>
          <w:sz w:val="20"/>
          <w:szCs w:val="20"/>
          <w:color w:val="auto"/>
        </w:rPr>
      </w:pPr>
      <w:r>
        <w:rPr>
          <w:rFonts w:ascii="Arial" w:cs="Arial" w:eastAsia="Arial" w:hAnsi="Arial"/>
          <w:sz w:val="16"/>
          <w:szCs w:val="16"/>
          <w:color w:val="auto"/>
        </w:rPr>
        <w:t>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 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 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72" w:lineRule="exact"/>
        <w:rPr>
          <w:sz w:val="20"/>
          <w:szCs w:val="20"/>
          <w:color w:val="auto"/>
        </w:rPr>
      </w:pPr>
    </w:p>
    <w:p>
      <w:pPr>
        <w:jc w:val="both"/>
        <w:ind w:firstLine="656"/>
        <w:spacing w:after="0" w:line="272" w:lineRule="auto"/>
        <w:tabs>
          <w:tab w:leader="none" w:pos="1343"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Black Scholes Value</w:t>
      </w:r>
      <w:r>
        <w:rPr>
          <w:rFonts w:ascii="Arial" w:cs="Arial" w:eastAsia="Arial" w:hAnsi="Arial"/>
          <w:sz w:val="16"/>
          <w:szCs w:val="16"/>
          <w:color w:val="auto"/>
        </w:rPr>
        <w:t>. Notwithstanding the foregoing and the provisions of Section 4(b) above, in the event of a Fundamental Transaction, if the Holder has not exercised this Warrant in full prior to the consummation of such Fundamental Transaction, at the request of the Holder delivered before the ninetieth (90</w:t>
      </w:r>
      <w:r>
        <w:rPr>
          <w:rFonts w:ascii="Arial" w:cs="Arial" w:eastAsia="Arial" w:hAnsi="Arial"/>
          <w:sz w:val="22"/>
          <w:szCs w:val="22"/>
          <w:color w:val="auto"/>
          <w:vertAlign w:val="superscript"/>
        </w:rPr>
        <w:t>th</w:t>
      </w:r>
      <w:r>
        <w:rPr>
          <w:rFonts w:ascii="Arial" w:cs="Arial" w:eastAsia="Arial" w:hAnsi="Arial"/>
          <w:sz w:val="16"/>
          <w:szCs w:val="16"/>
          <w:color w:val="auto"/>
        </w:rPr>
        <w:t>) day after the consummation of such Fundamental Transaction, the Company or the Successor Entity (as the case may be) shall purchase this Warrant from the Holder on the date of such request by paying to the Holder cash in an amount equal to the Black Scholes Value.</w:t>
      </w:r>
    </w:p>
    <w:p>
      <w:pPr>
        <w:spacing w:after="0" w:line="168" w:lineRule="exact"/>
        <w:rPr>
          <w:rFonts w:ascii="Arial" w:cs="Arial" w:eastAsia="Arial" w:hAnsi="Arial"/>
          <w:sz w:val="16"/>
          <w:szCs w:val="16"/>
          <w:color w:val="auto"/>
        </w:rPr>
      </w:pPr>
    </w:p>
    <w:p>
      <w:pPr>
        <w:jc w:val="both"/>
        <w:ind w:firstLine="656"/>
        <w:spacing w:after="0" w:line="302" w:lineRule="auto"/>
        <w:tabs>
          <w:tab w:leader="none" w:pos="1515"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54" w:lineRule="exact"/>
        <w:rPr>
          <w:rFonts w:ascii="Arial" w:cs="Arial" w:eastAsia="Arial" w:hAnsi="Arial"/>
          <w:sz w:val="16"/>
          <w:szCs w:val="16"/>
          <w:color w:val="auto"/>
        </w:rPr>
      </w:pPr>
    </w:p>
    <w:p>
      <w:pPr>
        <w:jc w:val="both"/>
        <w:ind w:firstLine="8"/>
        <w:spacing w:after="0" w:line="257" w:lineRule="auto"/>
        <w:tabs>
          <w:tab w:leader="none" w:pos="657"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7" w:name="page198"/>
    <w:bookmarkEnd w:id="197"/>
    <w:p>
      <w:pPr>
        <w:jc w:val="both"/>
        <w:spacing w:after="0" w:line="273" w:lineRule="auto"/>
        <w:rPr>
          <w:sz w:val="20"/>
          <w:szCs w:val="20"/>
          <w:color w:val="auto"/>
        </w:rPr>
      </w:pPr>
      <w:r>
        <w:rPr>
          <w:rFonts w:ascii="Arial" w:cs="Arial" w:eastAsia="Arial" w:hAnsi="Arial"/>
          <w:sz w:val="17"/>
          <w:szCs w:val="17"/>
          <w:color w:val="auto"/>
        </w:rPr>
        <w:t>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 hout regard to any limitations on exercise).</w:t>
      </w:r>
    </w:p>
    <w:p>
      <w:pPr>
        <w:spacing w:after="0" w:line="178" w:lineRule="exact"/>
        <w:rPr>
          <w:sz w:val="20"/>
          <w:szCs w:val="20"/>
          <w:color w:val="auto"/>
        </w:rPr>
      </w:pPr>
    </w:p>
    <w:p>
      <w:pPr>
        <w:jc w:val="both"/>
        <w:ind w:firstLine="8"/>
        <w:spacing w:after="0" w:line="270" w:lineRule="auto"/>
        <w:tabs>
          <w:tab w:leader="none" w:pos="643"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 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77" w:lineRule="exact"/>
        <w:rPr>
          <w:rFonts w:ascii="Arial" w:cs="Arial" w:eastAsia="Arial" w:hAnsi="Arial"/>
          <w:sz w:val="17"/>
          <w:szCs w:val="17"/>
          <w:color w:val="auto"/>
        </w:rPr>
      </w:pPr>
    </w:p>
    <w:p>
      <w:pPr>
        <w:ind w:left="640" w:hanging="632"/>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383"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8" w:lineRule="exact"/>
        <w:rPr>
          <w:rFonts w:ascii="Arial" w:cs="Arial" w:eastAsia="Arial" w:hAnsi="Arial"/>
          <w:sz w:val="18"/>
          <w:szCs w:val="18"/>
          <w:color w:val="auto"/>
        </w:rPr>
      </w:pPr>
    </w:p>
    <w:p>
      <w:pPr>
        <w:jc w:val="both"/>
        <w:ind w:firstLine="656"/>
        <w:spacing w:after="0" w:line="276" w:lineRule="auto"/>
        <w:tabs>
          <w:tab w:leader="none" w:pos="1475"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8" w:name="page199"/>
    <w:bookmarkEnd w:id="198"/>
    <w:p>
      <w:pPr>
        <w:jc w:val="both"/>
        <w:ind w:firstLine="656"/>
        <w:spacing w:after="0" w:line="279" w:lineRule="auto"/>
        <w:tabs>
          <w:tab w:leader="none" w:pos="1410"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jc w:val="both"/>
        <w:ind w:firstLine="656"/>
        <w:spacing w:after="0" w:line="273" w:lineRule="auto"/>
        <w:tabs>
          <w:tab w:leader="none" w:pos="1475"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 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jc w:val="both"/>
        <w:ind w:firstLine="8"/>
        <w:spacing w:after="0" w:line="286" w:lineRule="auto"/>
        <w:tabs>
          <w:tab w:leader="none" w:pos="684"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and (ii) at least fifte 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 rrent Report on Form 8-K. It is expressly understood and agreed that the time of execution specified by the Holder in each Exercise Notice shall be definitive and may not be disputed or challenged by the Company.</w:t>
      </w:r>
    </w:p>
    <w:p>
      <w:pPr>
        <w:spacing w:after="0" w:line="174" w:lineRule="exact"/>
        <w:rPr>
          <w:rFonts w:ascii="Arial" w:cs="Arial" w:eastAsia="Arial" w:hAnsi="Arial"/>
          <w:sz w:val="16"/>
          <w:szCs w:val="16"/>
          <w:color w:val="auto"/>
        </w:rPr>
      </w:pPr>
    </w:p>
    <w:p>
      <w:pPr>
        <w:jc w:val="both"/>
        <w:ind w:firstLine="8"/>
        <w:spacing w:after="0" w:line="257" w:lineRule="auto"/>
        <w:tabs>
          <w:tab w:leader="none" w:pos="657"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9" w:name="page200"/>
    <w:bookmarkEnd w:id="199"/>
    <w:p>
      <w:pPr>
        <w:jc w:val="both"/>
        <w:ind w:firstLine="8"/>
        <w:spacing w:after="0" w:line="271" w:lineRule="auto"/>
        <w:tabs>
          <w:tab w:leader="none" w:pos="896"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 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8"/>
        <w:spacing w:after="0" w:line="259" w:lineRule="auto"/>
        <w:tabs>
          <w:tab w:leader="none" w:pos="997"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w:t>
      </w:r>
    </w:p>
    <w:p>
      <w:pPr>
        <w:spacing w:after="0" w:line="186" w:lineRule="exact"/>
        <w:rPr>
          <w:rFonts w:ascii="Arial" w:cs="Arial" w:eastAsia="Arial" w:hAnsi="Arial"/>
          <w:sz w:val="18"/>
          <w:szCs w:val="18"/>
          <w:color w:val="auto"/>
        </w:rPr>
      </w:pPr>
    </w:p>
    <w:p>
      <w:pPr>
        <w:jc w:val="both"/>
        <w:ind w:firstLine="8"/>
        <w:spacing w:after="0" w:line="302" w:lineRule="auto"/>
        <w:tabs>
          <w:tab w:leader="none" w:pos="815"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jc w:val="both"/>
        <w:ind w:firstLine="8"/>
        <w:spacing w:after="0" w:line="269" w:lineRule="auto"/>
        <w:tabs>
          <w:tab w:leader="none" w:pos="734"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 ance or sale or deemed issuance or sale was an issuance or sale or deemed issuance or sale of Excluded Securities).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determination of the Exercise Price, the Closing Sale Price, the Bid Price or fair market value (as the case may be) to an independent, reputable investment bank selected by the Company and approved by the Holder or (b) the disputed arithmetic calculation of the Warrant Shares to the Company’s independent, outside accountant. The Company shall cause at its expense the investment bank 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0" w:name="page201"/>
    <w:bookmarkEnd w:id="200"/>
    <w:p>
      <w:pPr>
        <w:jc w:val="both"/>
        <w:spacing w:after="0" w:line="286" w:lineRule="auto"/>
        <w:rPr>
          <w:sz w:val="20"/>
          <w:szCs w:val="20"/>
          <w:color w:val="auto"/>
        </w:rPr>
      </w:pPr>
      <w:r>
        <w:rPr>
          <w:rFonts w:ascii="Arial" w:cs="Arial" w:eastAsia="Arial" w:hAnsi="Arial"/>
          <w:sz w:val="17"/>
          <w:szCs w:val="17"/>
          <w:color w:val="auto"/>
        </w:rPr>
        <w:t>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166" w:lineRule="exact"/>
        <w:rPr>
          <w:sz w:val="20"/>
          <w:szCs w:val="20"/>
          <w:color w:val="auto"/>
        </w:rPr>
      </w:pPr>
    </w:p>
    <w:p>
      <w:pPr>
        <w:jc w:val="both"/>
        <w:ind w:firstLine="8"/>
        <w:spacing w:after="0" w:line="268" w:lineRule="auto"/>
        <w:tabs>
          <w:tab w:leader="none" w:pos="963"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 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firstLine="8"/>
        <w:spacing w:after="0" w:line="277" w:lineRule="auto"/>
        <w:tabs>
          <w:tab w:leader="none" w:pos="774"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 except as may otherwise be required by Section 2(g) of the Securities Purchase 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656"/>
        <w:spacing w:after="0" w:line="274" w:lineRule="auto"/>
        <w:tabs>
          <w:tab w:leader="none" w:pos="1438" w:val="left"/>
        </w:tabs>
        <w:numPr>
          <w:ilvl w:val="1"/>
          <w:numId w:val="2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 rice is reported for such security by Bloomberg as of such time of determination, the average of the bid prices of any market makers for such security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1" w:name="page202"/>
    <w:bookmarkEnd w:id="201"/>
    <w:p>
      <w:pPr>
        <w:jc w:val="both"/>
        <w:spacing w:after="0" w:line="276" w:lineRule="auto"/>
        <w:rPr>
          <w:sz w:val="20"/>
          <w:szCs w:val="20"/>
          <w:color w:val="auto"/>
        </w:rPr>
      </w:pPr>
      <w:r>
        <w:rPr>
          <w:rFonts w:ascii="Arial" w:cs="Arial" w:eastAsia="Arial" w:hAnsi="Arial"/>
          <w:sz w:val="17"/>
          <w:szCs w:val="17"/>
          <w:color w:val="auto"/>
        </w:rPr>
        <w:t>as reported in the “pink sheets” by Pink Sheets LLC (formerly the National Quotation Bureau, Inc.)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9" w:lineRule="exact"/>
        <w:rPr>
          <w:sz w:val="20"/>
          <w:szCs w:val="20"/>
          <w:color w:val="auto"/>
        </w:rPr>
      </w:pPr>
    </w:p>
    <w:p>
      <w:pPr>
        <w:jc w:val="both"/>
        <w:ind w:firstLine="656"/>
        <w:spacing w:after="0" w:line="287" w:lineRule="auto"/>
        <w:tabs>
          <w:tab w:leader="none" w:pos="1434" w:val="left"/>
        </w:tabs>
        <w:numPr>
          <w:ilvl w:val="1"/>
          <w:numId w:val="2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Consideration Value</w:t>
      </w:r>
      <w:r>
        <w:rPr>
          <w:rFonts w:ascii="Arial" w:cs="Arial" w:eastAsia="Arial" w:hAnsi="Arial"/>
          <w:sz w:val="16"/>
          <w:szCs w:val="16"/>
          <w:color w:val="auto"/>
        </w:rPr>
        <w:t>” means the value of the applicable Option or Convertible Security (as the case may be) calculated using the Black Scholes Option Pricing Model obtained from the “OV” function on Bloomberg as of the applicable date of determination and for purposes of such calculation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w:t>
      </w:r>
    </w:p>
    <w:p>
      <w:pPr>
        <w:spacing w:after="0" w:line="2" w:lineRule="exact"/>
        <w:rPr>
          <w:rFonts w:ascii="Arial" w:cs="Arial" w:eastAsia="Arial" w:hAnsi="Arial"/>
          <w:sz w:val="16"/>
          <w:szCs w:val="16"/>
          <w:color w:val="auto"/>
        </w:rPr>
      </w:pPr>
    </w:p>
    <w:p>
      <w:pPr>
        <w:jc w:val="both"/>
        <w:ind w:firstLine="8"/>
        <w:spacing w:after="0" w:line="254" w:lineRule="auto"/>
        <w:tabs>
          <w:tab w:leader="none" w:pos="27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risk-free interest rate corresponding to the U.S. Treasury rate for a period equal to the remai 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as of the Trading Day immediately following the date of issuance of such Option or Convertible Security (as the case may be).</w:t>
      </w:r>
    </w:p>
    <w:p>
      <w:pPr>
        <w:spacing w:after="0" w:line="185" w:lineRule="exact"/>
        <w:rPr>
          <w:rFonts w:ascii="Arial" w:cs="Arial" w:eastAsia="Arial" w:hAnsi="Arial"/>
          <w:sz w:val="18"/>
          <w:szCs w:val="18"/>
          <w:color w:val="auto"/>
        </w:rPr>
      </w:pPr>
    </w:p>
    <w:p>
      <w:pPr>
        <w:jc w:val="both"/>
        <w:ind w:firstLine="656"/>
        <w:spacing w:after="0" w:line="290" w:lineRule="auto"/>
        <w:tabs>
          <w:tab w:leader="none" w:pos="153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that remained on the date of the Holder’s request pursuant to Section 4(c) calculated using the Black Scholes Option Pricing Model obtained from the “OV” function on Bloomberg as of the applicable date of determination and for purposes of such calculation utilizing (i) an underlying price per share equal to the greater of (1) the highest Closing Sale Price of the Common Stock during the period beginning on the Trading Day immediately preceding the announcement of the applicable Fundamental Transaction and ending on the Trading Day immediately following the consummation of the applicable Fundamental Tran saction and (2) the sum of the price per share being offered in cash in the applicable Fundamental Transaction (if any) plus the value of the non-cash consideration being offered in the applicable Fundamental Transaction (if any), (ii) a risk-free interest rate corresponding to the U.S. Treasury rate for a period equal to the remaining term of this Warrant as of the date of consummation of the applicable Fundamental Transaction and (iii) an expected volatility equal to the greater of 100% and the 100 day volatility obtained from the HVT function on Bloomberg as of the Trading Day immediately following the public announcement of the applicable Fundamental Transaction.</w:t>
      </w:r>
    </w:p>
    <w:p>
      <w:pPr>
        <w:spacing w:after="0" w:line="159" w:lineRule="exact"/>
        <w:rPr>
          <w:rFonts w:ascii="Arial" w:cs="Arial" w:eastAsia="Arial" w:hAnsi="Arial"/>
          <w:sz w:val="16"/>
          <w:szCs w:val="16"/>
          <w:color w:val="auto"/>
        </w:rPr>
      </w:pPr>
    </w:p>
    <w:p>
      <w:pPr>
        <w:ind w:left="1360" w:hanging="704"/>
        <w:spacing w:after="0"/>
        <w:tabs>
          <w:tab w:leader="none" w:pos="13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656"/>
        <w:spacing w:after="0" w:line="282" w:lineRule="auto"/>
        <w:tabs>
          <w:tab w:leader="none" w:pos="154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2" w:name="page203"/>
    <w:bookmarkEnd w:id="202"/>
    <w:p>
      <w:pPr>
        <w:jc w:val="both"/>
        <w:ind w:firstLine="656"/>
        <w:spacing w:after="0" w:line="288" w:lineRule="auto"/>
        <w:tabs>
          <w:tab w:leader="none" w:pos="149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right="20" w:firstLine="656"/>
        <w:spacing w:after="0" w:line="282" w:lineRule="auto"/>
        <w:tabs>
          <w:tab w:leader="none" w:pos="13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firstLine="656"/>
        <w:spacing w:after="0" w:line="347" w:lineRule="auto"/>
        <w:tabs>
          <w:tab w:leader="none" w:pos="139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firstLine="656"/>
        <w:spacing w:after="0" w:line="282" w:lineRule="auto"/>
        <w:tabs>
          <w:tab w:leader="none" w:pos="1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jc w:val="both"/>
        <w:ind w:firstLine="656"/>
        <w:spacing w:after="0" w:line="270" w:lineRule="auto"/>
        <w:tabs>
          <w:tab w:leader="none" w:pos="147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Conditions</w:t>
      </w:r>
      <w:r>
        <w:rPr>
          <w:rFonts w:ascii="Arial" w:cs="Arial" w:eastAsia="Arial" w:hAnsi="Arial"/>
          <w:sz w:val="17"/>
          <w:szCs w:val="17"/>
          <w:color w:val="auto"/>
        </w:rPr>
        <w:t>” means: (i) on each day during the period beginning one month prior to the applicable date of determination and ending on and including the applicable date of determination either (x) one or more Registration Statements filed pursuant to the Registration Rights Agreement shall be effective and the prospectus contained therein shall be available for the resale by the Holder of all of the Registrable Securities in accordance with the terms of the Registration Rights Agreement and there shall not have been during such period any Grace Periods (as defined in the Registration Rights Agreement) or (y) all Registrable Securities shall be eligible for sale without restriction under Ru le 144 (as defined in the Securities Purchase Agreement) (including, without limitation, volume restrictions) and without the need for current public information required by Rule 144(c)(1) (or Rule 144(i)(2), if applicable) and without the need for registration under any applicable federal or state securities laws (in each case, disregarding any limitation on conversion of the Notes and exercise of the Warrants); (ii) on each day during the period beginning three months prior to the applicable date of determination and ending on and including the applicable date of determination (the “</w:t>
      </w:r>
      <w:r>
        <w:rPr>
          <w:rFonts w:ascii="Arial" w:cs="Arial" w:eastAsia="Arial" w:hAnsi="Arial"/>
          <w:sz w:val="17"/>
          <w:szCs w:val="17"/>
          <w:b w:val="1"/>
          <w:bCs w:val="1"/>
          <w:color w:val="auto"/>
        </w:rPr>
        <w:t>Equity Conditions Measuring Period</w:t>
      </w:r>
      <w:r>
        <w:rPr>
          <w:rFonts w:ascii="Arial" w:cs="Arial" w:eastAsia="Arial" w:hAnsi="Arial"/>
          <w:sz w:val="17"/>
          <w:szCs w:val="17"/>
          <w:color w:val="auto"/>
        </w:rPr>
        <w:t>”), the Common Stock (including all Registrable Securities) is listed 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3" w:name="page204"/>
    <w:bookmarkEnd w:id="203"/>
    <w:p>
      <w:pPr>
        <w:jc w:val="both"/>
        <w:spacing w:after="0" w:line="267" w:lineRule="auto"/>
        <w:rPr>
          <w:sz w:val="20"/>
          <w:szCs w:val="20"/>
          <w:color w:val="auto"/>
        </w:rPr>
      </w:pPr>
      <w:r>
        <w:rPr>
          <w:rFonts w:ascii="Arial" w:cs="Arial" w:eastAsia="Arial" w:hAnsi="Arial"/>
          <w:sz w:val="17"/>
          <w:szCs w:val="17"/>
          <w:color w:val="auto"/>
        </w:rPr>
        <w:t>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or pending either (A) in writing by such Eligible Market or (B) by falling below the minimum listing maintenance requirements of the Eligible Market on which the Common Stock is then listed or designated for quotation (as applicable); (iii) on each day during the Equity Conditions Measuring Period, the Company shall have delivered all shares of Common Stock issuable upon exercise of this Warrant on a timely basis as set fo rth in Section 1(a) hereof and all other shares of capital stock required to be delivered by the Company on a timely basis as set forth in the other Transaction Documents; (iv) any shares of Common Stock to be issued in connection with the event requiring determination may be issued in full without violating Section 1(f) hereof; (v) any shares of Common Stock to be issued in connection with the event requiring determination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filed pursuant to the Registration Rights Agreement to not be effectiv e or the prospectus contained therein to not be available for the resale of all of the Registrable Securities in accordance with the terms of the Registration Rights Agreement or (2) any Registrable Securities to not be eligible for sale without restriction pursuant to Rule 144 (including, without limitation, volume restrictions) and without the need for current public information required by Rule 144(c)(1) (or Rule 144(i)(2), if applicable) or any applicable state securities laws (in each case, disregarding any limitation on conversion of the Notes and exercise of the Warrants); (viii) the Holder shall not be in (and no other Buyer shall be in) possession of any material, non-public information provided to any of them by the Company, any of its affiliates or any of their respective employees, officers, representatives, agents or the like; and (ix) on each day during the Equity Conditions Measuring Period, the Company otherwise shall have been in compliance with each, and shall not have breached any, provisi on, covenant, representation or warranty of any Transaction Document.</w:t>
      </w:r>
    </w:p>
    <w:p>
      <w:pPr>
        <w:spacing w:after="0" w:line="184" w:lineRule="exact"/>
        <w:rPr>
          <w:sz w:val="20"/>
          <w:szCs w:val="20"/>
          <w:color w:val="auto"/>
        </w:rPr>
      </w:pPr>
    </w:p>
    <w:p>
      <w:pPr>
        <w:ind w:firstLine="656"/>
        <w:spacing w:after="0" w:line="313" w:lineRule="auto"/>
        <w:tabs>
          <w:tab w:leader="none" w:pos="148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Conditions Failure</w:t>
      </w:r>
      <w:r>
        <w:rPr>
          <w:rFonts w:ascii="Arial" w:cs="Arial" w:eastAsia="Arial" w:hAnsi="Arial"/>
          <w:sz w:val="17"/>
          <w:szCs w:val="17"/>
          <w:color w:val="auto"/>
        </w:rPr>
        <w:t>” means that on any day during the period commencing twenty (20) Trading Days prior to the Mandatory Exercise Notice Date through the Mandatory Exercise Date, the Equity Conditions have not been satisfied (or waived in writing by the Holder).</w:t>
      </w:r>
    </w:p>
    <w:p>
      <w:pPr>
        <w:spacing w:after="0" w:line="138" w:lineRule="exact"/>
        <w:rPr>
          <w:rFonts w:ascii="Arial" w:cs="Arial" w:eastAsia="Arial" w:hAnsi="Arial"/>
          <w:sz w:val="17"/>
          <w:szCs w:val="17"/>
          <w:color w:val="auto"/>
        </w:rPr>
      </w:pPr>
    </w:p>
    <w:p>
      <w:pPr>
        <w:jc w:val="both"/>
        <w:ind w:firstLine="656"/>
        <w:spacing w:after="0" w:line="214" w:lineRule="auto"/>
        <w:tabs>
          <w:tab w:leader="none" w:pos="146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earlier to occur of (i) the first (1</w:t>
      </w:r>
      <w:r>
        <w:rPr>
          <w:rFonts w:ascii="Arial" w:cs="Arial" w:eastAsia="Arial" w:hAnsi="Arial"/>
          <w:sz w:val="24"/>
          <w:szCs w:val="24"/>
          <w:color w:val="auto"/>
          <w:vertAlign w:val="superscript"/>
        </w:rPr>
        <w:t>st</w:t>
      </w:r>
      <w:r>
        <w:rPr>
          <w:rFonts w:ascii="Arial" w:cs="Arial" w:eastAsia="Arial" w:hAnsi="Arial"/>
          <w:sz w:val="17"/>
          <w:szCs w:val="17"/>
          <w:color w:val="auto"/>
        </w:rPr>
        <w:t>) anniversary of the Applicable Date (as defined in the Securities Purchase Agreement) and (ii) the eighteen (18</w:t>
      </w:r>
      <w:r>
        <w:rPr>
          <w:rFonts w:ascii="Arial" w:cs="Arial" w:eastAsia="Arial" w:hAnsi="Arial"/>
          <w:sz w:val="24"/>
          <w:szCs w:val="24"/>
          <w:color w:val="auto"/>
          <w:vertAlign w:val="superscript"/>
        </w:rPr>
        <w:t>th</w:t>
      </w:r>
      <w:r>
        <w:rPr>
          <w:rFonts w:ascii="Arial" w:cs="Arial" w:eastAsia="Arial" w:hAnsi="Arial"/>
          <w:sz w:val="17"/>
          <w:szCs w:val="17"/>
          <w:color w:val="auto"/>
        </w:rPr>
        <w:t>) month anniversary of the Issuance Date or, if such date falls on a day other than a Business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4" w:name="page205"/>
    <w:bookmarkEnd w:id="204"/>
    <w:p>
      <w:pPr>
        <w:jc w:val="both"/>
        <w:ind w:firstLine="656"/>
        <w:spacing w:after="0" w:line="293" w:lineRule="auto"/>
        <w:tabs>
          <w:tab w:leader="none" w:pos="152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Arial" w:cs="Arial" w:eastAsia="Arial" w:hAnsi="Arial"/>
          <w:sz w:val="16"/>
          <w:szCs w:val="16"/>
          <w:color w:val="auto"/>
        </w:rPr>
      </w:pPr>
    </w:p>
    <w:p>
      <w:pPr>
        <w:jc w:val="both"/>
        <w:ind w:firstLine="8"/>
        <w:spacing w:after="0" w:line="267" w:lineRule="auto"/>
        <w:tabs>
          <w:tab w:leader="none" w:pos="26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2" w:lineRule="exact"/>
        <w:rPr>
          <w:rFonts w:ascii="Arial" w:cs="Arial" w:eastAsia="Arial" w:hAnsi="Arial"/>
          <w:sz w:val="17"/>
          <w:szCs w:val="17"/>
          <w:color w:val="auto"/>
        </w:rPr>
      </w:pPr>
    </w:p>
    <w:p>
      <w:pPr>
        <w:ind w:left="1360" w:hanging="704"/>
        <w:spacing w:after="0"/>
        <w:tabs>
          <w:tab w:leader="none" w:pos="13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236" w:lineRule="exact"/>
        <w:rPr>
          <w:rFonts w:ascii="Arial" w:cs="Arial" w:eastAsia="Arial" w:hAnsi="Arial"/>
          <w:sz w:val="17"/>
          <w:szCs w:val="17"/>
          <w:color w:val="auto"/>
        </w:rPr>
      </w:pPr>
    </w:p>
    <w:p>
      <w:pPr>
        <w:jc w:val="both"/>
        <w:ind w:firstLine="656"/>
        <w:spacing w:after="0" w:line="266" w:lineRule="auto"/>
        <w:tabs>
          <w:tab w:leader="none" w:pos="1556"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firstLine="656"/>
        <w:spacing w:after="0" w:line="282" w:lineRule="auto"/>
        <w:tabs>
          <w:tab w:leader="none" w:pos="162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1360" w:hanging="704"/>
        <w:spacing w:after="0"/>
        <w:tabs>
          <w:tab w:leader="none" w:pos="13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53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jc w:val="both"/>
        <w:ind w:firstLine="656"/>
        <w:spacing w:after="0" w:line="274" w:lineRule="auto"/>
        <w:tabs>
          <w:tab w:leader="none" w:pos="1522" w:val="left"/>
        </w:tabs>
        <w:numPr>
          <w:ilvl w:val="1"/>
          <w:numId w:val="2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5" w:name="page206"/>
    <w:bookmarkEnd w:id="205"/>
    <w:p>
      <w:pPr>
        <w:jc w:val="both"/>
        <w:ind w:firstLine="656"/>
        <w:spacing w:after="0" w:line="314" w:lineRule="auto"/>
        <w:tabs>
          <w:tab w:leader="none" w:pos="1489" w:val="left"/>
        </w:tabs>
        <w:numPr>
          <w:ilvl w:val="1"/>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2" w:lineRule="exact"/>
        <w:rPr>
          <w:rFonts w:ascii="Arial" w:cs="Arial" w:eastAsia="Arial" w:hAnsi="Arial"/>
          <w:sz w:val="16"/>
          <w:szCs w:val="16"/>
          <w:color w:val="auto"/>
        </w:rPr>
      </w:pPr>
    </w:p>
    <w:p>
      <w:pPr>
        <w:jc w:val="both"/>
        <w:ind w:firstLine="656"/>
        <w:spacing w:after="0" w:line="288" w:lineRule="auto"/>
        <w:tabs>
          <w:tab w:leader="none" w:pos="136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 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jc w:val="both"/>
        <w:ind w:firstLine="8"/>
        <w:spacing w:after="0" w:line="260" w:lineRule="auto"/>
        <w:tabs>
          <w:tab w:leader="none" w:pos="720"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MANDATORY EXERCISE</w:t>
      </w:r>
      <w:r>
        <w:rPr>
          <w:rFonts w:ascii="Arial" w:cs="Arial" w:eastAsia="Arial" w:hAnsi="Arial"/>
          <w:sz w:val="17"/>
          <w:szCs w:val="17"/>
          <w:color w:val="auto"/>
        </w:rPr>
        <w:t>. If at any time after the Applicable Date (the “</w:t>
      </w:r>
      <w:r>
        <w:rPr>
          <w:rFonts w:ascii="Arial" w:cs="Arial" w:eastAsia="Arial" w:hAnsi="Arial"/>
          <w:sz w:val="17"/>
          <w:szCs w:val="17"/>
          <w:b w:val="1"/>
          <w:bCs w:val="1"/>
          <w:color w:val="auto"/>
        </w:rPr>
        <w:t>Mandatory Exercise Eligibility Date</w:t>
      </w:r>
      <w:r>
        <w:rPr>
          <w:rFonts w:ascii="Arial" w:cs="Arial" w:eastAsia="Arial" w:hAnsi="Arial"/>
          <w:sz w:val="17"/>
          <w:szCs w:val="17"/>
          <w:color w:val="auto"/>
        </w:rPr>
        <w:t>”), (i) the Common Stock trades at a price equal to or greater than $0.60 per share (as adjusted for stock splits, stock combinations and the like occurring from and after the Issuance Date) (the “</w:t>
      </w:r>
      <w:r>
        <w:rPr>
          <w:rFonts w:ascii="Arial" w:cs="Arial" w:eastAsia="Arial" w:hAnsi="Arial"/>
          <w:sz w:val="17"/>
          <w:szCs w:val="17"/>
          <w:b w:val="1"/>
          <w:bCs w:val="1"/>
          <w:color w:val="auto"/>
        </w:rPr>
        <w:t>Trigger Price</w:t>
      </w:r>
      <w:r>
        <w:rPr>
          <w:rFonts w:ascii="Arial" w:cs="Arial" w:eastAsia="Arial" w:hAnsi="Arial"/>
          <w:sz w:val="17"/>
          <w:szCs w:val="17"/>
          <w:color w:val="auto"/>
        </w:rPr>
        <w:t>”) for a period of twenty (20) consecutive Trading Days following the Mandatory Exercise Eligibility Date (the twenty (20) consecutive Trading Days on which the condition in this clause (i) is satisfied are referred to herein as the “</w:t>
      </w:r>
      <w:r>
        <w:rPr>
          <w:rFonts w:ascii="Arial" w:cs="Arial" w:eastAsia="Arial" w:hAnsi="Arial"/>
          <w:sz w:val="17"/>
          <w:szCs w:val="17"/>
          <w:b w:val="1"/>
          <w:bCs w:val="1"/>
          <w:color w:val="auto"/>
        </w:rPr>
        <w:t>Mandatory Exercise Measuring Period</w:t>
      </w:r>
      <w:r>
        <w:rPr>
          <w:rFonts w:ascii="Arial" w:cs="Arial" w:eastAsia="Arial" w:hAnsi="Arial"/>
          <w:sz w:val="17"/>
          <w:szCs w:val="17"/>
          <w:color w:val="auto"/>
        </w:rPr>
        <w:t>”), (ii) the average daily dollar trading volume (as reported on Bloomberg) of the Common Stock on the applicable Eligible Market for each Trading Day during the Mandatory Exercise Measuring Period exceeds $200,000 per day and (iii) no Equity Conditions Failure shall have occurred, then the Company shall have the right to require the Holder to exercise all, but not less than all, of this Warrant for all of the then-remaining Warrant Shares in accordance with Section 1 hereof (a “</w:t>
      </w:r>
      <w:r>
        <w:rPr>
          <w:rFonts w:ascii="Arial" w:cs="Arial" w:eastAsia="Arial" w:hAnsi="Arial"/>
          <w:sz w:val="17"/>
          <w:szCs w:val="17"/>
          <w:b w:val="1"/>
          <w:bCs w:val="1"/>
          <w:color w:val="auto"/>
        </w:rPr>
        <w:t>Mandatory Exercise</w:t>
      </w:r>
      <w:r>
        <w:rPr>
          <w:rFonts w:ascii="Arial" w:cs="Arial" w:eastAsia="Arial" w:hAnsi="Arial"/>
          <w:sz w:val="17"/>
          <w:szCs w:val="17"/>
          <w:color w:val="auto"/>
        </w:rPr>
        <w:t>”). The Company may exercise its right to require exercise under this Section 17 on one occasion by delivering (provided that all of the conditions set forth in clauses (i) through (iii) above are then satisfied), on the first (1</w:t>
      </w:r>
      <w:r>
        <w:rPr>
          <w:rFonts w:ascii="Arial" w:cs="Arial" w:eastAsia="Arial" w:hAnsi="Arial"/>
          <w:sz w:val="24"/>
          <w:szCs w:val="24"/>
          <w:color w:val="auto"/>
          <w:vertAlign w:val="superscript"/>
        </w:rPr>
        <w:t>st</w:t>
      </w:r>
      <w:r>
        <w:rPr>
          <w:rFonts w:ascii="Arial" w:cs="Arial" w:eastAsia="Arial" w:hAnsi="Arial"/>
          <w:sz w:val="17"/>
          <w:szCs w:val="17"/>
          <w:color w:val="auto"/>
        </w:rPr>
        <w:t>) Tra ding Day immediately following the end of the Mandatory Exercise Measuring Period, a written notice thereof by facsimile and overnight courier to the Holder (the “</w:t>
      </w:r>
      <w:r>
        <w:rPr>
          <w:rFonts w:ascii="Arial" w:cs="Arial" w:eastAsia="Arial" w:hAnsi="Arial"/>
          <w:sz w:val="17"/>
          <w:szCs w:val="17"/>
          <w:b w:val="1"/>
          <w:bCs w:val="1"/>
          <w:color w:val="auto"/>
        </w:rPr>
        <w:t>Mandatory Exercise Notice</w:t>
      </w:r>
      <w:r>
        <w:rPr>
          <w:rFonts w:ascii="Arial" w:cs="Arial" w:eastAsia="Arial" w:hAnsi="Arial"/>
          <w:sz w:val="17"/>
          <w:szCs w:val="17"/>
          <w:color w:val="auto"/>
        </w:rPr>
        <w:t>” and the date the Holder receives such notice by facsimile is referred to as the “</w:t>
      </w:r>
      <w:r>
        <w:rPr>
          <w:rFonts w:ascii="Arial" w:cs="Arial" w:eastAsia="Arial" w:hAnsi="Arial"/>
          <w:sz w:val="17"/>
          <w:szCs w:val="17"/>
          <w:b w:val="1"/>
          <w:bCs w:val="1"/>
          <w:color w:val="auto"/>
        </w:rPr>
        <w:t>Mandatory Exercise Notice Date</w:t>
      </w:r>
      <w:r>
        <w:rPr>
          <w:rFonts w:ascii="Arial" w:cs="Arial" w:eastAsia="Arial" w:hAnsi="Arial"/>
          <w:sz w:val="17"/>
          <w:szCs w:val="17"/>
          <w:color w:val="auto"/>
        </w:rPr>
        <w:t>”). The Mandatory Exercise Notice shall be irrevocable. The Mandatory Exercise Notice shall (1) state the Trading Day selected for the Mandatory Exercise in accordance with this Section 17, which Trading Day shall be at least twenty (20) Trading Days but not more than sixty (60) Trading Days following the Mandatory Exercise Notice Date (the “</w:t>
      </w:r>
      <w:r>
        <w:rPr>
          <w:rFonts w:ascii="Arial" w:cs="Arial" w:eastAsia="Arial" w:hAnsi="Arial"/>
          <w:sz w:val="17"/>
          <w:szCs w:val="17"/>
          <w:b w:val="1"/>
          <w:bCs w:val="1"/>
          <w:color w:val="auto"/>
        </w:rPr>
        <w:t>Mandatory Exercise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(2) state the number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6" w:name="page207"/>
    <w:bookmarkEnd w:id="206"/>
    <w:p>
      <w:pPr>
        <w:jc w:val="both"/>
        <w:spacing w:after="0" w:line="283" w:lineRule="auto"/>
        <w:rPr>
          <w:sz w:val="20"/>
          <w:szCs w:val="20"/>
          <w:color w:val="auto"/>
        </w:rPr>
      </w:pPr>
      <w:r>
        <w:rPr>
          <w:rFonts w:ascii="Arial" w:cs="Arial" w:eastAsia="Arial" w:hAnsi="Arial"/>
          <w:sz w:val="16"/>
          <w:szCs w:val="16"/>
          <w:color w:val="auto"/>
        </w:rPr>
        <w:t>shares of Common Stock to be issued to the Holder on the Mandatory Exercise Date, (3) contain a certification from the Chief Executive Officer of the Company that there has been no Equity Conditions Failure and (4) contain a certification from the Chief Executive Officer of the Company that the Company has simultaneously taken the same action with respect to all of the SPA Warrants. Any portion of this Warrant exercised by the Holder after the Mandatory Exercise Notice Date shall reduce the number of Warrant Shares for which this Warrant is required to be exercised on the Mandatory Exercise Date. If the Company has elected a Mandatory Exercise, the mechanics of exercise set forth in Section 1 shall apply, to the extent applicable, as if the Company had received from the Holder on the Mandatory Exercise Date an Exercise Notice with resp ect to all of the then-remaining Warrant Shares. Notwithstanding anything contained in this Section 17 to the contrary, if (I) any shares of Common Stock trade for a price less than the Trigger Price on any day during the period commencing on the Mandatory Exercise Notice Date and ending on the Trading Day immediately preceding the Mandatory Exercise Date; (II) the average daily dollar trading volume (as reported on Bloomberg) of the Common Stock on the applicable Eligible Market on any Trading Day during the period commencing on the Mandatory Exercise Notice Date and ending on the Trading Day immediately preceding the Mandatory Exercise Date is less than $200,000; or (III) an Equity Conditions Failure occurs on any day during the period commencing on the Mandatory Exercise Notice Date and ending on the Mandatory Exercise Date which has not been waived in writing by the Holder, then, in either case, the Mandatory Exercise Notice delivered to the Holder shall be null and void ab initio and the Mandatory Exerc ise shall not occur. If the Company elects to cause a Mandatory Exercise of this Warrant pursuant to this Section 17, then it must simultaneously take the same action with respect to all of the other SPA Warrants. If the Company exercises its right to require a Mandatory Exercise under this Section 17, then the Company shall, on the Mandatory Exercise Date, (A) issue to the Holder a warrant representing the right to purchase up to an amount of shares of Common Stock equal to $[_______] (such number of shares to be determined by dividing $[_______] by the initial</w:t>
      </w:r>
    </w:p>
    <w:p>
      <w:pPr>
        <w:jc w:val="both"/>
        <w:spacing w:after="0" w:line="281" w:lineRule="auto"/>
        <w:rPr>
          <w:sz w:val="20"/>
          <w:szCs w:val="20"/>
          <w:color w:val="auto"/>
        </w:rPr>
      </w:pPr>
      <w:r>
        <w:rPr>
          <w:rFonts w:ascii="Arial" w:cs="Arial" w:eastAsia="Arial" w:hAnsi="Arial"/>
          <w:sz w:val="16"/>
          <w:szCs w:val="16"/>
          <w:color w:val="auto"/>
        </w:rPr>
        <w:t>exercise price thereof) on the same terms and conditions as set forth in this Warrant, except that the initial exercise price thereof shall be equal to 150% of the Exercise Price then in effect on the Mandatory Exercise Date, the term thereof shall be five (5) years and such warrant shall not contain this Section 17 or any defined terms used only in this Section 17, (B) issue to the Holder a warrant representing the right to purchase up to an amount of shares of Common Stock equal to $[_______] (such number of shares to be determined by dividing $[_______] by the initial exercise price thereof) on the same terms and conditions</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set forth in the Series C Warrants, except that the initial exercise price thereof shall be equal to 150% of the Exercise Price (as defined in the Series C Warrant) of the Series C Warrants then in effect on the Mandatory Exercise Date and (C) enter into a registration rights agreement with the Holder on the same terms and conditions set forth in the Registration Rights Agreement with respect to the shares of common stock issuable upon exercise of the warrants described in clauses (A) and (B) above.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7" w:name="page208"/>
    <w:bookmarkEnd w:id="20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B Warrant No. _______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otherwise defined shall have the respective meanings set forth in the Warrant.</w:t>
      </w:r>
    </w:p>
    <w:p>
      <w:pPr>
        <w:spacing w:after="0" w:line="211" w:lineRule="exact"/>
        <w:rPr>
          <w:sz w:val="20"/>
          <w:szCs w:val="20"/>
          <w:color w:val="auto"/>
        </w:rPr>
      </w:pPr>
    </w:p>
    <w:p>
      <w:pPr>
        <w:ind w:left="1280" w:hanging="624"/>
        <w:spacing w:after="0"/>
        <w:tabs>
          <w:tab w:leader="none" w:pos="12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w:t>
      </w:r>
    </w:p>
    <w:p>
      <w:pPr>
        <w:spacing w:after="0"/>
        <w:rPr>
          <w:sz w:val="20"/>
          <w:szCs w:val="20"/>
          <w:color w:val="auto"/>
        </w:rPr>
      </w:pPr>
      <w:r>
        <w:rPr>
          <w:rFonts w:ascii="Arial" w:cs="Arial" w:eastAsia="Arial" w:hAnsi="Arial"/>
          <w:sz w:val="18"/>
          <w:szCs w:val="18"/>
          <w:color w:val="auto"/>
        </w:rPr>
        <w:t>applicable, the Bid Price as of such time of execution of this Exercise Notice was $________.</w:t>
      </w:r>
    </w:p>
    <w:p>
      <w:pPr>
        <w:spacing w:after="0" w:line="211" w:lineRule="exact"/>
        <w:rPr>
          <w:sz w:val="20"/>
          <w:szCs w:val="20"/>
          <w:color w:val="auto"/>
        </w:rPr>
      </w:pPr>
    </w:p>
    <w:p>
      <w:pPr>
        <w:jc w:val="both"/>
        <w:ind w:firstLine="656"/>
        <w:spacing w:after="0" w:line="264" w:lineRule="auto"/>
        <w:tabs>
          <w:tab w:leader="none" w:pos="1319"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firstLine="656"/>
        <w:spacing w:after="0" w:line="277" w:lineRule="auto"/>
        <w:tabs>
          <w:tab w:leader="none" w:pos="1305"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Holder, or its designee or agent as specified below, __________ Warrant Shares in accordance with the terms of the Warrant. Delivery shall be made to Holder, or for its benefit, to the following address:</w:t>
      </w:r>
    </w:p>
    <w:p>
      <w:pPr>
        <w:spacing w:after="0" w:line="17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acknowledges this Exercise Notice and hereby directs ______________ to issue the above indicated number of shares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Common Stock in accordance with the Transfer Agent Instructions dated _________, 20__, from the Company and acknowledged and agreed to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C WARRANT]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ARRANT</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Series C Warrant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[___], 2010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[BUYER],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 but not after 11:59 p.m., New York time, on the Expiration Date (as defined below), [______________]</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(subject to adjustment as provided</w:t>
      </w:r>
    </w:p>
    <w:p>
      <w:pPr>
        <w:jc w:val="both"/>
        <w:spacing w:after="0" w:line="253" w:lineRule="auto"/>
        <w:rPr>
          <w:sz w:val="20"/>
          <w:szCs w:val="20"/>
          <w:color w:val="auto"/>
        </w:rPr>
      </w:pPr>
      <w:r>
        <w:rPr>
          <w:rFonts w:ascii="Arial" w:cs="Arial" w:eastAsia="Arial" w:hAnsi="Arial"/>
          <w:sz w:val="18"/>
          <w:szCs w:val="18"/>
          <w:color w:val="auto"/>
        </w:rPr>
        <w:t>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Section 1 of that certain Securities Purchase Agreement, dated as of May 17, 2010, by and among the Company and the investors (the “</w:t>
      </w:r>
      <w:r>
        <w:rPr>
          <w:rFonts w:ascii="Arial" w:cs="Arial" w:eastAsia="Arial" w:hAnsi="Arial"/>
          <w:sz w:val="18"/>
          <w:szCs w:val="18"/>
          <w:b w:val="1"/>
          <w:bCs w:val="1"/>
          <w:color w:val="auto"/>
        </w:rPr>
        <w:t>Buyers</w:t>
      </w:r>
      <w:r>
        <w:rPr>
          <w:rFonts w:ascii="Arial" w:cs="Arial" w:eastAsia="Arial" w:hAnsi="Arial"/>
          <w:sz w:val="18"/>
          <w:szCs w:val="18"/>
          <w:color w:val="auto"/>
        </w:rPr>
        <w:t>”)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221;).</w:t>
      </w:r>
    </w:p>
    <w:p>
      <w:pPr>
        <w:spacing w:after="0" w:line="192"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Subject to the terms and conditions hereof (including, without limitation, the limitations set forth in Section 1(f)), this Warrant may be exercised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00" w:lineRule="exact"/>
        <w:rPr>
          <w:sz w:val="20"/>
          <w:szCs w:val="20"/>
          <w:color w:val="auto"/>
        </w:rPr>
      </w:pPr>
    </w:p>
    <w:p>
      <w:pPr>
        <w:spacing w:after="0" w:line="386" w:lineRule="exact"/>
        <w:rPr>
          <w:sz w:val="20"/>
          <w:szCs w:val="20"/>
          <w:color w:val="auto"/>
        </w:rPr>
      </w:pPr>
    </w:p>
    <w:p>
      <w:pPr>
        <w:ind w:left="160" w:hanging="152"/>
        <w:spacing w:after="0"/>
        <w:tabs>
          <w:tab w:leader="none" w:pos="160" w:val="left"/>
        </w:tabs>
        <w:numPr>
          <w:ilvl w:val="0"/>
          <w:numId w:val="253"/>
        </w:numPr>
        <w:rPr>
          <w:rFonts w:ascii="Arial" w:cs="Arial" w:eastAsia="Arial" w:hAnsi="Arial"/>
          <w:sz w:val="25"/>
          <w:szCs w:val="25"/>
          <w:color w:val="auto"/>
          <w:vertAlign w:val="superscript"/>
        </w:rPr>
      </w:pPr>
      <w:r>
        <w:rPr>
          <w:rFonts w:ascii="Arial" w:cs="Arial" w:eastAsia="Arial" w:hAnsi="Arial"/>
          <w:sz w:val="18"/>
          <w:szCs w:val="18"/>
          <w:color w:val="auto"/>
        </w:rPr>
        <w:t>125% warrant coverage.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211" w:name="page212"/>
    <w:bookmarkEnd w:id="211"/>
    <w:p>
      <w:pPr>
        <w:jc w:val="both"/>
        <w:spacing w:after="0" w:line="276" w:lineRule="auto"/>
        <w:rPr>
          <w:sz w:val="20"/>
          <w:szCs w:val="20"/>
          <w:color w:val="auto"/>
        </w:rPr>
      </w:pPr>
      <w:r>
        <w:rPr>
          <w:rFonts w:ascii="Arial" w:cs="Arial" w:eastAsia="Arial" w:hAnsi="Arial"/>
          <w:sz w:val="16"/>
          <w:szCs w:val="16"/>
          <w:color w:val="auto"/>
        </w:rPr>
        <w:t xml:space="preserve">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Trading Day following the date on which the Company has received an Exercise Notice, the Company shall transmit by facsimile an acknowledg ment of confirmation of receipt of such Exercise Notice,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following the date on which the Company has received such Exercise Notice,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 Withdrawal at Custodian system, or (Y) if the Transfer A 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 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2" w:name="page213"/>
    <w:bookmarkEnd w:id="212"/>
    <w:p>
      <w:pPr>
        <w:spacing w:after="0"/>
        <w:rPr>
          <w:sz w:val="20"/>
          <w:szCs w:val="20"/>
          <w:color w:val="auto"/>
        </w:rPr>
      </w:pPr>
      <w:r>
        <w:rPr>
          <w:rFonts w:ascii="Arial" w:cs="Arial" w:eastAsia="Arial" w:hAnsi="Arial"/>
          <w:sz w:val="17"/>
          <w:szCs w:val="17"/>
          <w:color w:val="auto"/>
        </w:rPr>
        <w:t>Company shall pay any and all taxes which may be payable with respect to the issuance and delivery of Warrant Shares upon exercise of this Warrant.</w:t>
      </w:r>
    </w:p>
    <w:p>
      <w:pPr>
        <w:spacing w:after="0" w:line="233" w:lineRule="exact"/>
        <w:rPr>
          <w:sz w:val="20"/>
          <w:szCs w:val="20"/>
          <w:color w:val="auto"/>
        </w:rPr>
      </w:pPr>
    </w:p>
    <w:p>
      <w:pPr>
        <w:ind w:left="1360" w:hanging="704"/>
        <w:spacing w:after="0"/>
        <w:tabs>
          <w:tab w:leader="none" w:pos="13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$0.30, subject to adjustment as provided herein.</w:t>
      </w:r>
    </w:p>
    <w:p>
      <w:pPr>
        <w:spacing w:after="0" w:line="229" w:lineRule="exact"/>
        <w:rPr>
          <w:rFonts w:ascii="Arial" w:cs="Arial" w:eastAsia="Arial" w:hAnsi="Arial"/>
          <w:sz w:val="18"/>
          <w:szCs w:val="18"/>
          <w:color w:val="auto"/>
        </w:rPr>
      </w:pPr>
    </w:p>
    <w:p>
      <w:pPr>
        <w:jc w:val="both"/>
        <w:ind w:firstLine="656"/>
        <w:spacing w:after="0" w:line="274" w:lineRule="auto"/>
        <w:tabs>
          <w:tab w:leader="none" w:pos="1424"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then, in addition to all other remedi es available to the Holder, the Company shall pay in cash to the Holder on each day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a certificate to the Holder and register such shares of Common Stock on the Company’s share register or credit the Holder’s balance account with DTC for the number of shares of Common Stock to which the Holder is entitled upon the Holder’s exercise hereunder (as the case may be), and if on or after such third (3</w:t>
      </w:r>
      <w:r>
        <w:rPr>
          <w:rFonts w:ascii="Arial" w:cs="Arial" w:eastAsia="Arial" w:hAnsi="Arial"/>
          <w:sz w:val="22"/>
          <w:szCs w:val="22"/>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shares of Common Stock issuable upon such exercise that the Holder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 icate or credit the Holder’s balance account with DTC for the number of shares of Common Stock to which the Holder is entitled upon the Holder’s exercise hereunder (as the case may be) (and to issue such shares of Common Stock) shall terminate, or (ii) promptly honor its obligation to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times (B) the Closing Sale Price of the Common Stock on the Trading Day immediately preceding the date of the applicable Exercise Notice.</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jc w:val="both"/>
        <w:ind w:firstLine="656"/>
        <w:spacing w:after="0" w:line="273" w:lineRule="auto"/>
        <w:tabs>
          <w:tab w:leader="none" w:pos="1475"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on or after the six (6) month anniversary of the Issuance Date, at the time of exercise hereof a Registration Statement (as defined in the Registration Rights Agreement (as defined in the Securities Purchase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3" w:name="page214"/>
    <w:bookmarkEnd w:id="213"/>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and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firstLine="656"/>
        <w:spacing w:after="0" w:line="264" w:lineRule="auto"/>
        <w:tabs>
          <w:tab w:leader="none" w:pos="149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(including, without limitation, under Section 1(h)), the Company shall promptly issue to the Holder the number of Warrant Shares that are not disputed and resolve such dispute in accordance with Section 13.</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39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Limitations on Exercises</w:t>
      </w:r>
      <w:r>
        <w:rPr>
          <w:rFonts w:ascii="Arial" w:cs="Arial" w:eastAsia="Arial" w:hAnsi="Arial"/>
          <w:sz w:val="17"/>
          <w:szCs w:val="17"/>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7"/>
          <w:szCs w:val="17"/>
          <w:b w:val="1"/>
          <w:bCs w:val="1"/>
          <w:color w:val="auto"/>
        </w:rPr>
        <w:t>Maximum</w:t>
      </w:r>
      <w:r>
        <w:rPr>
          <w:rFonts w:ascii="Arial" w:cs="Arial" w:eastAsia="Arial" w:hAnsi="Arial"/>
          <w:sz w:val="17"/>
          <w:szCs w:val="17"/>
          <w:color w:val="auto"/>
        </w:rPr>
        <w:t xml:space="preserve"> </w:t>
      </w:r>
      <w:r>
        <w:rPr>
          <w:rFonts w:ascii="Arial" w:cs="Arial" w:eastAsia="Arial" w:hAnsi="Arial"/>
          <w:sz w:val="17"/>
          <w:szCs w:val="17"/>
          <w:b w:val="1"/>
          <w:bCs w:val="1"/>
          <w:color w:val="auto"/>
        </w:rPr>
        <w:t>Percentage</w:t>
      </w:r>
      <w:r>
        <w:rPr>
          <w:rFonts w:ascii="Arial" w:cs="Arial" w:eastAsia="Arial" w:hAnsi="Arial"/>
          <w:sz w:val="17"/>
          <w:szCs w:val="17"/>
          <w:color w:val="auto"/>
        </w:rPr>
        <w:t>”) of the Common Stock. To the extent the above limitation applies, the determination of whether this Warrant shall be exercisable (vis-à-vis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exercisable or exchangeable securities owned by the Holder or any of its affiliates) and of which such securities shall be exercisable (as among all such securities owne 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4" w:name="page215"/>
    <w:bookmarkEnd w:id="214"/>
    <w:p>
      <w:pPr>
        <w:jc w:val="both"/>
        <w:spacing w:after="0" w:line="269" w:lineRule="auto"/>
        <w:rPr>
          <w:sz w:val="20"/>
          <w:szCs w:val="20"/>
          <w:color w:val="auto"/>
        </w:rPr>
      </w:pPr>
      <w:r>
        <w:rPr>
          <w:rFonts w:ascii="Arial" w:cs="Arial" w:eastAsia="Arial" w:hAnsi="Arial"/>
          <w:sz w:val="17"/>
          <w:szCs w:val="17"/>
          <w:color w:val="auto"/>
        </w:rPr>
        <w:t>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 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Each delivery of an Exercise Notice by the Holder will constitute a representation by the Holder that it has evaluated the limitation set forth in this paragraph and determined that issuance of the full number of Warrant Shares requested by the Holder in such Exercise Notice is permitted under this paragraph.</w:t>
      </w:r>
    </w:p>
    <w:p>
      <w:pPr>
        <w:spacing w:after="0" w:line="183" w:lineRule="exact"/>
        <w:rPr>
          <w:sz w:val="20"/>
          <w:szCs w:val="20"/>
          <w:color w:val="auto"/>
        </w:rPr>
      </w:pPr>
    </w:p>
    <w:p>
      <w:pPr>
        <w:jc w:val="both"/>
        <w:ind w:firstLine="656"/>
        <w:spacing w:after="0" w:line="286" w:lineRule="auto"/>
        <w:tabs>
          <w:tab w:leader="none" w:pos="1556"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 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 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174" w:lineRule="exact"/>
        <w:rPr>
          <w:rFonts w:ascii="Arial" w:cs="Arial" w:eastAsia="Arial" w:hAnsi="Arial"/>
          <w:sz w:val="16"/>
          <w:szCs w:val="16"/>
          <w:color w:val="auto"/>
        </w:rPr>
      </w:pPr>
    </w:p>
    <w:p>
      <w:pPr>
        <w:jc w:val="both"/>
        <w:ind w:firstLine="656"/>
        <w:spacing w:after="0" w:line="257" w:lineRule="auto"/>
        <w:tabs>
          <w:tab w:leader="none" w:pos="1407"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Issuance Limit</w:t>
      </w:r>
      <w:r>
        <w:rPr>
          <w:rFonts w:ascii="Arial" w:cs="Arial" w:eastAsia="Arial" w:hAnsi="Arial"/>
          <w:sz w:val="18"/>
          <w:szCs w:val="18"/>
          <w:color w:val="auto"/>
        </w:rPr>
        <w:t>. Notwithstanding anything to the contrary contained in this Warrant (but subject to Section 1(f)), the maximum number of Warrant Shares for which this Warrant may be exercised at any specific time by the Holder shall be equal to the quotient of (i) the Current Available Amount as of such time over (ii) the Exercise Price then in effect as of such time. The foregoing determination shall be made upon each receipt of an Exercise Notice hereunder and no inability to exercise as of any specific time as a result of this Section 1(h) shall affect any future determination of exercisability as of any other time. In the event that the Holder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5" w:name="page216"/>
    <w:bookmarkEnd w:id="215"/>
    <w:p>
      <w:pPr>
        <w:jc w:val="both"/>
        <w:spacing w:after="0" w:line="257" w:lineRule="auto"/>
        <w:rPr>
          <w:sz w:val="20"/>
          <w:szCs w:val="20"/>
          <w:color w:val="auto"/>
        </w:rPr>
      </w:pPr>
      <w:r>
        <w:rPr>
          <w:rFonts w:ascii="Arial" w:cs="Arial" w:eastAsia="Arial" w:hAnsi="Arial"/>
          <w:sz w:val="18"/>
          <w:szCs w:val="18"/>
          <w:color w:val="auto"/>
        </w:rPr>
        <w:t>shall sell or otherwise transfer all or any portion of this Warrant, the Company’s board of directors shall in good faith make equitable adjustments with respect to the Current Available Amount (and the components thereof) to properly give effect to such sale of transfer, provided further that if the Holder does not accept such adjustments,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8" w:lineRule="exact"/>
        <w:rPr>
          <w:sz w:val="20"/>
          <w:szCs w:val="20"/>
          <w:color w:val="auto"/>
        </w:rPr>
      </w:pPr>
    </w:p>
    <w:p>
      <w:pPr>
        <w:ind w:firstLine="8"/>
        <w:spacing w:after="0" w:line="277" w:lineRule="auto"/>
        <w:tabs>
          <w:tab w:leader="none" w:pos="765"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jc w:val="both"/>
        <w:ind w:firstLine="656"/>
        <w:spacing w:after="0" w:line="284" w:lineRule="auto"/>
        <w:tabs>
          <w:tab w:leader="none" w:pos="139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Without limiting any provision of Section 4,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w:t>
      </w:r>
    </w:p>
    <w:p>
      <w:pPr>
        <w:spacing w:after="0" w:line="2"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9" w:lineRule="exact"/>
        <w:rPr>
          <w:rFonts w:ascii="Arial" w:cs="Arial" w:eastAsia="Arial" w:hAnsi="Arial"/>
          <w:sz w:val="16"/>
          <w:szCs w:val="16"/>
          <w:color w:val="auto"/>
        </w:rPr>
      </w:pPr>
    </w:p>
    <w:p>
      <w:pPr>
        <w:jc w:val="both"/>
        <w:ind w:firstLine="656"/>
        <w:spacing w:after="0" w:line="291" w:lineRule="auto"/>
        <w:tabs>
          <w:tab w:leader="none" w:pos="1448"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Adjustment Upon Issuance of Shares of Common Stock</w:t>
      </w:r>
      <w:r>
        <w:rPr>
          <w:rFonts w:ascii="Arial" w:cs="Arial" w:eastAsia="Arial" w:hAnsi="Arial"/>
          <w:sz w:val="16"/>
          <w:szCs w:val="16"/>
          <w:color w:val="auto"/>
        </w:rPr>
        <w:t>.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equal to the Exercise Price in effect immediately prior to such issue or sale or deemed issuance or sale (such Exercise Price then in effect is referred to as the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Exercise Price then in effect shall be reduced to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New Issuance Price. For purposes of determining the adjusted Exercise Price under this Section 2(b), the following shall be applicable:</w:t>
      </w:r>
    </w:p>
    <w:p>
      <w:pPr>
        <w:spacing w:after="0" w:line="167" w:lineRule="exact"/>
        <w:rPr>
          <w:rFonts w:ascii="Arial" w:cs="Arial" w:eastAsia="Arial" w:hAnsi="Arial"/>
          <w:sz w:val="16"/>
          <w:szCs w:val="16"/>
          <w:color w:val="auto"/>
        </w:rPr>
      </w:pPr>
    </w:p>
    <w:p>
      <w:pPr>
        <w:ind w:left="660" w:firstLine="645"/>
        <w:spacing w:after="0" w:line="277" w:lineRule="auto"/>
        <w:tabs>
          <w:tab w:leader="none" w:pos="1987" w:val="left"/>
        </w:tabs>
        <w:numPr>
          <w:ilvl w:val="2"/>
          <w:numId w:val="257"/>
        </w:numPr>
        <w:rPr>
          <w:rFonts w:ascii="Arial" w:cs="Arial" w:eastAsia="Arial" w:hAnsi="Arial"/>
          <w:sz w:val="18"/>
          <w:szCs w:val="18"/>
          <w:color w:val="auto"/>
        </w:rPr>
      </w:pPr>
      <w:r>
        <w:rPr>
          <w:rFonts w:ascii="Arial" w:cs="Arial" w:eastAsia="Arial" w:hAnsi="Arial"/>
          <w:sz w:val="18"/>
          <w:szCs w:val="18"/>
          <w:u w:val="single" w:color="auto"/>
          <w:color w:val="auto"/>
        </w:rPr>
        <w:t>Issuance of Options</w:t>
      </w:r>
      <w:r>
        <w:rPr>
          <w:rFonts w:ascii="Arial" w:cs="Arial" w:eastAsia="Arial" w:hAnsi="Arial"/>
          <w:sz w:val="18"/>
          <w:szCs w:val="18"/>
          <w:color w:val="auto"/>
        </w:rPr>
        <w:t>. If the Company in any manner grants or sells any Options and the lowest price per share for which one share of Common Stock is issuable upon the exercise of any such Option or upon conversion, exercise or exchange of any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6" w:name="page217"/>
    <w:bookmarkEnd w:id="216"/>
    <w:p>
      <w:pPr>
        <w:jc w:val="both"/>
        <w:ind w:left="4"/>
        <w:spacing w:after="0" w:line="286" w:lineRule="auto"/>
        <w:rPr>
          <w:sz w:val="20"/>
          <w:szCs w:val="20"/>
          <w:color w:val="auto"/>
        </w:rPr>
      </w:pPr>
      <w:r>
        <w:rPr>
          <w:rFonts w:ascii="Arial" w:cs="Arial" w:eastAsia="Arial" w:hAnsi="Arial"/>
          <w:sz w:val="16"/>
          <w:szCs w:val="16"/>
          <w:color w:val="auto"/>
        </w:rPr>
        <w:t>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w:t>
      </w:r>
    </w:p>
    <w:p>
      <w:pPr>
        <w:spacing w:after="0" w:line="2" w:lineRule="exact"/>
        <w:rPr>
          <w:sz w:val="20"/>
          <w:szCs w:val="20"/>
          <w:color w:val="auto"/>
        </w:rPr>
      </w:pPr>
    </w:p>
    <w:p>
      <w:pPr>
        <w:jc w:val="both"/>
        <w:ind w:left="4" w:hanging="4"/>
        <w:spacing w:after="0" w:line="268" w:lineRule="auto"/>
        <w:tabs>
          <w:tab w:leader="none" w:pos="26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lower of (x) the sum of the lowest amounts of consideration (if any) received or receivable by the Company with respect to any one share of Common Stock upon the granting or sale of such Option, upon exercise of such Option and upon conversion, exerci 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 on Stock upon conversion, exercise or exchange of such Convertible Securities.</w:t>
      </w:r>
    </w:p>
    <w:p>
      <w:pPr>
        <w:spacing w:after="0" w:line="179" w:lineRule="exact"/>
        <w:rPr>
          <w:rFonts w:ascii="Arial" w:cs="Arial" w:eastAsia="Arial" w:hAnsi="Arial"/>
          <w:sz w:val="17"/>
          <w:szCs w:val="17"/>
          <w:color w:val="auto"/>
        </w:rPr>
      </w:pPr>
    </w:p>
    <w:p>
      <w:pPr>
        <w:jc w:val="both"/>
        <w:ind w:left="4" w:firstLine="807"/>
        <w:spacing w:after="0" w:line="286" w:lineRule="auto"/>
        <w:tabs>
          <w:tab w:leader="none" w:pos="1529"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200" w:lineRule="exact"/>
        <w:rPr>
          <w:sz w:val="20"/>
          <w:szCs w:val="20"/>
          <w:color w:val="auto"/>
        </w:rPr>
      </w:pPr>
    </w:p>
    <w:p>
      <w:pPr>
        <w:spacing w:after="0" w:line="33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217" w:name="page218"/>
    <w:bookmarkEnd w:id="217"/>
    <w:p>
      <w:pPr>
        <w:jc w:val="both"/>
        <w:ind w:left="-540" w:firstLine="807"/>
        <w:spacing w:after="0" w:line="288" w:lineRule="auto"/>
        <w:tabs>
          <w:tab w:leader="none" w:pos="1143"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 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169" w:lineRule="exact"/>
        <w:rPr>
          <w:rFonts w:ascii="Arial" w:cs="Arial" w:eastAsia="Arial" w:hAnsi="Arial"/>
          <w:sz w:val="16"/>
          <w:szCs w:val="16"/>
          <w:color w:val="auto"/>
        </w:rPr>
      </w:pPr>
    </w:p>
    <w:p>
      <w:pPr>
        <w:jc w:val="both"/>
        <w:ind w:left="-540" w:firstLine="807"/>
        <w:spacing w:after="0" w:line="279" w:lineRule="auto"/>
        <w:tabs>
          <w:tab w:leader="none" w:pos="1066"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 ch such Option or Convertible Security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 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 Trading Days after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such Valuation Event by an independent, reputable appraiser jointly selected by the Company and the Holder. The determination of such appraiser shall be final and binding upon all parties absent man ifest error and the fees and expenses of such appraiser shall be borne by the Company.</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218" w:name="page219"/>
    <w:bookmarkEnd w:id="218"/>
    <w:p>
      <w:pPr>
        <w:jc w:val="both"/>
        <w:ind w:left="660" w:firstLine="807"/>
        <w:spacing w:after="0" w:line="257" w:lineRule="auto"/>
        <w:tabs>
          <w:tab w:leader="none" w:pos="2216" w:val="left"/>
        </w:tabs>
        <w:numPr>
          <w:ilvl w:val="2"/>
          <w:numId w:val="260"/>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8" w:lineRule="exact"/>
        <w:rPr>
          <w:rFonts w:ascii="Arial" w:cs="Arial" w:eastAsia="Arial" w:hAnsi="Arial"/>
          <w:sz w:val="18"/>
          <w:szCs w:val="18"/>
          <w:color w:val="auto"/>
        </w:rPr>
      </w:pPr>
    </w:p>
    <w:p>
      <w:pPr>
        <w:jc w:val="both"/>
        <w:ind w:firstLine="656"/>
        <w:spacing w:after="0" w:line="279" w:lineRule="auto"/>
        <w:tabs>
          <w:tab w:leader="none" w:pos="1424"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Number of Warrant Shares</w:t>
      </w:r>
      <w:r>
        <w:rPr>
          <w:rFonts w:ascii="Arial" w:cs="Arial" w:eastAsia="Arial" w:hAnsi="Arial"/>
          <w:sz w:val="17"/>
          <w:szCs w:val="17"/>
          <w:color w:val="auto"/>
        </w:rPr>
        <w:t>. Simultaneously with any adjustment to the Exercise Price pursuant to paragraphs (a) or (b)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542"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 er, provided that no such adjustment pursuant to this Section 2(d)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1" w:lineRule="exact"/>
        <w:rPr>
          <w:rFonts w:ascii="Arial" w:cs="Arial" w:eastAsia="Arial" w:hAnsi="Arial"/>
          <w:sz w:val="17"/>
          <w:szCs w:val="17"/>
          <w:color w:val="auto"/>
        </w:rPr>
      </w:pPr>
    </w:p>
    <w:p>
      <w:pPr>
        <w:jc w:val="both"/>
        <w:ind w:firstLine="656"/>
        <w:spacing w:after="0" w:line="226" w:lineRule="auto"/>
        <w:tabs>
          <w:tab w:leader="none" w:pos="1532"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Arial" w:cs="Arial" w:eastAsia="Arial" w:hAnsi="Arial"/>
          <w:sz w:val="18"/>
          <w:szCs w:val="18"/>
          <w:color w:val="auto"/>
        </w:rPr>
      </w:pPr>
    </w:p>
    <w:p>
      <w:pPr>
        <w:jc w:val="both"/>
        <w:ind w:firstLine="8"/>
        <w:spacing w:after="0" w:line="297" w:lineRule="auto"/>
        <w:tabs>
          <w:tab w:leader="none" w:pos="697"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 ed to participate in such Distribution to the same extent that the Holder would have participated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9" w:name="page220"/>
    <w:bookmarkEnd w:id="219"/>
    <w:p>
      <w:pPr>
        <w:jc w:val="both"/>
        <w:spacing w:after="0" w:line="272" w:lineRule="auto"/>
        <w:rPr>
          <w:sz w:val="20"/>
          <w:szCs w:val="20"/>
          <w:color w:val="auto"/>
        </w:rPr>
      </w:pPr>
      <w:r>
        <w:rPr>
          <w:rFonts w:ascii="Arial" w:cs="Arial" w:eastAsia="Arial" w:hAnsi="Arial"/>
          <w:sz w:val="17"/>
          <w:szCs w:val="17"/>
          <w:color w:val="auto"/>
        </w:rPr>
        <w:t>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 tribution to such extent shall be held in abeyance for the benefit of the Holder until such time, if ever, as its right thereto would not result in the Holder exceeding the Maximum Percentage).</w:t>
      </w:r>
    </w:p>
    <w:p>
      <w:pPr>
        <w:spacing w:after="0" w:line="178"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9" w:lineRule="auto"/>
        <w:tabs>
          <w:tab w:leader="none" w:pos="1532"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 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jc w:val="both"/>
        <w:ind w:firstLine="656"/>
        <w:spacing w:after="0" w:line="270" w:lineRule="auto"/>
        <w:tabs>
          <w:tab w:leader="none" w:pos="1475"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 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0" w:name="page221"/>
    <w:bookmarkEnd w:id="220"/>
    <w:p>
      <w:pPr>
        <w:jc w:val="both"/>
        <w:spacing w:after="0" w:line="284" w:lineRule="auto"/>
        <w:rPr>
          <w:sz w:val="20"/>
          <w:szCs w:val="20"/>
          <w:color w:val="auto"/>
        </w:rPr>
      </w:pPr>
      <w:r>
        <w:rPr>
          <w:rFonts w:ascii="Arial" w:cs="Arial" w:eastAsia="Arial" w:hAnsi="Arial"/>
          <w:sz w:val="16"/>
          <w:szCs w:val="16"/>
          <w:color w:val="auto"/>
        </w:rPr>
        <w:t>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 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 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 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398" w:lineRule="exact"/>
        <w:rPr>
          <w:sz w:val="20"/>
          <w:szCs w:val="20"/>
          <w:color w:val="auto"/>
        </w:rPr>
      </w:pPr>
    </w:p>
    <w:p>
      <w:pPr>
        <w:jc w:val="both"/>
        <w:ind w:firstLine="656"/>
        <w:spacing w:after="0" w:line="272" w:lineRule="auto"/>
        <w:tabs>
          <w:tab w:leader="none" w:pos="1343"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Black Scholes Value</w:t>
      </w:r>
      <w:r>
        <w:rPr>
          <w:rFonts w:ascii="Arial" w:cs="Arial" w:eastAsia="Arial" w:hAnsi="Arial"/>
          <w:sz w:val="16"/>
          <w:szCs w:val="16"/>
          <w:color w:val="auto"/>
        </w:rPr>
        <w:t>. Notwithstanding the foregoing and the provisions of Section 4(b) above, in the event of a Fundamental Transaction, if the Holder has not exercised this Warrant in full prior to the consummation of such Fundamental Transaction, at the request of the Holder delivered before the ninetieth (90</w:t>
      </w:r>
      <w:r>
        <w:rPr>
          <w:rFonts w:ascii="Arial" w:cs="Arial" w:eastAsia="Arial" w:hAnsi="Arial"/>
          <w:sz w:val="22"/>
          <w:szCs w:val="22"/>
          <w:color w:val="auto"/>
          <w:vertAlign w:val="superscript"/>
        </w:rPr>
        <w:t>th</w:t>
      </w:r>
      <w:r>
        <w:rPr>
          <w:rFonts w:ascii="Arial" w:cs="Arial" w:eastAsia="Arial" w:hAnsi="Arial"/>
          <w:sz w:val="16"/>
          <w:szCs w:val="16"/>
          <w:color w:val="auto"/>
        </w:rPr>
        <w:t>) day after the consummation of such Fundamental Transaction, the Company or the Successor Entity (as the case may be) shall purchase this Warrant from the Holder on the date of such request by paying to the Holder cash in an amount equal to the Black Scholes Value.</w:t>
      </w:r>
    </w:p>
    <w:p>
      <w:pPr>
        <w:spacing w:after="0" w:line="168" w:lineRule="exact"/>
        <w:rPr>
          <w:rFonts w:ascii="Arial" w:cs="Arial" w:eastAsia="Arial" w:hAnsi="Arial"/>
          <w:sz w:val="16"/>
          <w:szCs w:val="16"/>
          <w:color w:val="auto"/>
        </w:rPr>
      </w:pPr>
    </w:p>
    <w:p>
      <w:pPr>
        <w:ind w:firstLine="656"/>
        <w:spacing w:after="0" w:line="277" w:lineRule="auto"/>
        <w:tabs>
          <w:tab w:leader="none" w:pos="1515"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1" w:name="page222"/>
    <w:bookmarkEnd w:id="221"/>
    <w:p>
      <w:pPr>
        <w:ind w:right="120"/>
        <w:spacing w:after="0" w:line="342" w:lineRule="auto"/>
        <w:rPr>
          <w:sz w:val="20"/>
          <w:szCs w:val="20"/>
          <w:color w:val="auto"/>
        </w:rPr>
      </w:pPr>
      <w:r>
        <w:rPr>
          <w:rFonts w:ascii="Arial" w:cs="Arial" w:eastAsia="Arial" w:hAnsi="Arial"/>
          <w:sz w:val="16"/>
          <w:szCs w:val="16"/>
          <w:color w:val="auto"/>
        </w:rPr>
        <w:t>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24" w:lineRule="exact"/>
        <w:rPr>
          <w:sz w:val="20"/>
          <w:szCs w:val="20"/>
          <w:color w:val="auto"/>
        </w:rPr>
      </w:pPr>
    </w:p>
    <w:p>
      <w:pPr>
        <w:jc w:val="both"/>
        <w:ind w:firstLine="8"/>
        <w:spacing w:after="0" w:line="288" w:lineRule="auto"/>
        <w:tabs>
          <w:tab w:leader="none" w:pos="657"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 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69" w:lineRule="exact"/>
        <w:rPr>
          <w:rFonts w:ascii="Arial" w:cs="Arial" w:eastAsia="Arial" w:hAnsi="Arial"/>
          <w:sz w:val="16"/>
          <w:szCs w:val="16"/>
          <w:color w:val="auto"/>
        </w:rPr>
      </w:pPr>
    </w:p>
    <w:p>
      <w:pPr>
        <w:jc w:val="both"/>
        <w:ind w:firstLine="8"/>
        <w:spacing w:after="0" w:line="270" w:lineRule="auto"/>
        <w:tabs>
          <w:tab w:leader="none" w:pos="643"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 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77" w:lineRule="exact"/>
        <w:rPr>
          <w:rFonts w:ascii="Arial" w:cs="Arial" w:eastAsia="Arial" w:hAnsi="Arial"/>
          <w:sz w:val="17"/>
          <w:szCs w:val="17"/>
          <w:color w:val="auto"/>
        </w:rPr>
      </w:pPr>
    </w:p>
    <w:p>
      <w:pPr>
        <w:ind w:left="640" w:hanging="632"/>
        <w:spacing w:after="0"/>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383"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2" w:name="page223"/>
    <w:bookmarkEnd w:id="222"/>
    <w:p>
      <w:pPr>
        <w:jc w:val="both"/>
        <w:ind w:firstLine="656"/>
        <w:spacing w:after="0" w:line="276" w:lineRule="auto"/>
        <w:tabs>
          <w:tab w:leader="none" w:pos="1475"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jc w:val="both"/>
        <w:ind w:firstLine="656"/>
        <w:spacing w:after="0" w:line="279" w:lineRule="auto"/>
        <w:tabs>
          <w:tab w:leader="none" w:pos="1410"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jc w:val="both"/>
        <w:ind w:firstLine="656"/>
        <w:spacing w:after="0" w:line="273" w:lineRule="auto"/>
        <w:tabs>
          <w:tab w:leader="none" w:pos="1475"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 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jc w:val="both"/>
        <w:ind w:firstLine="8"/>
        <w:spacing w:after="0" w:line="286" w:lineRule="auto"/>
        <w:tabs>
          <w:tab w:leader="none" w:pos="684"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and (ii) at least fifte 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 rrent Report on Form 8-K. It is expressly understood and agreed that the time of execution specified by the Holder in each Exercise Notice shall be definitive and may not be disputed or challenged by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3" w:name="page224"/>
    <w:bookmarkEnd w:id="223"/>
    <w:p>
      <w:pPr>
        <w:jc w:val="both"/>
        <w:ind w:firstLine="8"/>
        <w:spacing w:after="0" w:line="257" w:lineRule="auto"/>
        <w:tabs>
          <w:tab w:leader="none" w:pos="688"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jc w:val="both"/>
        <w:ind w:firstLine="8"/>
        <w:spacing w:after="0" w:line="271" w:lineRule="auto"/>
        <w:tabs>
          <w:tab w:leader="none" w:pos="896"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 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8"/>
        <w:spacing w:after="0" w:line="259" w:lineRule="auto"/>
        <w:tabs>
          <w:tab w:leader="none" w:pos="997"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w:t>
      </w:r>
    </w:p>
    <w:p>
      <w:pPr>
        <w:spacing w:after="0" w:line="186" w:lineRule="exact"/>
        <w:rPr>
          <w:rFonts w:ascii="Arial" w:cs="Arial" w:eastAsia="Arial" w:hAnsi="Arial"/>
          <w:sz w:val="18"/>
          <w:szCs w:val="18"/>
          <w:color w:val="auto"/>
        </w:rPr>
      </w:pPr>
    </w:p>
    <w:p>
      <w:pPr>
        <w:jc w:val="both"/>
        <w:ind w:firstLine="8"/>
        <w:spacing w:after="0" w:line="302" w:lineRule="auto"/>
        <w:tabs>
          <w:tab w:leader="none" w:pos="815"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jc w:val="both"/>
        <w:ind w:firstLine="8"/>
        <w:spacing w:after="0" w:line="255" w:lineRule="auto"/>
        <w:tabs>
          <w:tab w:leader="none" w:pos="734"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 ance or sale or deemed issuance or sale was an issuance or sale or deemed issuance or sale of Excluded Securities). If the Holder and the Company are unable to agree upon such determination or calculation (as the case may be) of the Exercise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4" w:name="page225"/>
    <w:bookmarkEnd w:id="224"/>
    <w:p>
      <w:pPr>
        <w:jc w:val="both"/>
        <w:spacing w:after="0" w:line="290" w:lineRule="auto"/>
        <w:rPr>
          <w:sz w:val="20"/>
          <w:szCs w:val="20"/>
          <w:color w:val="auto"/>
        </w:rPr>
      </w:pPr>
      <w:r>
        <w:rPr>
          <w:rFonts w:ascii="Arial" w:cs="Arial" w:eastAsia="Arial" w:hAnsi="Arial"/>
          <w:sz w:val="16"/>
          <w:szCs w:val="16"/>
          <w:color w:val="auto"/>
        </w:rPr>
        <w:t>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determination of the Exercise Price, the Closing Sale Price, the Bid Price or fair market value (as the case may be)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166" w:lineRule="exact"/>
        <w:rPr>
          <w:sz w:val="20"/>
          <w:szCs w:val="20"/>
          <w:color w:val="auto"/>
        </w:rPr>
      </w:pPr>
    </w:p>
    <w:p>
      <w:pPr>
        <w:jc w:val="both"/>
        <w:ind w:firstLine="8"/>
        <w:spacing w:after="0" w:line="268" w:lineRule="auto"/>
        <w:tabs>
          <w:tab w:leader="none" w:pos="963"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 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firstLine="8"/>
        <w:spacing w:after="0" w:line="277" w:lineRule="auto"/>
        <w:tabs>
          <w:tab w:leader="none" w:pos="774"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 except as may otherwise be required by Section 2(g) of the Securities Purchase 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5" w:name="page226"/>
    <w:bookmarkEnd w:id="225"/>
    <w:p>
      <w:pPr>
        <w:ind w:left="1360" w:hanging="704"/>
        <w:spacing w:after="0"/>
        <w:tabs>
          <w:tab w:leader="none" w:pos="13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Face Exercise Amount</w:t>
      </w:r>
      <w:r>
        <w:rPr>
          <w:rFonts w:ascii="Arial" w:cs="Arial" w:eastAsia="Arial" w:hAnsi="Arial"/>
          <w:sz w:val="18"/>
          <w:szCs w:val="18"/>
          <w:color w:val="auto"/>
        </w:rPr>
        <w:t>” is equal to [$_____________].</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Series B Face Exercise Amount</w:t>
      </w:r>
      <w:r>
        <w:rPr>
          <w:rFonts w:ascii="Arial" w:cs="Arial" w:eastAsia="Arial" w:hAnsi="Arial"/>
          <w:sz w:val="18"/>
          <w:szCs w:val="18"/>
          <w:color w:val="auto"/>
        </w:rPr>
        <w:t>” is equal to [$_____________].</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438" w:val="left"/>
        </w:tabs>
        <w:numPr>
          <w:ilvl w:val="1"/>
          <w:numId w:val="2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 rice is reported for such security by Bloomberg as of such time of determination, the average of the bid prices of any market makers for such security as reported in the “pink sheets” by Pink Sheets LLC (formerly the National Quotation Bureau, Inc.)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jc w:val="both"/>
        <w:ind w:firstLine="656"/>
        <w:spacing w:after="0" w:line="287" w:lineRule="auto"/>
        <w:tabs>
          <w:tab w:leader="none" w:pos="1434"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Consideration Value</w:t>
      </w:r>
      <w:r>
        <w:rPr>
          <w:rFonts w:ascii="Arial" w:cs="Arial" w:eastAsia="Arial" w:hAnsi="Arial"/>
          <w:sz w:val="16"/>
          <w:szCs w:val="16"/>
          <w:color w:val="auto"/>
        </w:rPr>
        <w:t>” means the value of the applicable Option or Convertible Security (as the case may be) calculated using the Black Scholes Option Pricing Model obtained from the “OV” function on Bloomberg as of the applicable date of determination and for purposes of such calculation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w:t>
      </w:r>
    </w:p>
    <w:p>
      <w:pPr>
        <w:spacing w:after="0" w:line="2" w:lineRule="exact"/>
        <w:rPr>
          <w:rFonts w:ascii="Arial" w:cs="Arial" w:eastAsia="Arial" w:hAnsi="Arial"/>
          <w:sz w:val="16"/>
          <w:szCs w:val="16"/>
          <w:color w:val="auto"/>
        </w:rPr>
      </w:pPr>
    </w:p>
    <w:p>
      <w:pPr>
        <w:jc w:val="both"/>
        <w:ind w:firstLine="8"/>
        <w:spacing w:after="0" w:line="254" w:lineRule="auto"/>
        <w:tabs>
          <w:tab w:leader="none" w:pos="27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risk-free interest rate corresponding to the U.S. Treasury rate for a period equal to the remai 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as of the Trading Day immediately following the date of issuance of such Option or Convertible Security (as the case may be).</w:t>
      </w:r>
    </w:p>
    <w:p>
      <w:pPr>
        <w:spacing w:after="0" w:line="185" w:lineRule="exact"/>
        <w:rPr>
          <w:rFonts w:ascii="Arial" w:cs="Arial" w:eastAsia="Arial" w:hAnsi="Arial"/>
          <w:sz w:val="18"/>
          <w:szCs w:val="18"/>
          <w:color w:val="auto"/>
        </w:rPr>
      </w:pPr>
    </w:p>
    <w:p>
      <w:pPr>
        <w:jc w:val="both"/>
        <w:ind w:firstLine="656"/>
        <w:spacing w:after="0" w:line="255" w:lineRule="auto"/>
        <w:tabs>
          <w:tab w:leader="none" w:pos="153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Black Scholes Value</w:t>
      </w:r>
      <w:r>
        <w:rPr>
          <w:rFonts w:ascii="Arial" w:cs="Arial" w:eastAsia="Arial" w:hAnsi="Arial"/>
          <w:sz w:val="18"/>
          <w:szCs w:val="18"/>
          <w:color w:val="auto"/>
        </w:rPr>
        <w:t>” means the value of the unexercised portion of this Warrant that remained on the date of the Holder’s request pursuant to Section 4(c) calculated using the Black Scholes Option Pricing Model obtained from the “OV” function on Bloomberg as of the applicable date of determination and for purposes of such calculation utilizing (i) an underlying price per share equal to the greater of (1) the highest Closing Sale Price of the Common Stock during the period beginning on the Trading Day immediately preceding the announcement of the applicable Fundamental Transaction and ending on the Trading Day immediately following the consummation of the applicable Fundamental Tran saction and (2) the sum of the price per share being offered in cash in the applicable Fundamental Transaction (if any) plus the value of the non-cash consideration being offered in the applicable Fundamental Transaction (if any), (ii) a risk-free interest rate corresponding to the U.S. Treasury rate for a period equal to the remaining term of this Warrant as of the date of consummation of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6" w:name="page227"/>
    <w:bookmarkEnd w:id="226"/>
    <w:p>
      <w:pPr>
        <w:spacing w:after="0" w:line="277" w:lineRule="auto"/>
        <w:rPr>
          <w:sz w:val="20"/>
          <w:szCs w:val="20"/>
          <w:color w:val="auto"/>
        </w:rPr>
      </w:pPr>
      <w:r>
        <w:rPr>
          <w:rFonts w:ascii="Arial" w:cs="Arial" w:eastAsia="Arial" w:hAnsi="Arial"/>
          <w:sz w:val="18"/>
          <w:szCs w:val="18"/>
          <w:color w:val="auto"/>
        </w:rPr>
        <w:t>applicable Fundamental Transaction and (iii) an expected volatility equal to the greater of 100% and the 100 day volatility obtained from the HVT function on Bloomberg as of the Trading Day immediately following the public announcement of the applicable Fundamental Transaction.</w:t>
      </w:r>
    </w:p>
    <w:p>
      <w:pPr>
        <w:spacing w:after="0" w:line="166" w:lineRule="exact"/>
        <w:rPr>
          <w:sz w:val="20"/>
          <w:szCs w:val="20"/>
          <w:color w:val="auto"/>
        </w:rPr>
      </w:pPr>
    </w:p>
    <w:p>
      <w:pPr>
        <w:ind w:left="1340" w:hanging="684"/>
        <w:spacing w:after="0"/>
        <w:tabs>
          <w:tab w:leader="none" w:pos="1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656"/>
        <w:spacing w:after="0" w:line="282" w:lineRule="auto"/>
        <w:tabs>
          <w:tab w:leader="none" w:pos="151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jc w:val="both"/>
        <w:ind w:firstLine="656"/>
        <w:spacing w:after="0" w:line="288" w:lineRule="auto"/>
        <w:tabs>
          <w:tab w:leader="none" w:pos="147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 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right="20" w:firstLine="656"/>
        <w:spacing w:after="0" w:line="282" w:lineRule="auto"/>
        <w:tabs>
          <w:tab w:leader="none" w:pos="132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firstLine="656"/>
        <w:spacing w:after="0" w:line="347" w:lineRule="auto"/>
        <w:tabs>
          <w:tab w:leader="none" w:pos="136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firstLine="656"/>
        <w:spacing w:after="0" w:line="282" w:lineRule="auto"/>
        <w:tabs>
          <w:tab w:leader="none" w:pos="140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Available Amount</w:t>
      </w:r>
      <w:r>
        <w:rPr>
          <w:rFonts w:ascii="Arial" w:cs="Arial" w:eastAsia="Arial" w:hAnsi="Arial"/>
          <w:sz w:val="18"/>
          <w:szCs w:val="18"/>
          <w:color w:val="auto"/>
        </w:rPr>
        <w:t>” is, as of the applicable time of determination, equal to (i) the product of (1) the Aggregate Face Exercise Amount times (2) the Series B Multiplier minus (ii) the Prior Aggregate Exercise Amount.</w:t>
      </w:r>
    </w:p>
    <w:p>
      <w:pPr>
        <w:spacing w:after="0" w:line="161" w:lineRule="exact"/>
        <w:rPr>
          <w:rFonts w:ascii="Arial" w:cs="Arial" w:eastAsia="Arial" w:hAnsi="Arial"/>
          <w:sz w:val="18"/>
          <w:szCs w:val="18"/>
          <w:color w:val="auto"/>
        </w:rPr>
      </w:pPr>
    </w:p>
    <w:p>
      <w:pPr>
        <w:ind w:firstLine="656"/>
        <w:spacing w:after="0" w:line="282" w:lineRule="auto"/>
        <w:tabs>
          <w:tab w:leader="none" w:pos="1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7" w:name="page228"/>
    <w:bookmarkEnd w:id="227"/>
    <w:p>
      <w:pPr>
        <w:ind w:firstLine="656"/>
        <w:spacing w:after="0" w:line="218" w:lineRule="auto"/>
        <w:tabs>
          <w:tab w:leader="none" w:pos="131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w:t>
      </w:r>
      <w:r>
        <w:rPr>
          <w:rFonts w:ascii="Arial" w:cs="Arial" w:eastAsia="Arial" w:hAnsi="Arial"/>
          <w:sz w:val="25"/>
          <w:szCs w:val="25"/>
          <w:color w:val="auto"/>
          <w:vertAlign w:val="superscript"/>
        </w:rPr>
        <w:t>th</w:t>
      </w:r>
      <w:r>
        <w:rPr>
          <w:rFonts w:ascii="Arial" w:cs="Arial" w:eastAsia="Arial" w:hAnsi="Arial"/>
          <w:sz w:val="18"/>
          <w:szCs w:val="18"/>
          <w:color w:val="auto"/>
        </w:rPr>
        <w:t>) anniversary of the Issuance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date that is not a Holiday.</w:t>
      </w:r>
    </w:p>
    <w:p>
      <w:pPr>
        <w:spacing w:after="0" w:line="199" w:lineRule="exact"/>
        <w:rPr>
          <w:rFonts w:ascii="Arial" w:cs="Arial" w:eastAsia="Arial" w:hAnsi="Arial"/>
          <w:sz w:val="18"/>
          <w:szCs w:val="18"/>
          <w:color w:val="auto"/>
        </w:rPr>
      </w:pPr>
    </w:p>
    <w:p>
      <w:pPr>
        <w:jc w:val="both"/>
        <w:ind w:firstLine="656"/>
        <w:spacing w:after="0" w:line="293" w:lineRule="auto"/>
        <w:tabs>
          <w:tab w:leader="none" w:pos="1457" w:val="left"/>
        </w:tabs>
        <w:numPr>
          <w:ilvl w:val="1"/>
          <w:numId w:val="2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Arial" w:cs="Arial" w:eastAsia="Arial" w:hAnsi="Arial"/>
          <w:sz w:val="16"/>
          <w:szCs w:val="16"/>
          <w:color w:val="auto"/>
        </w:rPr>
      </w:pPr>
    </w:p>
    <w:p>
      <w:pPr>
        <w:jc w:val="both"/>
        <w:ind w:firstLine="8"/>
        <w:spacing w:after="0" w:line="267" w:lineRule="auto"/>
        <w:tabs>
          <w:tab w:leader="none" w:pos="26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 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 efined in Rule 13d-3 under the 1934 Act), directly or indirectly, of 50% of the aggregate ordinary voting power represented by issued and outstanding Voting Stock of the Company.</w:t>
      </w:r>
    </w:p>
    <w:p>
      <w:pPr>
        <w:spacing w:after="0" w:line="182" w:lineRule="exact"/>
        <w:rPr>
          <w:rFonts w:ascii="Arial" w:cs="Arial" w:eastAsia="Arial" w:hAnsi="Arial"/>
          <w:sz w:val="17"/>
          <w:szCs w:val="17"/>
          <w:color w:val="auto"/>
        </w:rPr>
      </w:pPr>
    </w:p>
    <w:p>
      <w:pPr>
        <w:ind w:left="1320" w:hanging="664"/>
        <w:spacing w:after="0"/>
        <w:tabs>
          <w:tab w:leader="none" w:pos="132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236" w:lineRule="exact"/>
        <w:rPr>
          <w:rFonts w:ascii="Arial" w:cs="Arial" w:eastAsia="Arial" w:hAnsi="Arial"/>
          <w:sz w:val="17"/>
          <w:szCs w:val="17"/>
          <w:color w:val="auto"/>
        </w:rPr>
      </w:pPr>
    </w:p>
    <w:p>
      <w:pPr>
        <w:jc w:val="both"/>
        <w:ind w:firstLine="656"/>
        <w:spacing w:after="0" w:line="266" w:lineRule="auto"/>
        <w:tabs>
          <w:tab w:leader="none" w:pos="151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right="20" w:firstLine="656"/>
        <w:spacing w:after="0" w:line="282" w:lineRule="auto"/>
        <w:tabs>
          <w:tab w:leader="none" w:pos="1578"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1340" w:hanging="684"/>
        <w:spacing w:after="0"/>
        <w:tabs>
          <w:tab w:leader="none" w:pos="13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32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Aggregate Exercise Amount</w:t>
      </w:r>
      <w:r>
        <w:rPr>
          <w:rFonts w:ascii="Arial" w:cs="Arial" w:eastAsia="Arial" w:hAnsi="Arial"/>
          <w:sz w:val="18"/>
          <w:szCs w:val="18"/>
          <w:color w:val="auto"/>
        </w:rPr>
        <w:t>” is, as of the applicable time of determination, equal to the total aggregate Exercise Price theretofore actually paid (whether in cash or by delivery of notice of Cashless Exercise) with respect to the Series C Warrants initially issued to [Iroquois Master Fund Ltd.] [OTHER BUYERS] (and not including the exercise in question).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8" w:name="page229"/>
    <w:bookmarkEnd w:id="228"/>
    <w:p>
      <w:pPr>
        <w:ind w:right="20" w:firstLine="656"/>
        <w:spacing w:after="0" w:line="282" w:lineRule="auto"/>
        <w:tabs>
          <w:tab w:leader="none" w:pos="136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Multiplier</w:t>
      </w:r>
      <w:r>
        <w:rPr>
          <w:rFonts w:ascii="Arial" w:cs="Arial" w:eastAsia="Arial" w:hAnsi="Arial"/>
          <w:sz w:val="18"/>
          <w:szCs w:val="18"/>
          <w:color w:val="auto"/>
        </w:rPr>
        <w:t>” is equal to the quotient of (i) the Series B Prior Aggregate Exercise Amount divided by (ii) the Aggregate Series B Face Exercise Amount.</w:t>
      </w:r>
    </w:p>
    <w:p>
      <w:pPr>
        <w:spacing w:after="0" w:line="161" w:lineRule="exact"/>
        <w:rPr>
          <w:rFonts w:ascii="Arial" w:cs="Arial" w:eastAsia="Arial" w:hAnsi="Arial"/>
          <w:sz w:val="18"/>
          <w:szCs w:val="18"/>
          <w:color w:val="auto"/>
        </w:rPr>
      </w:pPr>
    </w:p>
    <w:p>
      <w:pPr>
        <w:jc w:val="both"/>
        <w:ind w:firstLine="656"/>
        <w:spacing w:after="0" w:line="314" w:lineRule="auto"/>
        <w:tabs>
          <w:tab w:leader="none" w:pos="130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Prior Aggregate Exercise Amount</w:t>
      </w:r>
      <w:r>
        <w:rPr>
          <w:rFonts w:ascii="Arial" w:cs="Arial" w:eastAsia="Arial" w:hAnsi="Arial"/>
          <w:sz w:val="16"/>
          <w:szCs w:val="16"/>
          <w:color w:val="auto"/>
        </w:rPr>
        <w:t>” is, as of the applicable time of determination, equal to the total aggregate Exercise Price (as defined in the Series B Warrants (as defined in the Securities Purchase Agreement)) theretofore actually paid (whether in cash or by delivery of notice of Cashless Exercise) for prior or concurrent exercises with respect to the Series B Warrants initially issued to [Iroquois Master Fund Ltd.] [OTHER BUYERS].</w:t>
      </w:r>
    </w:p>
    <w:p>
      <w:pPr>
        <w:spacing w:after="0" w:line="142" w:lineRule="exact"/>
        <w:rPr>
          <w:rFonts w:ascii="Arial" w:cs="Arial" w:eastAsia="Arial" w:hAnsi="Arial"/>
          <w:sz w:val="16"/>
          <w:szCs w:val="16"/>
          <w:color w:val="auto"/>
        </w:rPr>
      </w:pPr>
    </w:p>
    <w:p>
      <w:pPr>
        <w:jc w:val="both"/>
        <w:ind w:firstLine="656"/>
        <w:spacing w:after="0" w:line="266" w:lineRule="auto"/>
        <w:tabs>
          <w:tab w:leader="none" w:pos="151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jc w:val="both"/>
        <w:ind w:firstLine="656"/>
        <w:spacing w:after="0" w:line="274" w:lineRule="auto"/>
        <w:tabs>
          <w:tab w:leader="none" w:pos="1479"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 .m., New York time) unless such day is otherwise designated as a Trading Day in writing by the Holder.</w:t>
      </w:r>
    </w:p>
    <w:p>
      <w:pPr>
        <w:spacing w:after="0" w:line="173" w:lineRule="exact"/>
        <w:rPr>
          <w:rFonts w:ascii="Arial" w:cs="Arial" w:eastAsia="Arial" w:hAnsi="Arial"/>
          <w:sz w:val="17"/>
          <w:szCs w:val="17"/>
          <w:color w:val="auto"/>
        </w:rPr>
      </w:pPr>
    </w:p>
    <w:p>
      <w:pPr>
        <w:jc w:val="both"/>
        <w:ind w:firstLine="656"/>
        <w:spacing w:after="0" w:line="314" w:lineRule="auto"/>
        <w:tabs>
          <w:tab w:leader="none" w:pos="151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2" w:lineRule="exact"/>
        <w:rPr>
          <w:rFonts w:ascii="Arial" w:cs="Arial" w:eastAsia="Arial" w:hAnsi="Arial"/>
          <w:sz w:val="16"/>
          <w:szCs w:val="16"/>
          <w:color w:val="auto"/>
        </w:rPr>
      </w:pPr>
    </w:p>
    <w:p>
      <w:pPr>
        <w:jc w:val="both"/>
        <w:ind w:firstLine="656"/>
        <w:spacing w:after="0" w:line="288" w:lineRule="auto"/>
        <w:tabs>
          <w:tab w:leader="none" w:pos="13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C Warrant No. _______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otherwise defined shall have the respective meanings set forth in the Warrant.</w:t>
      </w:r>
    </w:p>
    <w:p>
      <w:pPr>
        <w:spacing w:after="0" w:line="211" w:lineRule="exact"/>
        <w:rPr>
          <w:sz w:val="20"/>
          <w:szCs w:val="20"/>
          <w:color w:val="auto"/>
        </w:rPr>
      </w:pPr>
    </w:p>
    <w:p>
      <w:pPr>
        <w:ind w:left="1280" w:hanging="624"/>
        <w:spacing w:after="0"/>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w:t>
      </w:r>
    </w:p>
    <w:p>
      <w:pPr>
        <w:spacing w:after="0"/>
        <w:rPr>
          <w:sz w:val="20"/>
          <w:szCs w:val="20"/>
          <w:color w:val="auto"/>
        </w:rPr>
      </w:pPr>
      <w:r>
        <w:rPr>
          <w:rFonts w:ascii="Arial" w:cs="Arial" w:eastAsia="Arial" w:hAnsi="Arial"/>
          <w:sz w:val="18"/>
          <w:szCs w:val="18"/>
          <w:color w:val="auto"/>
        </w:rPr>
        <w:t>applicable, the Bid Price as of such time of execution of this Exercise Notice was $________.</w:t>
      </w:r>
    </w:p>
    <w:p>
      <w:pPr>
        <w:spacing w:after="0" w:line="211" w:lineRule="exact"/>
        <w:rPr>
          <w:sz w:val="20"/>
          <w:szCs w:val="20"/>
          <w:color w:val="auto"/>
        </w:rPr>
      </w:pPr>
    </w:p>
    <w:p>
      <w:pPr>
        <w:jc w:val="both"/>
        <w:ind w:firstLine="656"/>
        <w:spacing w:after="0" w:line="264" w:lineRule="auto"/>
        <w:tabs>
          <w:tab w:leader="none" w:pos="1319"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firstLine="656"/>
        <w:spacing w:after="0" w:line="277" w:lineRule="auto"/>
        <w:tabs>
          <w:tab w:leader="none" w:pos="1305"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Holder, or its designee or agent as specified below, __________ Warrant Shares in accordance with the terms of the Warrant. Delivery shall be made to Holder, or for its benefit, to the following address:</w:t>
      </w:r>
    </w:p>
    <w:p>
      <w:pPr>
        <w:spacing w:after="0" w:line="17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acknowledges this Exercise Notice and hereby directs ______________ to issue the above indicated number of shares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Common Stock in accordance with the Transfer Agent Instructions dated _________, 20__, from the Company and acknowledged and agreed to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466725</wp:posOffset>
            </wp:positionV>
            <wp:extent cx="7250430"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318770</wp:posOffset>
            </wp:positionV>
            <wp:extent cx="725043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TapImmune Inc. Executes a Securities Purchase Agreement for the Issuance of $1.53 million in Convertible Debt</w:t>
      </w: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Bellevue, Washington, May 18, 2010, TapImmune Inc. (OTCBB: TPIV), a Nevada corporation, announced today that the Company entered into a definitive purchase agreement on May 17, 2010 with accredited investors to place Senior Secured Convertible Notes (collectively, “Notes”) totaling $1.53 million. The net proceeds of the financing will be used for the development of certain partnerships and for general working capital. The Company expects the transaction to close within two days of the execution of such purchase agreement, subject to the satisfaction of customary closing conditions.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aggregate original principal amount of the Notes is $1.53 million. In addition to the gross proceeds to be received for the Notes, an outstanding and due debenture in the original principal amount of $350,000 is also being converted into the Notes. The holders of the Notes may choose to convert the Notes into common stock at anytime at a conversion price of $.30. Beginning in September 2010, the Notes are payable in nine monthly installments. The Company can make the amortization payments, at its option, either in cash or, subject to the satisfaction of certain conditions, registered shares of common stock. Along with the Notes, the Company has issued three sets of warrants each with an exercise price of $.30 per share that if fully exercised would result in an additional investment of $5,691,000 before fees and exp enses. The Company will be required to file a registration statement within 30 days of the closing date and will use its reasonable best efforts to cause such registration statement to be declared effective within 120 days of the closing date. The investors and the placement agent shall receive an aggregate of 18,970,000 warrant shares, 6,775,000 of which will only be issued on a pro-rata basis with the exercise of the Series B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Olympus Securities, LLC acted as exclusive placement agent for this transaction.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more detailed information on this financing, please refer to the Company's Current Report on Form 8-K and related exhibits filed with the SEC on May 18,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TapImmune is developing its TAP technology platform into vaccines for both oncology and infectious disease. The Company is currently developing its lead clinical candidate, AdhTAP, for the treatment of TAP deficient cancers. In preclinical studies using a simple injection this vaccine has shown effective restoration of TAP which restores antigen presentation and subsequent recognition and killing of cancer cells by the immune system. The TAP technology can also improve the potency of vaccines against infectious diseases. The Company is working with partners to test TAP in new prophylactic vaccines.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Safe Harbor statement under the Private Securities Litigation Reform Act of 1995: The statements in this release relating to completion of the acquisition and the positive direction are forward-looking statements within the meaning of the Private Securities Litigation Reform Act of 1995. Some or all of the results anticipated by these forward-looking statements may not occur. Factors that could cause or contribute to such differences include, but are not limited to, contractual difficulties which may arise, the failure to obtain necessary approvals, the future market price of the Company’s common stock and the ability to obtain necessary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177800</wp:posOffset>
            </wp:positionV>
            <wp:extent cx="725043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E99DD7"/>
    <w:multiLevelType w:val="hybridMultilevel"/>
    <w:lvl w:ilvl="0">
      <w:lvlJc w:val="left"/>
      <w:lvlText w:val="%1."/>
      <w:numFmt w:val="upperLetter"/>
      <w:start w:val="1"/>
    </w:lvl>
  </w:abstractNum>
  <w:abstractNum w:abstractNumId="1">
    <w:nsid w:val="2A31B62D"/>
    <w:multiLevelType w:val="hybridMultilevel"/>
    <w:lvl w:ilvl="0">
      <w:lvlJc w:val="left"/>
      <w:lvlText w:val="%1."/>
      <w:numFmt w:val="upperLetter"/>
      <w:start w:val="6"/>
    </w:lvl>
  </w:abstractNum>
  <w:abstractNum w:abstractNumId="2">
    <w:nsid w:val="1849C29B"/>
    <w:multiLevelType w:val="hybridMultilevel"/>
    <w:lvl w:ilvl="0">
      <w:lvlJc w:val="left"/>
      <w:lvlText w:val="%1."/>
      <w:numFmt w:val="decimal"/>
      <w:start w:val="1"/>
    </w:lvl>
    <w:lvl w:ilvl="1">
      <w:lvlJc w:val="left"/>
      <w:lvlText w:val="(%2)"/>
      <w:numFmt w:val="lowerLetter"/>
      <w:start w:val="1"/>
    </w:lvl>
  </w:abstractNum>
  <w:abstractNum w:abstractNumId="3">
    <w:nsid w:val="7DFF9D09"/>
    <w:multiLevelType w:val="hybridMultilevel"/>
    <w:lvl w:ilvl="0">
      <w:lvlJc w:val="left"/>
      <w:lvlText w:val="%1."/>
      <w:numFmt w:val="decimal"/>
      <w:start w:val="2"/>
    </w:lvl>
    <w:lvl w:ilvl="1">
      <w:lvlJc w:val="left"/>
      <w:lvlText w:val="(%2)"/>
      <w:numFmt w:val="lowerLetter"/>
      <w:start w:val="1"/>
    </w:lvl>
  </w:abstractNum>
  <w:abstractNum w:abstractNumId="4">
    <w:nsid w:val="754342"/>
    <w:multiLevelType w:val="hybridMultilevel"/>
    <w:lvl w:ilvl="0">
      <w:lvlJc w:val="left"/>
      <w:lvlText w:val="(%1)"/>
      <w:numFmt w:val="lowerLetter"/>
      <w:start w:val="5"/>
    </w:lvl>
  </w:abstractNum>
  <w:abstractNum w:abstractNumId="5">
    <w:nsid w:val="69E7F3E5"/>
    <w:multiLevelType w:val="hybridMultilevel"/>
    <w:lvl w:ilvl="0">
      <w:lvlJc w:val="left"/>
      <w:lvlText w:val="%1"/>
      <w:numFmt w:val="decimal"/>
      <w:start w:val="1"/>
    </w:lvl>
    <w:lvl w:ilvl="1">
      <w:lvlJc w:val="left"/>
      <w:lvlText w:val="(%2)"/>
      <w:numFmt w:val="lowerLetter"/>
      <w:start w:val="9"/>
    </w:lvl>
  </w:abstractNum>
  <w:abstractNum w:abstractNumId="6">
    <w:nsid w:val="2A6DE806"/>
    <w:multiLevelType w:val="hybridMultilevel"/>
    <w:lvl w:ilvl="0">
      <w:lvlJc w:val="left"/>
      <w:lvlText w:val="%1."/>
      <w:numFmt w:val="decimal"/>
      <w:start w:val="3"/>
    </w:lvl>
    <w:lvl w:ilvl="1">
      <w:lvlJc w:val="left"/>
      <w:lvlText w:val="(%2)"/>
      <w:numFmt w:val="lowerLetter"/>
      <w:start w:val="1"/>
    </w:lvl>
  </w:abstractNum>
  <w:abstractNum w:abstractNumId="7">
    <w:nsid w:val="1816F8C4"/>
    <w:multiLevelType w:val="hybridMultilevel"/>
    <w:lvl w:ilvl="0">
      <w:lvlJc w:val="left"/>
      <w:lvlText w:val="(%1)"/>
      <w:numFmt w:val="lowerLetter"/>
      <w:start w:val="2"/>
    </w:lvl>
  </w:abstractNum>
  <w:abstractNum w:abstractNumId="8">
    <w:nsid w:val="37DF2233"/>
    <w:multiLevelType w:val="hybridMultilevel"/>
    <w:lvl w:ilvl="0">
      <w:lvlJc w:val="left"/>
      <w:lvlText w:val="%1"/>
      <w:numFmt w:val="lowerLetter"/>
      <w:start w:val="1"/>
    </w:lvl>
    <w:lvl w:ilvl="1">
      <w:lvlJc w:val="left"/>
      <w:lvlText w:val="(%2)"/>
      <w:numFmt w:val="lowerLetter"/>
      <w:start w:val="4"/>
    </w:lvl>
  </w:abstractNum>
  <w:abstractNum w:abstractNumId="9">
    <w:nsid w:val="7AB49DAF"/>
    <w:multiLevelType w:val="hybridMultilevel"/>
    <w:lvl w:ilvl="0">
      <w:lvlJc w:val="left"/>
      <w:lvlText w:val="(%1)"/>
      <w:numFmt w:val="lowerLetter"/>
      <w:start w:val="61"/>
    </w:lvl>
    <w:lvl w:ilvl="1">
      <w:lvlJc w:val="left"/>
      <w:lvlText w:val="(%2)"/>
      <w:numFmt w:val="lowerLetter"/>
      <w:start w:val="5"/>
    </w:lvl>
  </w:abstractNum>
  <w:abstractNum w:abstractNumId="10">
    <w:nsid w:val="759F82CD"/>
    <w:multiLevelType w:val="hybridMultilevel"/>
    <w:lvl w:ilvl="0">
      <w:lvlJc w:val="left"/>
      <w:lvlText w:val="%1"/>
      <w:numFmt w:val="lowerLetter"/>
      <w:start w:val="1"/>
    </w:lvl>
    <w:lvl w:ilvl="1">
      <w:lvlJc w:val="left"/>
      <w:lvlText w:val="(%2)"/>
      <w:numFmt w:val="lowerLetter"/>
      <w:start w:val="6"/>
    </w:lvl>
  </w:abstractNum>
  <w:abstractNum w:abstractNumId="11">
    <w:nsid w:val="61E74EA3"/>
    <w:multiLevelType w:val="hybridMultilevel"/>
    <w:lvl w:ilvl="0">
      <w:lvlJc w:val="left"/>
      <w:lvlText w:val="(%1)"/>
      <w:numFmt w:val="lowerLetter"/>
      <w:start w:val="9"/>
    </w:lvl>
    <w:lvl w:ilvl="1">
      <w:lvlJc w:val="left"/>
      <w:lvlText w:val="(%2)"/>
      <w:numFmt w:val="lowerLetter"/>
      <w:start w:val="7"/>
    </w:lvl>
  </w:abstractNum>
  <w:abstractNum w:abstractNumId="12">
    <w:nsid w:val="597B4D84"/>
    <w:multiLevelType w:val="hybridMultilevel"/>
    <w:lvl w:ilvl="0">
      <w:lvlJc w:val="left"/>
      <w:lvlText w:val="(%1)"/>
      <w:numFmt w:val="lowerLetter"/>
      <w:start w:val="10"/>
    </w:lvl>
  </w:abstractNum>
  <w:abstractNum w:abstractNumId="13">
    <w:nsid w:val="F819E7F"/>
    <w:multiLevelType w:val="hybridMultilevel"/>
    <w:lvl w:ilvl="0">
      <w:lvlJc w:val="left"/>
      <w:lvlText w:val="(%1)"/>
      <w:numFmt w:val="lowerLetter"/>
      <w:start w:val="13"/>
    </w:lvl>
  </w:abstractNum>
  <w:abstractNum w:abstractNumId="14">
    <w:nsid w:val="57C7D42D"/>
    <w:multiLevelType w:val="hybridMultilevel"/>
    <w:lvl w:ilvl="0">
      <w:lvlJc w:val="left"/>
      <w:lvlText w:val="(%1)"/>
      <w:numFmt w:val="lowerLetter"/>
      <w:start w:val="61"/>
    </w:lvl>
    <w:lvl w:ilvl="1">
      <w:lvlJc w:val="left"/>
      <w:lvlText w:val="(%2)"/>
      <w:numFmt w:val="lowerLetter"/>
      <w:start w:val="15"/>
    </w:lvl>
  </w:abstractNum>
  <w:abstractNum w:abstractNumId="15">
    <w:nsid w:val="312167AD"/>
    <w:multiLevelType w:val="hybridMultilevel"/>
    <w:lvl w:ilvl="0">
      <w:lvlJc w:val="left"/>
      <w:lvlText w:val="(%1)"/>
      <w:numFmt w:val="lowerRoman"/>
      <w:start w:val="5"/>
    </w:lvl>
  </w:abstractNum>
  <w:abstractNum w:abstractNumId="16">
    <w:nsid w:val="631B64D4"/>
    <w:multiLevelType w:val="hybridMultilevel"/>
    <w:lvl w:ilvl="0">
      <w:lvlJc w:val="left"/>
      <w:lvlText w:val="%1"/>
      <w:numFmt w:val="upperLetter"/>
      <w:start w:val="1"/>
    </w:lvl>
    <w:lvl w:ilvl="1">
      <w:lvlJc w:val="left"/>
      <w:lvlText w:val="(%2)"/>
      <w:numFmt w:val="lowerLetter"/>
      <w:start w:val="19"/>
    </w:lvl>
  </w:abstractNum>
  <w:abstractNum w:abstractNumId="17">
    <w:nsid w:val="78B5E776"/>
    <w:multiLevelType w:val="hybridMultilevel"/>
    <w:lvl w:ilvl="0">
      <w:lvlJc w:val="left"/>
      <w:lvlText w:val="(%1)"/>
      <w:numFmt w:val="upperLetter"/>
      <w:start w:val="6"/>
    </w:lvl>
    <w:lvl w:ilvl="1">
      <w:lvlJc w:val="left"/>
      <w:lvlText w:val="%2"/>
      <w:numFmt w:val="lowerLetter"/>
      <w:start w:val="1"/>
    </w:lvl>
  </w:abstractNum>
  <w:abstractNum w:abstractNumId="18">
    <w:nsid w:val="75486E47"/>
    <w:multiLevelType w:val="hybridMultilevel"/>
    <w:lvl w:ilvl="0">
      <w:lvlJc w:val="left"/>
      <w:lvlText w:val="(%1)"/>
      <w:numFmt w:val="lowerLetter"/>
      <w:start w:val="20"/>
    </w:lvl>
  </w:abstractNum>
  <w:abstractNum w:abstractNumId="19">
    <w:nsid w:val="6E534CDE"/>
    <w:multiLevelType w:val="hybridMultilevel"/>
    <w:lvl w:ilvl="0">
      <w:lvlJc w:val="left"/>
      <w:lvlText w:val="(%1)"/>
      <w:numFmt w:val="lowerLetter"/>
      <w:start w:val="23"/>
    </w:lvl>
  </w:abstractNum>
  <w:abstractNum w:abstractNumId="20">
    <w:nsid w:val="1A0DDE32"/>
    <w:multiLevelType w:val="hybridMultilevel"/>
    <w:lvl w:ilvl="0">
      <w:lvlJc w:val="left"/>
      <w:lvlText w:val="(%1)"/>
      <w:numFmt w:val="lowerLetter"/>
      <w:start w:val="26"/>
    </w:lvl>
  </w:abstractNum>
  <w:abstractNum w:abstractNumId="21">
    <w:nsid w:val="65968C1C"/>
    <w:multiLevelType w:val="hybridMultilevel"/>
    <w:lvl w:ilvl="0">
      <w:lvlJc w:val="left"/>
      <w:lvlText w:val="(%1)"/>
      <w:numFmt w:val="lowerLetter"/>
      <w:start w:val="27"/>
    </w:lvl>
  </w:abstractNum>
  <w:abstractNum w:abstractNumId="22">
    <w:nsid w:val="46263DEC"/>
    <w:multiLevelType w:val="hybridMultilevel"/>
    <w:lvl w:ilvl="0">
      <w:lvlJc w:val="left"/>
      <w:lvlText w:val="(%1)"/>
      <w:numFmt w:val="lowerLetter"/>
      <w:start w:val="29"/>
    </w:lvl>
  </w:abstractNum>
  <w:abstractNum w:abstractNumId="23">
    <w:nsid w:val="260D8C4A"/>
    <w:multiLevelType w:val="hybridMultilevel"/>
    <w:lvl w:ilvl="0">
      <w:lvlJc w:val="left"/>
      <w:lvlText w:val="(%1)"/>
      <w:numFmt w:val="lowerLetter"/>
      <w:start w:val="33"/>
    </w:lvl>
  </w:abstractNum>
  <w:abstractNum w:abstractNumId="24">
    <w:nsid w:val="73D4D3C4"/>
    <w:multiLevelType w:val="hybridMultilevel"/>
    <w:lvl w:ilvl="0">
      <w:lvlJc w:val="left"/>
      <w:lvlText w:val="%1."/>
      <w:numFmt w:val="decimal"/>
      <w:start w:val="4"/>
    </w:lvl>
    <w:lvl w:ilvl="1">
      <w:lvlJc w:val="left"/>
      <w:lvlText w:val="(%2)"/>
      <w:numFmt w:val="lowerLetter"/>
      <w:start w:val="1"/>
    </w:lvl>
  </w:abstractNum>
  <w:abstractNum w:abstractNumId="25">
    <w:nsid w:val="746F2E30"/>
    <w:multiLevelType w:val="hybridMultilevel"/>
    <w:lvl w:ilvl="0">
      <w:lvlJc w:val="left"/>
      <w:lvlText w:val="(%1)"/>
      <w:numFmt w:val="lowerLetter"/>
      <w:start w:val="4"/>
    </w:lvl>
  </w:abstractNum>
  <w:abstractNum w:abstractNumId="26">
    <w:nsid w:val="6FDE8AF6"/>
    <w:multiLevelType w:val="hybridMultilevel"/>
    <w:lvl w:ilvl="0">
      <w:lvlJc w:val="left"/>
      <w:lvlText w:val="(%1)"/>
      <w:numFmt w:val="lowerLetter"/>
      <w:start w:val="8"/>
    </w:lvl>
  </w:abstractNum>
  <w:abstractNum w:abstractNumId="27">
    <w:nsid w:val="3FC32E20"/>
    <w:multiLevelType w:val="hybridMultilevel"/>
    <w:lvl w:ilvl="0">
      <w:lvlJc w:val="left"/>
      <w:lvlText w:val="(%1)"/>
      <w:numFmt w:val="lowerLetter"/>
      <w:start w:val="10"/>
    </w:lvl>
  </w:abstractNum>
  <w:abstractNum w:abstractNumId="28">
    <w:nsid w:val="49C0E823"/>
    <w:multiLevelType w:val="hybridMultilevel"/>
    <w:lvl w:ilvl="0">
      <w:lvlJc w:val="left"/>
      <w:lvlText w:val="(%1)"/>
      <w:numFmt w:val="upperLetter"/>
      <w:start w:val="1"/>
    </w:lvl>
    <w:lvl w:ilvl="1">
      <w:lvlJc w:val="left"/>
      <w:lvlText w:val="(%2)"/>
      <w:numFmt w:val="lowerLetter"/>
      <w:start w:val="12"/>
    </w:lvl>
  </w:abstractNum>
  <w:abstractNum w:abstractNumId="29">
    <w:nsid w:val="14D53685"/>
    <w:multiLevelType w:val="hybridMultilevel"/>
    <w:lvl w:ilvl="0">
      <w:lvlJc w:val="left"/>
      <w:lvlText w:val="(%1)"/>
      <w:numFmt w:val="lowerLetter"/>
      <w:start w:val="15"/>
    </w:lvl>
    <w:lvl w:ilvl="1">
      <w:lvlJc w:val="left"/>
      <w:lvlText w:val="(%2)"/>
      <w:numFmt w:val="lowerRoman"/>
      <w:start w:val="1"/>
    </w:lvl>
  </w:abstractNum>
  <w:abstractNum w:abstractNumId="30">
    <w:nsid w:val="230F856C"/>
    <w:multiLevelType w:val="hybridMultilevel"/>
    <w:lvl w:ilvl="0">
      <w:lvlJc w:val="left"/>
      <w:lvlText w:val="(%1)"/>
      <w:numFmt w:val="lowerRoman"/>
      <w:start w:val="3"/>
    </w:lvl>
  </w:abstractNum>
  <w:abstractNum w:abstractNumId="31">
    <w:nsid w:val="6EAA85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32">
    <w:nsid w:val="3F06ECB2"/>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33">
    <w:nsid w:val="3B594807"/>
    <w:multiLevelType w:val="hybridMultilevel"/>
    <w:lvl w:ilvl="0">
      <w:lvlJc w:val="left"/>
      <w:lvlText w:val="(%1)"/>
      <w:numFmt w:val="lowerLetter"/>
      <w:start w:val="16"/>
    </w:lvl>
    <w:lvl w:ilvl="1">
      <w:lvlJc w:val="left"/>
      <w:lvlText w:val="%2"/>
      <w:numFmt w:val="lowerLetter"/>
      <w:start w:val="1"/>
    </w:lvl>
    <w:lvl w:ilvl="2">
      <w:lvlJc w:val="left"/>
      <w:lvlText w:val="%3"/>
      <w:numFmt w:val="lowerRoman"/>
      <w:start w:val="1"/>
    </w:lvl>
  </w:abstractNum>
  <w:abstractNum w:abstractNumId="34">
    <w:nsid w:val="6CAA230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5">
    <w:nsid w:val="3F7C2FF4"/>
    <w:multiLevelType w:val="hybridMultilevel"/>
    <w:lvl w:ilvl="0">
      <w:lvlJc w:val="left"/>
      <w:lvlText w:val="(%1)"/>
      <w:numFmt w:val="lowerLetter"/>
      <w:start w:val="3"/>
    </w:lvl>
  </w:abstractNum>
  <w:abstractNum w:abstractNumId="36">
    <w:nsid w:val="25413BEC"/>
    <w:multiLevelType w:val="hybridMultilevel"/>
    <w:lvl w:ilvl="0">
      <w:lvlJc w:val="left"/>
      <w:lvlText w:val="(%1)"/>
      <w:numFmt w:val="lowerLetter"/>
      <w:start w:val="4"/>
    </w:lvl>
  </w:abstractNum>
  <w:abstractNum w:abstractNumId="37">
    <w:nsid w:val="17180B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38">
    <w:nsid w:val="579328B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9">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11CCA8B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
    <w:nsid w:val="4D32AB86"/>
    <w:multiLevelType w:val="hybridMultilevel"/>
    <w:lvl w:ilvl="0">
      <w:lvlJc w:val="left"/>
      <w:lvlText w:val="(%1)"/>
      <w:numFmt w:val="lowerRoman"/>
      <w:start w:val="5"/>
    </w:lvl>
  </w:abstractNum>
  <w:abstractNum w:abstractNumId="42">
    <w:nsid w:val="3F07ACC3"/>
    <w:multiLevelType w:val="hybridMultilevel"/>
    <w:lvl w:ilvl="0">
      <w:lvlJc w:val="left"/>
      <w:lvlText w:val="%1"/>
      <w:numFmt w:val="lowerRoman"/>
      <w:start w:val="1"/>
    </w:lvl>
    <w:lvl w:ilvl="1">
      <w:lvlJc w:val="left"/>
      <w:lvlText w:val="(%2)"/>
      <w:numFmt w:val="lowerRoman"/>
      <w:start w:val="13"/>
    </w:lvl>
  </w:abstractNum>
  <w:abstractNum w:abstractNumId="43">
    <w:nsid w:val="6B47F63E"/>
    <w:multiLevelType w:val="hybridMultilevel"/>
    <w:lvl w:ilvl="0">
      <w:lvlJc w:val="left"/>
      <w:lvlText w:val="(%1)"/>
      <w:numFmt w:val="lowerRoman"/>
      <w:start w:val="1"/>
    </w:lvl>
    <w:lvl w:ilvl="1">
      <w:lvlJc w:val="left"/>
      <w:lvlText w:val="(%2)"/>
      <w:numFmt w:val="lowerRoman"/>
      <w:start w:val="18"/>
    </w:lvl>
  </w:abstractNum>
  <w:abstractNum w:abstractNumId="44">
    <w:nsid w:val="5CB44A05"/>
    <w:multiLevelType w:val="hybridMultilevel"/>
    <w:lvl w:ilvl="0">
      <w:lvlJc w:val="left"/>
      <w:lvlText w:val="%1"/>
      <w:numFmt w:val="decimal"/>
      <w:start w:val="1"/>
    </w:lvl>
    <w:lvl w:ilvl="1">
      <w:lvlJc w:val="left"/>
      <w:lvlText w:val="(%2)"/>
      <w:numFmt w:val="lowerRoman"/>
      <w:start w:val="20"/>
    </w:lvl>
  </w:abstractNum>
  <w:abstractNum w:abstractNumId="45">
    <w:nsid w:val="16CF80F1"/>
    <w:multiLevelType w:val="hybridMultilevel"/>
    <w:lvl w:ilvl="0">
      <w:lvlJc w:val="left"/>
      <w:lvlText w:val="%1."/>
      <w:numFmt w:val="decimal"/>
      <w:start w:val="8"/>
    </w:lvl>
    <w:lvl w:ilvl="1">
      <w:lvlJc w:val="left"/>
      <w:lvlText w:val="%2"/>
      <w:numFmt w:val="lowerRoman"/>
      <w:start w:val="1"/>
    </w:lvl>
  </w:abstractNum>
  <w:abstractNum w:abstractNumId="46">
    <w:nsid w:val="1C695DEC"/>
    <w:multiLevelType w:val="hybridMultilevel"/>
    <w:lvl w:ilvl="0">
      <w:lvlJc w:val="left"/>
      <w:lvlText w:val="%1."/>
      <w:numFmt w:val="decimal"/>
      <w:start w:val="9"/>
    </w:lvl>
    <w:lvl w:ilvl="1">
      <w:lvlJc w:val="left"/>
      <w:lvlText w:val="(%2)"/>
      <w:numFmt w:val="lowerLetter"/>
      <w:start w:val="1"/>
    </w:lvl>
  </w:abstractNum>
  <w:abstractNum w:abstractNumId="47">
    <w:nsid w:val="3FCFAED9"/>
    <w:multiLevelType w:val="hybridMultilevel"/>
    <w:lvl w:ilvl="0">
      <w:lvlJc w:val="left"/>
      <w:lvlText w:val="."/>
      <w:numFmt w:val="bullet"/>
      <w:start w:val="1"/>
    </w:lvl>
  </w:abstractNum>
  <w:abstractNum w:abstractNumId="48">
    <w:nsid w:val="F856867"/>
    <w:multiLevelType w:val="hybridMultilevel"/>
    <w:lvl w:ilvl="0">
      <w:lvlJc w:val="left"/>
      <w:lvlText w:val="(%1)"/>
      <w:numFmt w:val="lowerLetter"/>
      <w:start w:val="2"/>
    </w:lvl>
  </w:abstractNum>
  <w:abstractNum w:abstractNumId="49">
    <w:nsid w:val="11B1CC33"/>
    <w:multiLevelType w:val="hybridMultilevel"/>
    <w:lvl w:ilvl="0">
      <w:lvlJc w:val="left"/>
      <w:lvlText w:val="(%1)"/>
      <w:numFmt w:val="lowerLetter"/>
      <w:start w:val="5"/>
    </w:lvl>
  </w:abstractNum>
  <w:abstractNum w:abstractNumId="50">
    <w:nsid w:val="2E22FBB7"/>
    <w:multiLevelType w:val="hybridMultilevel"/>
    <w:lvl w:ilvl="0">
      <w:lvlJc w:val="left"/>
      <w:lvlText w:val="(%1)"/>
      <w:numFmt w:val="lowerLetter"/>
      <w:start w:val="7"/>
    </w:lvl>
  </w:abstractNum>
  <w:abstractNum w:abstractNumId="51">
    <w:nsid w:val="29934699"/>
    <w:multiLevelType w:val="hybridMultilevel"/>
    <w:lvl w:ilvl="0">
      <w:lvlJc w:val="left"/>
      <w:lvlText w:val="(%1)"/>
      <w:numFmt w:val="lowerLetter"/>
      <w:start w:val="12"/>
    </w:lvl>
  </w:abstractNum>
  <w:abstractNum w:abstractNumId="52">
    <w:nsid w:val="77485850"/>
    <w:multiLevelType w:val="hybridMultilevel"/>
    <w:lvl w:ilvl="0">
      <w:lvlJc w:val="left"/>
      <w:lvlText w:val="(%1)"/>
      <w:numFmt w:val="lowerLetter"/>
      <w:start w:val="16"/>
    </w:lvl>
  </w:abstractNum>
  <w:abstractNum w:abstractNumId="53">
    <w:nsid w:val="744939A3"/>
    <w:multiLevelType w:val="hybridMultilevel"/>
    <w:lvl w:ilvl="0">
      <w:lvlJc w:val="left"/>
      <w:lvlText w:val="(%1)"/>
      <w:numFmt w:val="lowerLetter"/>
      <w:start w:val="17"/>
    </w:lvl>
    <w:lvl w:ilvl="1">
      <w:lvlJc w:val="left"/>
      <w:lvlText w:val="(%2)"/>
      <w:numFmt w:val="lowerRoman"/>
      <w:start w:val="1"/>
    </w:lvl>
  </w:abstractNum>
  <w:abstractNum w:abstractNumId="54">
    <w:nsid w:val="4FA0D2E3"/>
    <w:multiLevelType w:val="hybridMultilevel"/>
    <w:lvl w:ilvl="0">
      <w:lvlJc w:val="left"/>
      <w:lvlText w:val="(%1)"/>
      <w:numFmt w:val="lowerRoman"/>
      <w:start w:val="2"/>
    </w:lvl>
  </w:abstractNum>
  <w:abstractNum w:abstractNumId="55">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68B867D3"/>
    <w:multiLevelType w:val="hybridMultilevel"/>
    <w:lvl w:ilvl="0">
      <w:lvlJc w:val="left"/>
      <w:lvlText w:val="(%1)"/>
      <w:numFmt w:val="lowerLetter"/>
      <w:start w:val="3"/>
    </w:lvl>
    <w:lvl w:ilvl="1">
      <w:lvlJc w:val="left"/>
      <w:lvlText w:val="(%2)"/>
      <w:numFmt w:val="lowerRoman"/>
      <w:start w:val="1"/>
    </w:lvl>
  </w:abstractNum>
  <w:abstractNum w:abstractNumId="57">
    <w:nsid w:val="3F7F5DD9"/>
    <w:multiLevelType w:val="hybridMultilevel"/>
    <w:lvl w:ilvl="0">
      <w:lvlJc w:val="left"/>
      <w:lvlText w:val="(%1)"/>
      <w:numFmt w:val="lowerRoman"/>
      <w:start w:val="3"/>
    </w:lvl>
  </w:abstractNum>
  <w:abstractNum w:abstractNumId="58">
    <w:nsid w:val="2AE05A34"/>
    <w:multiLevelType w:val="hybridMultilevel"/>
    <w:lvl w:ilvl="0">
      <w:lvlJc w:val="left"/>
      <w:lvlText w:val="%1"/>
      <w:numFmt w:val="lowerLetter"/>
      <w:start w:val="1"/>
    </w:lvl>
    <w:lvl w:ilvl="1">
      <w:lvlJc w:val="left"/>
      <w:lvlText w:val="(%2)"/>
      <w:numFmt w:val="lowerRoman"/>
      <w:start w:val="4"/>
    </w:lvl>
  </w:abstractNum>
  <w:abstractNum w:abstractNumId="59">
    <w:nsid w:val="32794FF7"/>
    <w:multiLevelType w:val="hybridMultilevel"/>
    <w:lvl w:ilvl="0">
      <w:lvlJc w:val="left"/>
      <w:lvlText w:val="(%1)"/>
      <w:numFmt w:val="lowerLetter"/>
      <w:start w:val="4"/>
    </w:lvl>
    <w:lvl w:ilvl="1">
      <w:lvlJc w:val="left"/>
      <w:lvlText w:val="%2"/>
      <w:numFmt w:val="lowerRoman"/>
      <w:start w:val="1"/>
    </w:lvl>
  </w:abstractNum>
  <w:abstractNum w:abstractNumId="60">
    <w:nsid w:val="545494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1">
    <w:nsid w:val="4DEFDFA0"/>
    <w:multiLevelType w:val="hybridMultilevel"/>
    <w:lvl w:ilvl="0">
      <w:lvlJc w:val="left"/>
      <w:lvlText w:val="%1"/>
      <w:numFmt w:val="upperLetter"/>
      <w:start w:val="1"/>
    </w:lvl>
    <w:lvl w:ilvl="1">
      <w:lvlJc w:val="left"/>
      <w:lvlText w:val="(%2)"/>
      <w:numFmt w:val="lowerRoman"/>
      <w:start w:val="5"/>
    </w:lvl>
  </w:abstractNum>
  <w:abstractNum w:abstractNumId="62">
    <w:nsid w:val="2123D5F2"/>
    <w:multiLevelType w:val="hybridMultilevel"/>
    <w:lvl w:ilvl="0">
      <w:lvlJc w:val="left"/>
      <w:lvlText w:val="(%1)"/>
      <w:numFmt w:val="upperLetter"/>
      <w:start w:val="2"/>
    </w:lvl>
    <w:lvl w:ilvl="1">
      <w:lvlJc w:val="left"/>
      <w:lvlText w:val="(%2)"/>
      <w:numFmt w:val="lowerRoman"/>
      <w:start w:val="9"/>
    </w:lvl>
  </w:abstractNum>
  <w:abstractNum w:abstractNumId="63">
    <w:nsid w:val="135B8110"/>
    <w:multiLevelType w:val="hybridMultilevel"/>
    <w:lvl w:ilvl="0">
      <w:lvlJc w:val="left"/>
      <w:lvlText w:val="(%1)"/>
      <w:numFmt w:val="lowerRoman"/>
      <w:start w:val="11"/>
    </w:lvl>
  </w:abstractNum>
  <w:abstractNum w:abstractNumId="64">
    <w:nsid w:val="94927A8"/>
    <w:multiLevelType w:val="hybridMultilevel"/>
    <w:lvl w:ilvl="0">
      <w:lvlJc w:val="left"/>
      <w:lvlText w:val="(%1)"/>
      <w:numFmt w:val="lowerRoman"/>
      <w:start w:val="14"/>
    </w:lvl>
  </w:abstractNum>
  <w:abstractNum w:abstractNumId="65">
    <w:nsid w:val="DCDF8F6"/>
    <w:multiLevelType w:val="hybridMultilevel"/>
    <w:lvl w:ilvl="0">
      <w:lvlJc w:val="left"/>
      <w:lvlText w:val="%1"/>
      <w:numFmt w:val="lowerLetter"/>
      <w:start w:val="1"/>
    </w:lvl>
    <w:lvl w:ilvl="1">
      <w:lvlJc w:val="left"/>
      <w:lvlText w:val="(%2)"/>
      <w:numFmt w:val="lowerRoman"/>
      <w:start w:val="22"/>
    </w:lvl>
  </w:abstractNum>
  <w:abstractNum w:abstractNumId="66">
    <w:nsid w:val="52D7B105"/>
    <w:multiLevelType w:val="hybridMultilevel"/>
    <w:lvl w:ilvl="0">
      <w:lvlJc w:val="left"/>
      <w:lvlText w:val="(%1)"/>
      <w:numFmt w:val="lowerLetter"/>
      <w:start w:val="2"/>
    </w:lvl>
    <w:lvl w:ilvl="1">
      <w:lvlJc w:val="left"/>
      <w:lvlText w:val="%2"/>
      <w:numFmt w:val="lowerRoman"/>
      <w:start w:val="1"/>
    </w:lvl>
  </w:abstractNum>
  <w:abstractNum w:abstractNumId="67">
    <w:nsid w:val="2E8A6394"/>
    <w:multiLevelType w:val="hybridMultilevel"/>
    <w:lvl w:ilvl="0">
      <w:lvlJc w:val="left"/>
      <w:lvlText w:val="%1."/>
      <w:numFmt w:val="decimal"/>
      <w:start w:val="5"/>
    </w:lvl>
    <w:lvl w:ilvl="1">
      <w:lvlJc w:val="left"/>
      <w:lvlText w:val="(%2)"/>
      <w:numFmt w:val="lowerLetter"/>
      <w:start w:val="1"/>
    </w:lvl>
  </w:abstractNum>
  <w:abstractNum w:abstractNumId="68">
    <w:nsid w:val="24E60401"/>
    <w:multiLevelType w:val="hybridMultilevel"/>
    <w:lvl w:ilvl="0">
      <w:lvlJc w:val="left"/>
      <w:lvlText w:val="(%1)"/>
      <w:numFmt w:val="lowerLetter"/>
      <w:start w:val="2"/>
    </w:lvl>
  </w:abstractNum>
  <w:abstractNum w:abstractNumId="69">
    <w:nsid w:val="2A6AD9BE"/>
    <w:multiLevelType w:val="hybridMultilevel"/>
    <w:lvl w:ilvl="0">
      <w:lvlJc w:val="left"/>
      <w:lvlText w:val="%1."/>
      <w:numFmt w:val="decimal"/>
      <w:start w:val="6"/>
    </w:lvl>
    <w:lvl w:ilvl="1">
      <w:lvlJc w:val="left"/>
      <w:lvlText w:val="(%2)"/>
      <w:numFmt w:val="lowerLetter"/>
      <w:start w:val="1"/>
    </w:lvl>
  </w:abstractNum>
  <w:abstractNum w:abstractNumId="70">
    <w:nsid w:val="BAAC1B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71">
    <w:nsid w:val="36B2ACBC"/>
    <w:multiLevelType w:val="hybridMultilevel"/>
    <w:lvl w:ilvl="0">
      <w:lvlJc w:val="left"/>
      <w:lvlText w:val="(%1)"/>
      <w:numFmt w:val="lowerRoman"/>
      <w:start w:val="2"/>
    </w:lvl>
  </w:abstractNum>
  <w:abstractNum w:abstractNumId="72">
    <w:nsid w:val="779D8544"/>
    <w:multiLevelType w:val="hybridMultilevel"/>
    <w:lvl w:ilvl="0">
      <w:lvlJc w:val="left"/>
      <w:lvlText w:val="%1"/>
      <w:numFmt w:val="upperLetter"/>
      <w:start w:val="1"/>
    </w:lvl>
    <w:lvl w:ilvl="1">
      <w:lvlJc w:val="left"/>
      <w:lvlText w:val="(%2)"/>
      <w:numFmt w:val="lowerRoman"/>
      <w:start w:val="4"/>
    </w:lvl>
  </w:abstractNum>
  <w:abstractNum w:abstractNumId="73">
    <w:nsid w:val="4AB26E78"/>
    <w:multiLevelType w:val="hybridMultilevel"/>
    <w:lvl w:ilvl="0">
      <w:lvlJc w:val="left"/>
      <w:lvlText w:val="(%1)"/>
      <w:numFmt w:val="upperLetter"/>
      <w:start w:val="1"/>
    </w:lvl>
    <w:lvl w:ilvl="1">
      <w:lvlJc w:val="left"/>
      <w:lvlText w:val="%2"/>
      <w:numFmt w:val="lowerRoman"/>
      <w:start w:val="1"/>
    </w:lvl>
  </w:abstractNum>
  <w:abstractNum w:abstractNumId="74">
    <w:nsid w:val="21FAA2FA"/>
    <w:multiLevelType w:val="hybridMultilevel"/>
    <w:lvl w:ilvl="0">
      <w:lvlJc w:val="left"/>
      <w:lvlText w:val="%1"/>
      <w:numFmt w:val="decimal"/>
      <w:start w:val="1"/>
    </w:lvl>
    <w:lvl w:ilvl="1">
      <w:lvlJc w:val="left"/>
      <w:lvlText w:val="(%2)"/>
      <w:numFmt w:val="lowerLetter"/>
      <w:start w:val="2"/>
    </w:lvl>
  </w:abstractNum>
  <w:abstractNum w:abstractNumId="75">
    <w:nsid w:val="5451CF49"/>
    <w:multiLevelType w:val="hybridMultilevel"/>
    <w:lvl w:ilvl="0">
      <w:lvlJc w:val="left"/>
      <w:lvlText w:val="%1."/>
      <w:numFmt w:val="decimal"/>
      <w:start w:val="8"/>
    </w:lvl>
    <w:lvl w:ilvl="1">
      <w:lvlJc w:val="left"/>
      <w:lvlText w:val="(%2)"/>
      <w:numFmt w:val="lowerLetter"/>
      <w:start w:val="1"/>
    </w:lvl>
  </w:abstractNum>
  <w:abstractNum w:abstractNumId="76">
    <w:nsid w:val="6181EF69"/>
    <w:multiLevelType w:val="hybridMultilevel"/>
    <w:lvl w:ilvl="0">
      <w:lvlJc w:val="left"/>
      <w:lvlText w:val="(%1)"/>
      <w:numFmt w:val="lowerLetter"/>
      <w:start w:val="2"/>
    </w:lvl>
  </w:abstractNum>
  <w:abstractNum w:abstractNumId="77">
    <w:nsid w:val="3E6400E6"/>
    <w:multiLevelType w:val="hybridMultilevel"/>
    <w:lvl w:ilvl="0">
      <w:lvlJc w:val="left"/>
      <w:lvlText w:val="%1"/>
      <w:numFmt w:val="decimal"/>
      <w:start w:val="1"/>
    </w:lvl>
    <w:lvl w:ilvl="1">
      <w:lvlJc w:val="left"/>
      <w:lvlText w:val="(%2)"/>
      <w:numFmt w:val="lowerLetter"/>
      <w:start w:val="3"/>
    </w:lvl>
  </w:abstractNum>
  <w:abstractNum w:abstractNumId="78">
    <w:nsid w:val="14217E23"/>
    <w:multiLevelType w:val="hybridMultilevel"/>
    <w:lvl w:ilvl="0">
      <w:lvlJc w:val="left"/>
      <w:lvlText w:val="%1."/>
      <w:numFmt w:val="decimal"/>
      <w:start w:val="9"/>
    </w:lvl>
    <w:lvl w:ilvl="1">
      <w:lvlJc w:val="left"/>
      <w:lvlText w:val="%2"/>
      <w:numFmt w:val="lowerLetter"/>
      <w:start w:val="1"/>
    </w:lvl>
  </w:abstractNum>
  <w:abstractNum w:abstractNumId="79">
    <w:nsid w:val="710757D0"/>
    <w:multiLevelType w:val="hybridMultilevel"/>
    <w:lvl w:ilvl="0">
      <w:lvlJc w:val="left"/>
      <w:lvlText w:val="%1."/>
      <w:numFmt w:val="decimal"/>
      <w:start w:val="10"/>
    </w:lvl>
    <w:lvl w:ilvl="1">
      <w:lvlJc w:val="left"/>
      <w:lvlText w:val="(%2)"/>
      <w:numFmt w:val="lowerLetter"/>
      <w:start w:val="1"/>
    </w:lvl>
  </w:abstractNum>
  <w:abstractNum w:abstractNumId="80">
    <w:nsid w:val="5015CD1A"/>
    <w:multiLevelType w:val="hybridMultilevel"/>
    <w:lvl w:ilvl="0">
      <w:lvlJc w:val="left"/>
      <w:lvlText w:val="%1."/>
      <w:numFmt w:val="decimal"/>
      <w:start w:val="11"/>
    </w:lvl>
    <w:lvl w:ilvl="1">
      <w:lvlJc w:val="left"/>
      <w:lvlText w:val="(%2)"/>
      <w:numFmt w:val="lowerLetter"/>
      <w:start w:val="1"/>
    </w:lvl>
  </w:abstractNum>
  <w:abstractNum w:abstractNumId="81">
    <w:nsid w:val="424479DA"/>
    <w:multiLevelType w:val="hybridMultilevel"/>
    <w:lvl w:ilvl="0">
      <w:lvlJc w:val="left"/>
      <w:lvlText w:val="%1."/>
      <w:numFmt w:val="decimal"/>
      <w:start w:val="12"/>
    </w:lvl>
    <w:lvl w:ilvl="1">
      <w:lvlJc w:val="left"/>
      <w:lvlText w:val="(%2)"/>
      <w:numFmt w:val="lowerLetter"/>
      <w:start w:val="1"/>
    </w:lvl>
  </w:abstractNum>
  <w:abstractNum w:abstractNumId="82">
    <w:nsid w:val="1A9A9E69"/>
    <w:multiLevelType w:val="hybridMultilevel"/>
    <w:lvl w:ilvl="0">
      <w:lvlJc w:val="left"/>
      <w:lvlText w:val="%1"/>
      <w:numFmt w:val="decimal"/>
      <w:start w:val="1"/>
    </w:lvl>
    <w:lvl w:ilvl="1">
      <w:lvlJc w:val="left"/>
      <w:lvlText w:val="(%2)"/>
      <w:numFmt w:val="lowerLetter"/>
      <w:start w:val="6"/>
    </w:lvl>
  </w:abstractNum>
  <w:abstractNum w:abstractNumId="83">
    <w:nsid w:val="475E256A"/>
    <w:multiLevelType w:val="hybridMultilevel"/>
    <w:lvl w:ilvl="0">
      <w:lvlJc w:val="left"/>
      <w:lvlText w:val="(%1)"/>
      <w:numFmt w:val="decimal"/>
      <w:start w:val="1"/>
    </w:lvl>
    <w:lvl w:ilvl="1">
      <w:lvlJc w:val="left"/>
      <w:lvlText w:val="(%2)"/>
      <w:numFmt w:val="lowerLetter"/>
      <w:start w:val="7"/>
    </w:lvl>
  </w:abstractNum>
  <w:abstractNum w:abstractNumId="84">
    <w:nsid w:val="368DB37E"/>
    <w:multiLevelType w:val="hybridMultilevel"/>
    <w:lvl w:ilvl="0">
      <w:lvlJc w:val="left"/>
      <w:lvlText w:val="%1."/>
      <w:numFmt w:val="decimal"/>
      <w:start w:val="14"/>
    </w:lvl>
    <w:lvl w:ilvl="1">
      <w:lvlJc w:val="left"/>
      <w:lvlText w:val="(%2)"/>
      <w:numFmt w:val="lowerLetter"/>
      <w:start w:val="1"/>
    </w:lvl>
  </w:abstractNum>
  <w:abstractNum w:abstractNumId="85">
    <w:nsid w:val="6A3B714C"/>
    <w:multiLevelType w:val="hybridMultilevel"/>
    <w:lvl w:ilvl="0">
      <w:lvlJc w:val="left"/>
      <w:lvlText w:val="%1"/>
      <w:numFmt w:val="lowerLetter"/>
      <w:start w:val="1"/>
    </w:lvl>
    <w:lvl w:ilvl="1">
      <w:lvlJc w:val="left"/>
      <w:lvlText w:val="(%2)"/>
      <w:numFmt w:val="lowerLetter"/>
      <w:start w:val="2"/>
    </w:lvl>
  </w:abstractNum>
  <w:abstractNum w:abstractNumId="86">
    <w:nsid w:val="327B517E"/>
    <w:multiLevelType w:val="hybridMultilevel"/>
    <w:lvl w:ilvl="0">
      <w:lvlJc w:val="left"/>
      <w:lvlText w:val="(%1)"/>
      <w:numFmt w:val="lowerLetter"/>
      <w:start w:val="9"/>
    </w:lvl>
    <w:lvl w:ilvl="1">
      <w:lvlJc w:val="left"/>
      <w:lvlText w:val="%2"/>
      <w:numFmt w:val="lowerLetter"/>
      <w:start w:val="1"/>
    </w:lvl>
  </w:abstractNum>
  <w:abstractNum w:abstractNumId="87">
    <w:nsid w:val="1F461B51"/>
    <w:multiLevelType w:val="hybridMultilevel"/>
    <w:lvl w:ilvl="0">
      <w:lvlJc w:val="left"/>
      <w:lvlText w:val="%1."/>
      <w:numFmt w:val="decimal"/>
      <w:start w:val="19"/>
    </w:lvl>
  </w:abstractNum>
  <w:abstractNum w:abstractNumId="88">
    <w:nsid w:val="29BACF25"/>
    <w:multiLevelType w:val="hybridMultilevel"/>
    <w:lvl w:ilvl="0">
      <w:lvlJc w:val="left"/>
      <w:lvlText w:val="%1."/>
      <w:numFmt w:val="decimal"/>
      <w:start w:val="20"/>
    </w:lvl>
  </w:abstractNum>
  <w:abstractNum w:abstractNumId="89">
    <w:nsid w:val="5D5BABB3"/>
    <w:multiLevelType w:val="hybridMultilevel"/>
    <w:lvl w:ilvl="0">
      <w:lvlJc w:val="left"/>
      <w:lvlText w:val="%1."/>
      <w:numFmt w:val="decimal"/>
      <w:start w:val="24"/>
    </w:lvl>
    <w:lvl w:ilvl="1">
      <w:lvlJc w:val="left"/>
      <w:lvlText w:val="(%2)"/>
      <w:numFmt w:val="lowerLetter"/>
      <w:start w:val="1"/>
    </w:lvl>
  </w:abstractNum>
  <w:abstractNum w:abstractNumId="90">
    <w:nsid w:val="51BF6B48"/>
    <w:multiLevelType w:val="hybridMultilevel"/>
    <w:lvl w:ilvl="0">
      <w:lvlJc w:val="left"/>
      <w:lvlText w:val="%1."/>
      <w:numFmt w:val="decimal"/>
      <w:start w:val="25"/>
    </w:lvl>
    <w:lvl w:ilvl="1">
      <w:lvlJc w:val="left"/>
      <w:lvlText w:val="(%2)"/>
      <w:numFmt w:val="lowerLetter"/>
      <w:start w:val="1"/>
    </w:lvl>
  </w:abstractNum>
  <w:abstractNum w:abstractNumId="91">
    <w:nsid w:val="7E0F6384"/>
    <w:multiLevelType w:val="hybridMultilevel"/>
    <w:lvl w:ilvl="0">
      <w:lvlJc w:val="left"/>
      <w:lvlText w:val="(%1)"/>
      <w:numFmt w:val="lowerLetter"/>
      <w:start w:val="3"/>
    </w:lvl>
  </w:abstractNum>
  <w:abstractNum w:abstractNumId="92">
    <w:nsid w:val="2B4B8B53"/>
    <w:multiLevelType w:val="hybridMultilevel"/>
    <w:lvl w:ilvl="0">
      <w:lvlJc w:val="left"/>
      <w:lvlText w:val="(%1)"/>
      <w:numFmt w:val="lowerLetter"/>
      <w:start w:val="7"/>
    </w:lvl>
  </w:abstractNum>
  <w:abstractNum w:abstractNumId="93">
    <w:nsid w:val="72E3413A"/>
    <w:multiLevelType w:val="hybridMultilevel"/>
    <w:lvl w:ilvl="0">
      <w:lvlJc w:val="left"/>
      <w:lvlText w:val="(%1)"/>
      <w:numFmt w:val="lowerLetter"/>
      <w:start w:val="16"/>
    </w:lvl>
  </w:abstractNum>
  <w:abstractNum w:abstractNumId="94">
    <w:nsid w:val="116AE494"/>
    <w:multiLevelType w:val="hybridMultilevel"/>
    <w:lvl w:ilvl="0">
      <w:lvlJc w:val="left"/>
      <w:lvlText w:val="%1"/>
      <w:numFmt w:val="lowerLetter"/>
      <w:start w:val="1"/>
    </w:lvl>
    <w:lvl w:ilvl="1">
      <w:lvlJc w:val="left"/>
      <w:lvlText w:val="(%2)"/>
      <w:numFmt w:val="lowerLetter"/>
      <w:start w:val="20"/>
    </w:lvl>
  </w:abstractNum>
  <w:abstractNum w:abstractNumId="95">
    <w:nsid w:val="3494B2FB"/>
    <w:multiLevelType w:val="hybridMultilevel"/>
    <w:lvl w:ilvl="0">
      <w:lvlJc w:val="left"/>
      <w:lvlText w:val="(%1)"/>
      <w:numFmt w:val="lowerLetter"/>
      <w:start w:val="9"/>
    </w:lvl>
    <w:lvl w:ilvl="1">
      <w:lvlJc w:val="left"/>
      <w:lvlText w:val="%2"/>
      <w:numFmt w:val="lowerLetter"/>
      <w:start w:val="1"/>
    </w:lvl>
  </w:abstractNum>
  <w:abstractNum w:abstractNumId="96">
    <w:nsid w:val="B13A31"/>
    <w:multiLevelType w:val="hybridMultilevel"/>
    <w:lvl w:ilvl="0">
      <w:lvlJc w:val="left"/>
      <w:lvlText w:val="%1"/>
      <w:numFmt w:val="lowerRoman"/>
      <w:start w:val="1"/>
    </w:lvl>
    <w:lvl w:ilvl="1">
      <w:lvlJc w:val="left"/>
      <w:lvlText w:val="(%2)"/>
      <w:numFmt w:val="lowerLetter"/>
      <w:start w:val="27"/>
    </w:lvl>
  </w:abstractNum>
  <w:abstractNum w:abstractNumId="97">
    <w:nsid w:val="64429599"/>
    <w:multiLevelType w:val="hybridMultilevel"/>
    <w:lvl w:ilvl="0">
      <w:lvlJc w:val="left"/>
      <w:lvlText w:val="(%1)"/>
      <w:numFmt w:val="lowerRoman"/>
      <w:start w:val="6"/>
    </w:lvl>
    <w:lvl w:ilvl="1">
      <w:lvlJc w:val="left"/>
      <w:lvlText w:val="(%2)"/>
      <w:numFmt w:val="lowerLetter"/>
      <w:start w:val="32"/>
    </w:lvl>
  </w:abstractNum>
  <w:abstractNum w:abstractNumId="98">
    <w:nsid w:val="631F1690"/>
    <w:multiLevelType w:val="hybridMultilevel"/>
    <w:lvl w:ilvl="0">
      <w:lvlJc w:val="left"/>
      <w:lvlText w:val="(%1)"/>
      <w:numFmt w:val="lowerLetter"/>
      <w:start w:val="34"/>
    </w:lvl>
  </w:abstractNum>
  <w:abstractNum w:abstractNumId="99">
    <w:nsid w:val="25973E32"/>
    <w:multiLevelType w:val="hybridMultilevel"/>
    <w:lvl w:ilvl="0">
      <w:lvlJc w:val="left"/>
      <w:lvlText w:val="(%1)"/>
      <w:numFmt w:val="lowerLetter"/>
      <w:start w:val="43"/>
    </w:lvl>
  </w:abstractNum>
  <w:abstractNum w:abstractNumId="100">
    <w:nsid w:val="EAD6F57"/>
    <w:multiLevelType w:val="hybridMultilevel"/>
    <w:lvl w:ilvl="0">
      <w:lvlJc w:val="left"/>
      <w:lvlText w:val="(%1)"/>
      <w:numFmt w:val="lowerLetter"/>
      <w:start w:val="52"/>
    </w:lvl>
  </w:abstractNum>
  <w:abstractNum w:abstractNumId="101">
    <w:nsid w:val="6EC9D844"/>
    <w:multiLevelType w:val="hybridMultilevel"/>
    <w:lvl w:ilvl="0">
      <w:lvlJc w:val="left"/>
      <w:lvlText w:val="%1"/>
      <w:numFmt w:val="decimal"/>
      <w:start w:val="1"/>
    </w:lvl>
    <w:lvl w:ilvl="1">
      <w:lvlJc w:val="left"/>
      <w:lvlText w:val="(%2)"/>
      <w:numFmt w:val="lowerLetter"/>
      <w:start w:val="53"/>
    </w:lvl>
  </w:abstractNum>
  <w:abstractNum w:abstractNumId="102">
    <w:nsid w:val="5C49EAEE"/>
    <w:multiLevelType w:val="hybridMultilevel"/>
    <w:lvl w:ilvl="0">
      <w:lvlJc w:val="left"/>
      <w:lvlText w:val="%1."/>
      <w:numFmt w:val="decimal"/>
      <w:start w:val="29"/>
    </w:lvl>
    <w:lvl w:ilvl="1">
      <w:lvlJc w:val="left"/>
      <w:lvlText w:val="%2"/>
      <w:numFmt w:val="lowerLetter"/>
      <w:start w:val="1"/>
    </w:lvl>
  </w:abstractNum>
  <w:abstractNum w:abstractNumId="103">
    <w:nsid w:val="64AF49B"/>
    <w:multiLevelType w:val="hybridMultilevel"/>
    <w:lvl w:ilvl="0">
      <w:lvlJc w:val="left"/>
      <w:lvlText w:val="%1."/>
      <w:numFmt w:val="decimal"/>
      <w:start w:val="30"/>
    </w:lvl>
  </w:abstractNum>
  <w:abstractNum w:abstractNumId="104">
    <w:nsid w:val="397C46BC"/>
    <w:multiLevelType w:val="hybridMultilevel"/>
    <w:lvl w:ilvl="0">
      <w:lvlJc w:val="left"/>
      <w:lvlText w:val="%1."/>
      <w:numFmt w:val="decimal"/>
      <w:start w:val="1"/>
    </w:lvl>
    <w:lvl w:ilvl="1">
      <w:lvlJc w:val="left"/>
      <w:lvlText w:val="(%2)"/>
      <w:numFmt w:val="lowerLetter"/>
      <w:start w:val="1"/>
    </w:lvl>
  </w:abstractNum>
  <w:abstractNum w:abstractNumId="105">
    <w:nsid w:val="7E448DE9"/>
    <w:multiLevelType w:val="hybridMultilevel"/>
    <w:lvl w:ilvl="0">
      <w:lvlJc w:val="left"/>
      <w:lvlText w:val="(%1)"/>
      <w:numFmt w:val="lowerLetter"/>
      <w:start w:val="4"/>
    </w:lvl>
  </w:abstractNum>
  <w:abstractNum w:abstractNumId="106">
    <w:nsid w:val="5A9CC3E5"/>
    <w:multiLevelType w:val="hybridMultilevel"/>
    <w:lvl w:ilvl="0">
      <w:lvlJc w:val="left"/>
      <w:lvlText w:val="(%1)"/>
      <w:numFmt w:val="lowerLetter"/>
      <w:start w:val="12"/>
    </w:lvl>
  </w:abstractNum>
  <w:abstractNum w:abstractNumId="107">
    <w:nsid w:val="1AFE3625"/>
    <w:multiLevelType w:val="hybridMultilevel"/>
    <w:lvl w:ilvl="0">
      <w:lvlJc w:val="left"/>
      <w:lvlText w:val="(%1)"/>
      <w:numFmt w:val="lowerLetter"/>
      <w:start w:val="21"/>
    </w:lvl>
  </w:abstractNum>
  <w:abstractNum w:abstractNumId="108">
    <w:nsid w:val="3CA88ECF"/>
    <w:multiLevelType w:val="hybridMultilevel"/>
    <w:lvl w:ilvl="0">
      <w:lvlJc w:val="left"/>
      <w:lvlText w:val="(%1)"/>
      <w:numFmt w:val="lowerLetter"/>
      <w:start w:val="27"/>
    </w:lvl>
  </w:abstractNum>
  <w:abstractNum w:abstractNumId="109">
    <w:nsid w:val="6EBE4208"/>
    <w:multiLevelType w:val="hybridMultilevel"/>
    <w:lvl w:ilvl="0">
      <w:lvlJc w:val="left"/>
      <w:lvlText w:val="(%1)"/>
      <w:numFmt w:val="lowerLetter"/>
      <w:start w:val="33"/>
    </w:lvl>
  </w:abstractNum>
  <w:abstractNum w:abstractNumId="110">
    <w:nsid w:val="C058DF5"/>
    <w:multiLevelType w:val="hybridMultilevel"/>
    <w:lvl w:ilvl="0">
      <w:lvlJc w:val="left"/>
      <w:lvlText w:val="(%1)"/>
      <w:numFmt w:val="lowerLetter"/>
      <w:start w:val="44"/>
    </w:lvl>
  </w:abstractNum>
  <w:abstractNum w:abstractNumId="111">
    <w:nsid w:val="CBE5BE9"/>
    <w:multiLevelType w:val="hybridMultilevel"/>
    <w:lvl w:ilvl="0">
      <w:lvlJc w:val="left"/>
      <w:lvlText w:val="%1"/>
      <w:numFmt w:val="decimal"/>
      <w:start w:val="1"/>
    </w:lvl>
    <w:lvl w:ilvl="1">
      <w:lvlJc w:val="left"/>
      <w:lvlText w:val="(%2)"/>
      <w:numFmt w:val="lowerLetter"/>
      <w:start w:val="53"/>
    </w:lvl>
  </w:abstractNum>
  <w:abstractNum w:abstractNumId="112">
    <w:nsid w:val="3102BBE2"/>
    <w:multiLevelType w:val="hybridMultilevel"/>
    <w:lvl w:ilvl="0">
      <w:lvlJc w:val="left"/>
      <w:lvlText w:val="%1."/>
      <w:numFmt w:val="decimal"/>
      <w:start w:val="2"/>
    </w:lvl>
    <w:lvl w:ilvl="1">
      <w:lvlJc w:val="left"/>
      <w:lvlText w:val="(%2)"/>
      <w:numFmt w:val="lowerLetter"/>
      <w:start w:val="1"/>
    </w:lvl>
  </w:abstractNum>
  <w:abstractNum w:abstractNumId="113">
    <w:nsid w:val="26A02C5E"/>
    <w:multiLevelType w:val="hybridMultilevel"/>
    <w:lvl w:ilvl="0">
      <w:lvlJc w:val="left"/>
      <w:lvlText w:val="%1"/>
      <w:numFmt w:val="decimal"/>
      <w:start w:val="1"/>
    </w:lvl>
    <w:lvl w:ilvl="1">
      <w:lvlJc w:val="left"/>
      <w:lvlText w:val="(%2)"/>
      <w:numFmt w:val="lowerLetter"/>
      <w:start w:val="13"/>
    </w:lvl>
  </w:abstractNum>
  <w:abstractNum w:abstractNumId="114">
    <w:nsid w:val="541C8153"/>
    <w:multiLevelType w:val="hybridMultilevel"/>
    <w:lvl w:ilvl="0">
      <w:lvlJc w:val="left"/>
      <w:lvlText w:val="%1."/>
      <w:numFmt w:val="decimal"/>
      <w:start w:val="3"/>
    </w:lvl>
    <w:lvl w:ilvl="1">
      <w:lvlJc w:val="left"/>
      <w:lvlText w:val="%2"/>
      <w:numFmt w:val="lowerLetter"/>
      <w:start w:val="1"/>
    </w:lvl>
  </w:abstractNum>
  <w:abstractNum w:abstractNumId="115">
    <w:nsid w:val="67906F60"/>
    <w:multiLevelType w:val="hybridMultilevel"/>
    <w:lvl w:ilvl="0">
      <w:lvlJc w:val="left"/>
      <w:lvlText w:val="%1."/>
      <w:numFmt w:val="decimal"/>
      <w:start w:val="5"/>
    </w:lvl>
    <w:lvl w:ilvl="1">
      <w:lvlJc w:val="left"/>
      <w:lvlText w:val="(%2)"/>
      <w:numFmt w:val="lowerLetter"/>
      <w:start w:val="1"/>
    </w:lvl>
  </w:abstractNum>
  <w:abstractNum w:abstractNumId="116">
    <w:nsid w:val="10DB9DAA"/>
    <w:multiLevelType w:val="hybridMultilevel"/>
    <w:lvl w:ilvl="0">
      <w:lvlJc w:val="left"/>
      <w:lvlText w:val="(%1)"/>
      <w:numFmt w:val="lowerLetter"/>
      <w:start w:val="5"/>
    </w:lvl>
  </w:abstractNum>
  <w:abstractNum w:abstractNumId="117">
    <w:nsid w:val="697D2D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18">
    <w:nsid w:val="6D68A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119">
    <w:nsid w:val="3A966CD0"/>
    <w:multiLevelType w:val="hybridMultilevel"/>
    <w:lvl w:ilvl="0">
      <w:lvlJc w:val="left"/>
      <w:lvlText w:val="%1"/>
      <w:numFmt w:val="lowerLetter"/>
      <w:start w:val="1"/>
    </w:lvl>
    <w:lvl w:ilvl="1">
      <w:lvlJc w:val="left"/>
      <w:lvlText w:val="(%2)"/>
      <w:numFmt w:val="lowerRoman"/>
      <w:start w:val="2"/>
    </w:lvl>
  </w:abstractNum>
  <w:abstractNum w:abstractNumId="120">
    <w:nsid w:val="63F37E85"/>
    <w:multiLevelType w:val="hybridMultilevel"/>
    <w:lvl w:ilvl="0">
      <w:lvlJc w:val="left"/>
      <w:lvlText w:val="(%1)"/>
      <w:numFmt w:val="lowerLetter"/>
      <w:start w:val="4"/>
    </w:lvl>
    <w:lvl w:ilvl="1">
      <w:lvlJc w:val="left"/>
      <w:lvlText w:val="%2"/>
      <w:numFmt w:val="lowerRoman"/>
      <w:start w:val="1"/>
    </w:lvl>
  </w:abstractNum>
  <w:abstractNum w:abstractNumId="121">
    <w:nsid w:val="5895F5F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22">
    <w:nsid w:val="38A5D054"/>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123">
    <w:nsid w:val="F3F09D8"/>
    <w:multiLevelType w:val="hybridMultilevel"/>
    <w:lvl w:ilvl="0">
      <w:lvlJc w:val="left"/>
      <w:lvlText w:val="(%1)"/>
      <w:numFmt w:val="lowerRoman"/>
      <w:start w:val="3"/>
    </w:lvl>
    <w:lvl w:ilvl="1">
      <w:lvlJc w:val="left"/>
      <w:lvlText w:val="(%2)"/>
      <w:numFmt w:val="lowerLetter"/>
      <w:start w:val="8"/>
    </w:lvl>
    <w:lvl w:ilvl="2">
      <w:lvlJc w:val="left"/>
      <w:lvlText w:val="(%3)"/>
      <w:numFmt w:val="lowerRoman"/>
      <w:start w:val="1"/>
    </w:lvl>
  </w:abstractNum>
  <w:abstractNum w:abstractNumId="124">
    <w:nsid w:val="4B793735"/>
    <w:multiLevelType w:val="hybridMultilevel"/>
    <w:lvl w:ilvl="0">
      <w:lvlJc w:val="left"/>
      <w:lvlText w:val="%1"/>
      <w:numFmt w:val="lowerLetter"/>
      <w:start w:val="1"/>
    </w:lvl>
    <w:lvl w:ilvl="1">
      <w:lvlJc w:val="left"/>
      <w:lvlText w:val="(%2)"/>
      <w:numFmt w:val="lowerRoman"/>
      <w:start w:val="6"/>
    </w:lvl>
  </w:abstractNum>
  <w:abstractNum w:abstractNumId="125">
    <w:nsid w:val="4A10B4E8"/>
    <w:multiLevelType w:val="hybridMultilevel"/>
    <w:lvl w:ilvl="0">
      <w:lvlJc w:val="left"/>
      <w:lvlText w:val="(%1)"/>
      <w:numFmt w:val="lowerLetter"/>
      <w:start w:val="9"/>
    </w:lvl>
    <w:lvl w:ilvl="1">
      <w:lvlJc w:val="left"/>
      <w:lvlText w:val="%2"/>
      <w:numFmt w:val="lowerRoman"/>
      <w:start w:val="1"/>
    </w:lvl>
  </w:abstractNum>
  <w:abstractNum w:abstractNumId="126">
    <w:nsid w:val="43D3BCD4"/>
    <w:multiLevelType w:val="hybridMultilevel"/>
    <w:lvl w:ilvl="0">
      <w:lvlJc w:val="left"/>
      <w:lvlText w:val="%1."/>
      <w:numFmt w:val="decimal"/>
      <w:start w:val="7"/>
    </w:lvl>
    <w:lvl w:ilvl="1">
      <w:lvlJc w:val="left"/>
      <w:lvlText w:val="(%2)"/>
      <w:numFmt w:val="lowerLetter"/>
      <w:start w:val="1"/>
    </w:lvl>
  </w:abstractNum>
  <w:abstractNum w:abstractNumId="127">
    <w:nsid w:val="4C2A7166"/>
    <w:multiLevelType w:val="hybridMultilevel"/>
    <w:lvl w:ilvl="0">
      <w:lvlJc w:val="left"/>
      <w:lvlText w:val="%1"/>
      <w:numFmt w:val="decimal"/>
      <w:start w:val="1"/>
    </w:lvl>
    <w:lvl w:ilvl="1">
      <w:lvlJc w:val="left"/>
      <w:lvlText w:val="(%2)"/>
      <w:numFmt w:val="lowerLetter"/>
      <w:start w:val="5"/>
    </w:lvl>
  </w:abstractNum>
  <w:abstractNum w:abstractNumId="128">
    <w:nsid w:val="2E534A82"/>
    <w:multiLevelType w:val="hybridMultilevel"/>
    <w:lvl w:ilvl="0">
      <w:lvlJc w:val="left"/>
      <w:lvlText w:val="%1."/>
      <w:numFmt w:val="decimal"/>
      <w:start w:val="9"/>
    </w:lvl>
    <w:lvl w:ilvl="1">
      <w:lvlJc w:val="left"/>
      <w:lvlText w:val="(%2)"/>
      <w:numFmt w:val="lowerLetter"/>
      <w:start w:val="1"/>
    </w:lvl>
  </w:abstractNum>
  <w:abstractNum w:abstractNumId="129">
    <w:nsid w:val="26F2D364"/>
    <w:multiLevelType w:val="hybridMultilevel"/>
    <w:lvl w:ilvl="0">
      <w:lvlJc w:val="left"/>
      <w:lvlText w:val="(%1)"/>
      <w:numFmt w:val="lowerLetter"/>
      <w:start w:val="5"/>
    </w:lvl>
  </w:abstractNum>
  <w:abstractNum w:abstractNumId="130">
    <w:nsid w:val="71C1AF98"/>
    <w:multiLevelType w:val="hybridMultilevel"/>
    <w:lvl w:ilvl="0">
      <w:lvlJc w:val="left"/>
      <w:lvlText w:val="%1."/>
      <w:numFmt w:val="decimal"/>
      <w:start w:val="11"/>
    </w:lvl>
  </w:abstractNum>
  <w:abstractNum w:abstractNumId="131">
    <w:nsid w:val="3D00B9D9"/>
    <w:multiLevelType w:val="hybridMultilevel"/>
    <w:lvl w:ilvl="0">
      <w:lvlJc w:val="left"/>
      <w:lvlText w:val="%1."/>
      <w:numFmt w:val="decimal"/>
      <w:start w:val="13"/>
    </w:lvl>
    <w:lvl w:ilvl="1">
      <w:lvlJc w:val="left"/>
      <w:lvlText w:val="(%2)"/>
      <w:numFmt w:val="lowerLetter"/>
      <w:start w:val="1"/>
    </w:lvl>
  </w:abstractNum>
  <w:abstractNum w:abstractNumId="132">
    <w:nsid w:val="15BCABA8"/>
    <w:multiLevelType w:val="hybridMultilevel"/>
    <w:lvl w:ilvl="0">
      <w:lvlJc w:val="left"/>
      <w:lvlText w:val="%1."/>
      <w:numFmt w:val="decimal"/>
      <w:start w:val="16"/>
    </w:lvl>
    <w:lvl w:ilvl="1">
      <w:lvlJc w:val="left"/>
      <w:lvlText w:val="(%2)"/>
      <w:numFmt w:val="lowerLetter"/>
      <w:start w:val="1"/>
    </w:lvl>
  </w:abstractNum>
  <w:abstractNum w:abstractNumId="133">
    <w:nsid w:val="4E0B9A87"/>
    <w:multiLevelType w:val="hybridMultilevel"/>
    <w:lvl w:ilvl="0">
      <w:lvlJc w:val="left"/>
      <w:lvlText w:val="%1"/>
      <w:numFmt w:val="lowerLetter"/>
      <w:start w:val="1"/>
    </w:lvl>
    <w:lvl w:ilvl="1">
      <w:lvlJc w:val="left"/>
      <w:lvlText w:val="(%2)"/>
      <w:numFmt w:val="lowerLetter"/>
      <w:start w:val="3"/>
    </w:lvl>
  </w:abstractNum>
  <w:abstractNum w:abstractNumId="134">
    <w:nsid w:val="434BAE75"/>
    <w:multiLevelType w:val="hybridMultilevel"/>
    <w:lvl w:ilvl="0">
      <w:lvlJc w:val="left"/>
      <w:lvlText w:val="(%1)"/>
      <w:numFmt w:val="lowerLetter"/>
      <w:start w:val="35"/>
    </w:lvl>
    <w:lvl w:ilvl="1">
      <w:lvlJc w:val="left"/>
      <w:lvlText w:val="(%2)"/>
      <w:numFmt w:val="lowerLetter"/>
      <w:start w:val="4"/>
    </w:lvl>
  </w:abstractNum>
  <w:abstractNum w:abstractNumId="135">
    <w:nsid w:val="4F38F265"/>
    <w:multiLevelType w:val="hybridMultilevel"/>
    <w:lvl w:ilvl="0">
      <w:lvlJc w:val="left"/>
      <w:lvlText w:val="%1"/>
      <w:numFmt w:val="lowerLetter"/>
      <w:start w:val="1"/>
    </w:lvl>
    <w:lvl w:ilvl="1">
      <w:lvlJc w:val="left"/>
      <w:lvlText w:val="(%2)"/>
      <w:numFmt w:val="lowerLetter"/>
      <w:start w:val="7"/>
    </w:lvl>
  </w:abstractNum>
  <w:abstractNum w:abstractNumId="136">
    <w:nsid w:val="4C502870"/>
    <w:multiLevelType w:val="hybridMultilevel"/>
    <w:lvl w:ilvl="0">
      <w:lvlJc w:val="left"/>
      <w:lvlText w:val="(%1)"/>
      <w:numFmt w:val="lowerLetter"/>
      <w:start w:val="9"/>
    </w:lvl>
    <w:lvl w:ilvl="1">
      <w:lvlJc w:val="left"/>
      <w:lvlText w:val="%2"/>
      <w:numFmt w:val="lowerLetter"/>
      <w:start w:val="1"/>
    </w:lvl>
  </w:abstractNum>
  <w:abstractNum w:abstractNumId="137">
    <w:nsid w:val="1DE8725A"/>
    <w:multiLevelType w:val="hybridMultilevel"/>
    <w:lvl w:ilvl="0">
      <w:lvlJc w:val="left"/>
      <w:lvlText w:val="%1."/>
      <w:numFmt w:val="decimal"/>
      <w:start w:val="17"/>
    </w:lvl>
    <w:lvl w:ilvl="1">
      <w:lvlJc w:val="left"/>
      <w:lvlText w:val="(%2)"/>
      <w:numFmt w:val="lowerLetter"/>
      <w:start w:val="1"/>
    </w:lvl>
  </w:abstractNum>
  <w:abstractNum w:abstractNumId="138">
    <w:nsid w:val="6A37288A"/>
    <w:multiLevelType w:val="hybridMultilevel"/>
    <w:lvl w:ilvl="0">
      <w:lvlJc w:val="left"/>
      <w:lvlText w:val="%1"/>
      <w:numFmt w:val="decimal"/>
      <w:start w:val="1"/>
    </w:lvl>
    <w:lvl w:ilvl="1">
      <w:lvlJc w:val="left"/>
      <w:lvlText w:val="(%2)"/>
      <w:numFmt w:val="lowerLetter"/>
      <w:start w:val="5"/>
    </w:lvl>
  </w:abstractNum>
  <w:abstractNum w:abstractNumId="139">
    <w:nsid w:val="8F8B73F"/>
    <w:multiLevelType w:val="hybridMultilevel"/>
    <w:lvl w:ilvl="0">
      <w:lvlJc w:val="left"/>
      <w:lvlText w:val="%1."/>
      <w:numFmt w:val="decimal"/>
      <w:start w:val="18"/>
    </w:lvl>
    <w:lvl w:ilvl="1">
      <w:lvlJc w:val="left"/>
      <w:lvlText w:val="%2"/>
      <w:numFmt w:val="lowerLetter"/>
      <w:start w:val="1"/>
    </w:lvl>
  </w:abstractNum>
  <w:abstractNum w:abstractNumId="140">
    <w:nsid w:val="CA6B462"/>
    <w:multiLevelType w:val="hybridMultilevel"/>
    <w:lvl w:ilvl="0">
      <w:lvlJc w:val="left"/>
      <w:lvlText w:val="%1."/>
      <w:numFmt w:val="decimal"/>
      <w:start w:val="20"/>
    </w:lvl>
    <w:lvl w:ilvl="1">
      <w:lvlJc w:val="left"/>
      <w:lvlText w:val="(%2)"/>
      <w:numFmt w:val="lowerLetter"/>
      <w:start w:val="1"/>
    </w:lvl>
  </w:abstractNum>
  <w:abstractNum w:abstractNumId="141">
    <w:nsid w:val="763CB680"/>
    <w:multiLevelType w:val="hybridMultilevel"/>
    <w:lvl w:ilvl="0">
      <w:lvlJc w:val="left"/>
      <w:lvlText w:val="%1"/>
      <w:numFmt w:val="decimal"/>
      <w:start w:val="1"/>
    </w:lvl>
    <w:lvl w:ilvl="1">
      <w:lvlJc w:val="left"/>
      <w:lvlText w:val="(%2)"/>
      <w:numFmt w:val="lowerLetter"/>
      <w:start w:val="2"/>
    </w:lvl>
  </w:abstractNum>
  <w:abstractNum w:abstractNumId="142">
    <w:nsid w:val="15B71329"/>
    <w:multiLevelType w:val="hybridMultilevel"/>
    <w:lvl w:ilvl="0">
      <w:lvlJc w:val="left"/>
      <w:lvlText w:val="%1."/>
      <w:numFmt w:val="decimal"/>
      <w:start w:val="21"/>
    </w:lvl>
    <w:lvl w:ilvl="1">
      <w:lvlJc w:val="left"/>
      <w:lvlText w:val="(%2)"/>
      <w:numFmt w:val="lowerLetter"/>
      <w:start w:val="1"/>
    </w:lvl>
  </w:abstractNum>
  <w:abstractNum w:abstractNumId="143">
    <w:nsid w:val="3DA97044"/>
    <w:multiLevelType w:val="hybridMultilevel"/>
    <w:lvl w:ilvl="0">
      <w:lvlJc w:val="left"/>
      <w:lvlText w:val="%1."/>
      <w:numFmt w:val="decimal"/>
      <w:start w:val="22"/>
    </w:lvl>
  </w:abstractNum>
  <w:abstractNum w:abstractNumId="144">
    <w:nsid w:val="1CDCE2DE"/>
    <w:multiLevelType w:val="hybridMultilevel"/>
    <w:lvl w:ilvl="0">
      <w:lvlJc w:val="left"/>
      <w:lvlText w:val="%1."/>
      <w:numFmt w:val="decimal"/>
      <w:start w:val="25"/>
    </w:lvl>
    <w:lvl w:ilvl="1">
      <w:lvlJc w:val="left"/>
      <w:lvlText w:val="(%2)"/>
      <w:numFmt w:val="lowerLetter"/>
      <w:start w:val="1"/>
    </w:lvl>
  </w:abstractNum>
  <w:abstractNum w:abstractNumId="145">
    <w:nsid w:val="69D3947C"/>
    <w:multiLevelType w:val="hybridMultilevel"/>
    <w:lvl w:ilvl="0">
      <w:lvlJc w:val="left"/>
      <w:lvlText w:val="(%1)"/>
      <w:numFmt w:val="lowerLetter"/>
      <w:start w:val="3"/>
    </w:lvl>
  </w:abstractNum>
  <w:abstractNum w:abstractNumId="146">
    <w:nsid w:val="2539DFA5"/>
    <w:multiLevelType w:val="hybridMultilevel"/>
    <w:lvl w:ilvl="0">
      <w:lvlJc w:val="left"/>
      <w:lvlText w:val="%1."/>
      <w:numFmt w:val="decimal"/>
      <w:start w:val="1"/>
    </w:lvl>
    <w:lvl w:ilvl="1">
      <w:lvlJc w:val="left"/>
      <w:lvlText w:val="(%2)"/>
      <w:numFmt w:val="lowerLetter"/>
      <w:start w:val="1"/>
    </w:lvl>
  </w:abstractNum>
  <w:abstractNum w:abstractNumId="147">
    <w:nsid w:val="2DB88089"/>
    <w:multiLevelType w:val="hybridMultilevel"/>
    <w:lvl w:ilvl="0">
      <w:lvlJc w:val="left"/>
      <w:lvlText w:val="%1."/>
      <w:numFmt w:val="decimal"/>
      <w:start w:val="3"/>
    </w:lvl>
  </w:abstractNum>
  <w:abstractNum w:abstractNumId="148">
    <w:nsid w:val="706B674E"/>
    <w:multiLevelType w:val="hybridMultilevel"/>
    <w:lvl w:ilvl="0">
      <w:lvlJc w:val="left"/>
      <w:lvlText w:val="%1."/>
      <w:numFmt w:val="decimal"/>
      <w:start w:val="7"/>
    </w:lvl>
  </w:abstractNum>
  <w:abstractNum w:abstractNumId="149">
    <w:nsid w:val="2C106A57"/>
    <w:multiLevelType w:val="hybridMultilevel"/>
    <w:lvl w:ilvl="0">
      <w:lvlJc w:val="left"/>
      <w:lvlText w:val="%1."/>
      <w:numFmt w:val="decimal"/>
      <w:start w:val="1"/>
    </w:lvl>
  </w:abstractNum>
  <w:abstractNum w:abstractNumId="150">
    <w:nsid w:val="684EED59"/>
    <w:multiLevelType w:val="hybridMultilevel"/>
    <w:lvl w:ilvl="0">
      <w:lvlJc w:val="left"/>
      <w:lvlText w:val="(%1)"/>
      <w:numFmt w:val="lowerLetter"/>
      <w:start w:val="1"/>
    </w:lvl>
  </w:abstractNum>
  <w:abstractNum w:abstractNumId="151">
    <w:nsid w:val="545EE5D3"/>
    <w:multiLevelType w:val="hybridMultilevel"/>
    <w:lvl w:ilvl="0">
      <w:lvlJc w:val="left"/>
      <w:lvlText w:val="(%1)"/>
      <w:numFmt w:val="lowerLetter"/>
      <w:start w:val="2"/>
    </w:lvl>
  </w:abstractNum>
  <w:abstractNum w:abstractNumId="152">
    <w:nsid w:val="4A66051"/>
    <w:multiLevelType w:val="hybridMultilevel"/>
    <w:lvl w:ilvl="0">
      <w:lvlJc w:val="left"/>
      <w:lvlText w:val="%1."/>
      <w:numFmt w:val="decimal"/>
      <w:start w:val="3"/>
    </w:lvl>
  </w:abstractNum>
  <w:abstractNum w:abstractNumId="153">
    <w:nsid w:val="20F4BDAD"/>
    <w:multiLevelType w:val="hybridMultilevel"/>
    <w:lvl w:ilvl="0">
      <w:lvlJc w:val="left"/>
      <w:lvlText w:val="%1."/>
      <w:numFmt w:val="decimal"/>
      <w:start w:val="7"/>
    </w:lvl>
  </w:abstractNum>
  <w:abstractNum w:abstractNumId="154">
    <w:nsid w:val="639DEFAC"/>
    <w:multiLevelType w:val="hybridMultilevel"/>
    <w:lvl w:ilvl="0">
      <w:lvlJc w:val="left"/>
      <w:lvlText w:val="%1."/>
      <w:numFmt w:val="decimal"/>
      <w:start w:val="1"/>
    </w:lvl>
    <w:lvl w:ilvl="1">
      <w:lvlJc w:val="left"/>
      <w:lvlText w:val="(%2)"/>
      <w:numFmt w:val="lowerLetter"/>
      <w:start w:val="1"/>
    </w:lvl>
  </w:abstractNum>
  <w:abstractNum w:abstractNumId="155">
    <w:nsid w:val="501F9786"/>
    <w:multiLevelType w:val="hybridMultilevel"/>
    <w:lvl w:ilvl="0">
      <w:lvlJc w:val="left"/>
      <w:lvlText w:val="%1"/>
      <w:numFmt w:val="decimal"/>
      <w:start w:val="1"/>
    </w:lvl>
    <w:lvl w:ilvl="1">
      <w:lvlJc w:val="left"/>
      <w:lvlText w:val="(%2)"/>
      <w:numFmt w:val="lowerLetter"/>
      <w:start w:val="2"/>
    </w:lvl>
  </w:abstractNum>
  <w:abstractNum w:abstractNumId="156">
    <w:nsid w:val="6B057295"/>
    <w:multiLevelType w:val="hybridMultilevel"/>
    <w:lvl w:ilvl="0">
      <w:lvlJc w:val="left"/>
      <w:lvlText w:val="%1."/>
      <w:numFmt w:val="decimal"/>
      <w:start w:val="3"/>
    </w:lvl>
    <w:lvl w:ilvl="1">
      <w:lvlJc w:val="left"/>
      <w:lvlText w:val="%2"/>
      <w:numFmt w:val="lowerLetter"/>
      <w:start w:val="1"/>
    </w:lvl>
  </w:abstractNum>
  <w:abstractNum w:abstractNumId="157">
    <w:nsid w:val="2771AC80"/>
    <w:multiLevelType w:val="hybridMultilevel"/>
    <w:lvl w:ilvl="0">
      <w:lvlJc w:val="left"/>
      <w:lvlText w:val="%1."/>
      <w:numFmt w:val="decimal"/>
      <w:start w:val="6"/>
    </w:lvl>
  </w:abstractNum>
  <w:abstractNum w:abstractNumId="158">
    <w:nsid w:val="1C4A08EC"/>
    <w:multiLevelType w:val="hybridMultilevel"/>
    <w:lvl w:ilvl="0">
      <w:lvlJc w:val="left"/>
      <w:lvlText w:val="%1."/>
      <w:numFmt w:val="upperLetter"/>
      <w:start w:val="1"/>
    </w:lvl>
  </w:abstractNum>
  <w:abstractNum w:abstractNumId="159">
    <w:nsid w:val="1958BD17"/>
    <w:multiLevelType w:val="hybridMultilevel"/>
    <w:lvl w:ilvl="0">
      <w:lvlJc w:val="left"/>
      <w:lvlText w:val="%1."/>
      <w:numFmt w:val="decimal"/>
      <w:start w:val="1"/>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lowerLetter"/>
      <w:start w:val="5"/>
    </w:lvl>
  </w:abstractNum>
  <w:abstractNum w:abstractNumId="162">
    <w:nsid w:val="565976F1"/>
    <w:multiLevelType w:val="hybridMultilevel"/>
    <w:lvl w:ilvl="0">
      <w:lvlJc w:val="left"/>
      <w:lvlText w:val="%1"/>
      <w:numFmt w:val="decimal"/>
      <w:start w:val="1"/>
    </w:lvl>
    <w:lvl w:ilvl="1">
      <w:lvlJc w:val="left"/>
      <w:lvlText w:val="(%2)"/>
      <w:numFmt w:val="lowerLetter"/>
      <w:start w:val="11"/>
    </w:lvl>
  </w:abstractNum>
  <w:abstractNum w:abstractNumId="163">
    <w:nsid w:val="64212B8C"/>
    <w:multiLevelType w:val="hybridMultilevel"/>
    <w:lvl w:ilvl="0">
      <w:lvlJc w:val="left"/>
      <w:lvlText w:val="%1."/>
      <w:numFmt w:val="decimal"/>
      <w:start w:val="2"/>
    </w:lvl>
    <w:lvl w:ilvl="1">
      <w:lvlJc w:val="left"/>
      <w:lvlText w:val="(%2)"/>
      <w:numFmt w:val="lowerLetter"/>
      <w:start w:val="1"/>
    </w:lvl>
  </w:abstractNum>
  <w:abstractNum w:abstractNumId="164">
    <w:nsid w:val="5C17530C"/>
    <w:multiLevelType w:val="hybridMultilevel"/>
    <w:lvl w:ilvl="0">
      <w:lvlJc w:val="left"/>
      <w:lvlText w:val="%1"/>
      <w:numFmt w:val="lowerLetter"/>
      <w:start w:val="1"/>
    </w:lvl>
    <w:lvl w:ilvl="1">
      <w:lvlJc w:val="left"/>
      <w:lvlText w:val="(%2)"/>
      <w:numFmt w:val="lowerLetter"/>
      <w:start w:val="4"/>
    </w:lvl>
  </w:abstractNum>
  <w:abstractNum w:abstractNumId="165">
    <w:nsid w:val="19A52566"/>
    <w:multiLevelType w:val="hybridMultilevel"/>
    <w:lvl w:ilvl="0">
      <w:lvlJc w:val="left"/>
      <w:lvlText w:val="(%1)"/>
      <w:numFmt w:val="lowerLetter"/>
      <w:start w:val="35"/>
    </w:lvl>
    <w:lvl w:ilvl="1">
      <w:lvlJc w:val="left"/>
      <w:lvlText w:val="%2"/>
      <w:numFmt w:val="lowerLetter"/>
      <w:start w:val="1"/>
    </w:lvl>
  </w:abstractNum>
  <w:abstractNum w:abstractNumId="166">
    <w:nsid w:val="335A1DF1"/>
    <w:multiLevelType w:val="hybridMultilevel"/>
    <w:lvl w:ilvl="0">
      <w:lvlJc w:val="left"/>
      <w:lvlText w:val="(%1)"/>
      <w:numFmt w:val="lowerLetter"/>
      <w:start w:val="6"/>
    </w:lvl>
  </w:abstractNum>
  <w:abstractNum w:abstractNumId="167">
    <w:nsid w:val="28677B7C"/>
    <w:multiLevelType w:val="hybridMultilevel"/>
    <w:lvl w:ilvl="0">
      <w:lvlJc w:val="left"/>
      <w:lvlText w:val="%1"/>
      <w:numFmt w:val="decimal"/>
      <w:start w:val="1"/>
    </w:lvl>
    <w:lvl w:ilvl="1">
      <w:lvlJc w:val="left"/>
      <w:lvlText w:val="(%2)"/>
      <w:numFmt w:val="lowerLetter"/>
      <w:start w:val="7"/>
    </w:lvl>
  </w:abstractNum>
  <w:abstractNum w:abstractNumId="168">
    <w:nsid w:val="378D97C0"/>
    <w:multiLevelType w:val="hybridMultilevel"/>
    <w:lvl w:ilvl="0">
      <w:lvlJc w:val="left"/>
      <w:lvlText w:val="%1."/>
      <w:numFmt w:val="decimal"/>
      <w:start w:val="3"/>
    </w:lvl>
    <w:lvl w:ilvl="1">
      <w:lvlJc w:val="left"/>
      <w:lvlText w:val="%2"/>
      <w:numFmt w:val="lowerLetter"/>
      <w:start w:val="1"/>
    </w:lvl>
  </w:abstractNum>
  <w:abstractNum w:abstractNumId="169">
    <w:nsid w:val="1D91467C"/>
    <w:multiLevelType w:val="hybridMultilevel"/>
    <w:lvl w:ilvl="0">
      <w:lvlJc w:val="left"/>
      <w:lvlText w:val="(%1)"/>
      <w:numFmt w:val="lowerLetter"/>
      <w:start w:val="1"/>
    </w:lvl>
  </w:abstractNum>
  <w:abstractNum w:abstractNumId="170">
    <w:nsid w:val="316032BB"/>
    <w:multiLevelType w:val="hybridMultilevel"/>
    <w:lvl w:ilvl="0">
      <w:lvlJc w:val="left"/>
      <w:lvlText w:val="(%1)"/>
      <w:numFmt w:val="lowerLetter"/>
      <w:start w:val="2"/>
    </w:lvl>
  </w:abstractNum>
  <w:abstractNum w:abstractNumId="171">
    <w:nsid w:val="44344C22"/>
    <w:multiLevelType w:val="hybridMultilevel"/>
    <w:lvl w:ilvl="0">
      <w:lvlJc w:val="left"/>
      <w:lvlText w:val="(%1)"/>
      <w:numFmt w:val="lowerLetter"/>
      <w:start w:val="3"/>
    </w:lvl>
  </w:abstractNum>
  <w:abstractNum w:abstractNumId="172">
    <w:nsid w:val="13CDFCFC"/>
    <w:multiLevelType w:val="hybridMultilevel"/>
    <w:lvl w:ilvl="0">
      <w:lvlJc w:val="left"/>
      <w:lvlText w:val="%1"/>
      <w:numFmt w:val="decimal"/>
      <w:start w:val="1"/>
    </w:lvl>
    <w:lvl w:ilvl="1">
      <w:lvlJc w:val="left"/>
      <w:lvlText w:val="(%2)"/>
      <w:numFmt w:val="lowerLetter"/>
      <w:start w:val="6"/>
    </w:lvl>
  </w:abstractNum>
  <w:abstractNum w:abstractNumId="173">
    <w:nsid w:val="471745E4"/>
    <w:multiLevelType w:val="hybridMultilevel"/>
    <w:lvl w:ilvl="0">
      <w:lvlJc w:val="left"/>
      <w:lvlText w:val="(%1)"/>
      <w:numFmt w:val="decimal"/>
      <w:start w:val="10"/>
    </w:lvl>
    <w:lvl w:ilvl="1">
      <w:lvlJc w:val="left"/>
      <w:lvlText w:val="(%2)"/>
      <w:numFmt w:val="lowerLetter"/>
      <w:start w:val="7"/>
    </w:lvl>
  </w:abstractNum>
  <w:abstractNum w:abstractNumId="174">
    <w:nsid w:val="1DDBC66"/>
    <w:multiLevelType w:val="hybridMultilevel"/>
    <w:lvl w:ilvl="0">
      <w:lvlJc w:val="left"/>
      <w:lvlText w:val="%1"/>
      <w:numFmt w:val="lowerLetter"/>
      <w:start w:val="1"/>
    </w:lvl>
    <w:lvl w:ilvl="1">
      <w:lvlJc w:val="left"/>
      <w:lvlText w:val="(%2)"/>
      <w:numFmt w:val="lowerLetter"/>
      <w:start w:val="8"/>
    </w:lvl>
  </w:abstractNum>
  <w:abstractNum w:abstractNumId="175">
    <w:nsid w:val="30AADFDA"/>
    <w:multiLevelType w:val="hybridMultilevel"/>
    <w:lvl w:ilvl="0">
      <w:lvlJc w:val="left"/>
      <w:lvlText w:val="(%1)"/>
      <w:numFmt w:val="lowerLetter"/>
      <w:start w:val="9"/>
    </w:lvl>
    <w:lvl w:ilvl="1">
      <w:lvlJc w:val="left"/>
      <w:lvlText w:val="%2"/>
      <w:numFmt w:val="lowerLetter"/>
      <w:start w:val="1"/>
    </w:lvl>
  </w:abstractNum>
  <w:abstractNum w:abstractNumId="176">
    <w:nsid w:val="30EADA61"/>
    <w:multiLevelType w:val="hybridMultilevel"/>
    <w:lvl w:ilvl="0">
      <w:lvlJc w:val="left"/>
      <w:lvlText w:val="%1"/>
      <w:numFmt w:val="lowerLetter"/>
      <w:start w:val="1"/>
    </w:lvl>
    <w:lvl w:ilvl="1">
      <w:lvlJc w:val="left"/>
      <w:lvlText w:val="(%2)"/>
      <w:numFmt w:val="lowerLetter"/>
      <w:start w:val="11"/>
    </w:lvl>
  </w:abstractNum>
  <w:abstractNum w:abstractNumId="177">
    <w:nsid w:val="27179C0B"/>
    <w:multiLevelType w:val="hybridMultilevel"/>
    <w:lvl w:ilvl="0">
      <w:lvlJc w:val="left"/>
      <w:lvlText w:val="(%1)"/>
      <w:numFmt w:val="lowerLetter"/>
      <w:start w:val="9"/>
    </w:lvl>
    <w:lvl w:ilvl="1">
      <w:lvlJc w:val="left"/>
      <w:lvlText w:val="(%2)"/>
      <w:numFmt w:val="lowerLetter"/>
      <w:start w:val="12"/>
    </w:lvl>
  </w:abstractNum>
  <w:abstractNum w:abstractNumId="178">
    <w:nsid w:val="5E636063"/>
    <w:multiLevelType w:val="hybridMultilevel"/>
    <w:lvl w:ilvl="0">
      <w:lvlJc w:val="left"/>
      <w:lvlText w:val="(%1)"/>
      <w:numFmt w:val="lowerLetter"/>
      <w:start w:val="16"/>
    </w:lvl>
  </w:abstractNum>
  <w:abstractNum w:abstractNumId="179">
    <w:nsid w:val="215641AF"/>
    <w:multiLevelType w:val="hybridMultilevel"/>
    <w:lvl w:ilvl="0">
      <w:lvlJc w:val="left"/>
      <w:lvlText w:val="%1."/>
      <w:numFmt w:val="decimal"/>
      <w:start w:val="4"/>
    </w:lvl>
    <w:lvl w:ilvl="1">
      <w:lvlJc w:val="left"/>
      <w:lvlText w:val="(%2)"/>
      <w:numFmt w:val="lowerLetter"/>
      <w:start w:val="1"/>
    </w:lvl>
  </w:abstractNum>
  <w:abstractNum w:abstractNumId="180">
    <w:nsid w:val="53280662"/>
    <w:multiLevelType w:val="hybridMultilevel"/>
    <w:lvl w:ilvl="0">
      <w:lvlJc w:val="left"/>
      <w:lvlText w:val="%1."/>
      <w:numFmt w:val="decimal"/>
      <w:start w:val="6"/>
    </w:lvl>
    <w:lvl w:ilvl="1">
      <w:lvlJc w:val="left"/>
      <w:lvlText w:val="(%2)"/>
      <w:numFmt w:val="lowerLetter"/>
      <w:start w:val="1"/>
    </w:lvl>
  </w:abstractNum>
  <w:abstractNum w:abstractNumId="181">
    <w:nsid w:val="46B24DBC"/>
    <w:multiLevelType w:val="hybridMultilevel"/>
    <w:lvl w:ilvl="0">
      <w:lvlJc w:val="left"/>
      <w:lvlText w:val="(%1)"/>
      <w:numFmt w:val="lowerLetter"/>
      <w:start w:val="2"/>
    </w:lvl>
  </w:abstractNum>
  <w:abstractNum w:abstractNumId="182">
    <w:nsid w:val="75B52783"/>
    <w:multiLevelType w:val="hybridMultilevel"/>
    <w:lvl w:ilvl="0">
      <w:lvlJc w:val="left"/>
      <w:lvlText w:val="(%1)"/>
      <w:numFmt w:val="lowerLetter"/>
      <w:start w:val="4"/>
    </w:lvl>
  </w:abstractNum>
  <w:abstractNum w:abstractNumId="183">
    <w:nsid w:val="57CE66B4"/>
    <w:multiLevelType w:val="hybridMultilevel"/>
    <w:lvl w:ilvl="0">
      <w:lvlJc w:val="left"/>
      <w:lvlText w:val="%1."/>
      <w:numFmt w:val="decimal"/>
      <w:start w:val="7"/>
    </w:lvl>
  </w:abstractNum>
  <w:abstractNum w:abstractNumId="184">
    <w:nsid w:val="67A70B69"/>
    <w:multiLevelType w:val="hybridMultilevel"/>
    <w:lvl w:ilvl="0">
      <w:lvlJc w:val="left"/>
      <w:lvlText w:val="%1."/>
      <w:numFmt w:val="decimal"/>
      <w:start w:val="8"/>
    </w:lvl>
  </w:abstractNum>
  <w:abstractNum w:abstractNumId="185">
    <w:nsid w:val="5953172F"/>
    <w:multiLevelType w:val="hybridMultilevel"/>
    <w:lvl w:ilvl="0">
      <w:lvlJc w:val="left"/>
      <w:lvlText w:val="%1"/>
      <w:numFmt w:val="decimal"/>
      <w:start w:val="1"/>
    </w:lvl>
    <w:lvl w:ilvl="1">
      <w:lvlJc w:val="left"/>
      <w:lvlText w:val="(%2)"/>
      <w:numFmt w:val="lowerLetter"/>
      <w:start w:val="1"/>
    </w:lvl>
  </w:abstractNum>
  <w:abstractNum w:abstractNumId="186">
    <w:nsid w:val="27EDFE3A"/>
    <w:multiLevelType w:val="hybridMultilevel"/>
    <w:lvl w:ilvl="0">
      <w:lvlJc w:val="left"/>
      <w:lvlText w:val="%1."/>
      <w:numFmt w:val="decimal"/>
      <w:start w:val="9"/>
    </w:lvl>
    <w:lvl w:ilvl="1">
      <w:lvlJc w:val="left"/>
      <w:lvlText w:val="%2"/>
      <w:numFmt w:val="lowerLetter"/>
      <w:start w:val="1"/>
    </w:lvl>
  </w:abstractNum>
  <w:abstractNum w:abstractNumId="187">
    <w:nsid w:val="52AC7DFF"/>
    <w:multiLevelType w:val="hybridMultilevel"/>
    <w:lvl w:ilvl="0">
      <w:lvlJc w:val="left"/>
      <w:lvlText w:val="%1."/>
      <w:numFmt w:val="decimal"/>
      <w:start w:val="10"/>
    </w:lvl>
  </w:abstractNum>
  <w:abstractNum w:abstractNumId="188">
    <w:nsid w:val="C4C3AF"/>
    <w:multiLevelType w:val="hybridMultilevel"/>
    <w:lvl w:ilvl="0">
      <w:lvlJc w:val="left"/>
      <w:lvlText w:val="%1."/>
      <w:numFmt w:val="decimal"/>
      <w:start w:val="11"/>
    </w:lvl>
    <w:lvl w:ilvl="1">
      <w:lvlJc w:val="left"/>
      <w:lvlText w:val="(%2)"/>
      <w:numFmt w:val="lowerLetter"/>
      <w:start w:val="1"/>
    </w:lvl>
  </w:abstractNum>
  <w:abstractNum w:abstractNumId="189">
    <w:nsid w:val="44380727"/>
    <w:multiLevelType w:val="hybridMultilevel"/>
    <w:lvl w:ilvl="0">
      <w:lvlJc w:val="left"/>
      <w:lvlText w:val="(%1)"/>
      <w:numFmt w:val="lowerLetter"/>
      <w:start w:val="3"/>
    </w:lvl>
  </w:abstractNum>
  <w:abstractNum w:abstractNumId="190">
    <w:nsid w:val="6C053B16"/>
    <w:multiLevelType w:val="hybridMultilevel"/>
    <w:lvl w:ilvl="0">
      <w:lvlJc w:val="left"/>
      <w:lvlText w:val="(%1)"/>
      <w:numFmt w:val="lowerLetter"/>
      <w:start w:val="6"/>
    </w:lvl>
  </w:abstractNum>
  <w:abstractNum w:abstractNumId="191">
    <w:nsid w:val="4F294393"/>
    <w:multiLevelType w:val="hybridMultilevel"/>
    <w:lvl w:ilvl="0">
      <w:lvlJc w:val="left"/>
      <w:lvlText w:val="%1:"/>
      <w:numFmt w:val="upperLetter"/>
      <w:start w:val="29"/>
    </w:lvl>
  </w:abstractNum>
  <w:abstractNum w:abstractNumId="192">
    <w:nsid w:val="5243BFAC"/>
    <w:multiLevelType w:val="hybridMultilevel"/>
    <w:lvl w:ilvl="0">
      <w:lvlJc w:val="left"/>
      <w:lvlText w:val="·"/>
      <w:numFmt w:val="bullet"/>
      <w:start w:val="1"/>
    </w:lvl>
  </w:abstractNum>
  <w:abstractNum w:abstractNumId="193">
    <w:nsid w:val="425EB207"/>
    <w:multiLevelType w:val="hybridMultilevel"/>
    <w:lvl w:ilvl="0">
      <w:lvlJc w:val="left"/>
      <w:lvlText w:val="%1."/>
      <w:numFmt w:val="decimal"/>
      <w:start w:val="1"/>
    </w:lvl>
    <w:lvl w:ilvl="1">
      <w:lvlJc w:val="left"/>
      <w:lvlText w:val="(%2)"/>
      <w:numFmt w:val="lowerLetter"/>
      <w:start w:val="1"/>
    </w:lvl>
  </w:abstractNum>
  <w:abstractNum w:abstractNumId="194">
    <w:nsid w:val="334A6F1F"/>
    <w:multiLevelType w:val="hybridMultilevel"/>
    <w:lvl w:ilvl="0">
      <w:lvlJc w:val="left"/>
      <w:lvlText w:val="1"/>
      <w:numFmt w:val="bullet"/>
      <w:start w:val="1"/>
    </w:lvl>
  </w:abstractNum>
  <w:abstractNum w:abstractNumId="195">
    <w:nsid w:val="2E5B12B8"/>
    <w:multiLevelType w:val="hybridMultilevel"/>
    <w:lvl w:ilvl="0">
      <w:lvlJc w:val="left"/>
      <w:lvlText w:val="(%1)"/>
      <w:numFmt w:val="lowerLetter"/>
      <w:start w:val="2"/>
    </w:lvl>
  </w:abstractNum>
  <w:abstractNum w:abstractNumId="196">
    <w:nsid w:val="5C03D76D"/>
    <w:multiLevelType w:val="hybridMultilevel"/>
    <w:lvl w:ilvl="0">
      <w:lvlJc w:val="left"/>
      <w:lvlText w:val="(%1)"/>
      <w:numFmt w:val="lowerLetter"/>
      <w:start w:val="5"/>
    </w:lvl>
  </w:abstractNum>
  <w:abstractNum w:abstractNumId="197">
    <w:nsid w:val="66A48D11"/>
    <w:multiLevelType w:val="hybridMultilevel"/>
    <w:lvl w:ilvl="0">
      <w:lvlJc w:val="left"/>
      <w:lvlText w:val="%1"/>
      <w:numFmt w:val="decimal"/>
      <w:start w:val="1"/>
    </w:lvl>
    <w:lvl w:ilvl="1">
      <w:lvlJc w:val="left"/>
      <w:lvlText w:val="(%2)"/>
      <w:numFmt w:val="lowerLetter"/>
      <w:start w:val="7"/>
    </w:lvl>
  </w:abstractNum>
  <w:abstractNum w:abstractNumId="198">
    <w:nsid w:val="56C28E34"/>
    <w:multiLevelType w:val="hybridMultilevel"/>
    <w:lvl w:ilvl="0">
      <w:lvlJc w:val="left"/>
      <w:lvlText w:val="%1."/>
      <w:numFmt w:val="decimal"/>
      <w:start w:val="2"/>
    </w:lvl>
    <w:lvl w:ilvl="1">
      <w:lvlJc w:val="left"/>
      <w:lvlText w:val="%2"/>
      <w:numFmt w:val="lowerLetter"/>
      <w:start w:val="1"/>
    </w:lvl>
  </w:abstractNum>
  <w:abstractNum w:abstractNumId="199">
    <w:nsid w:val="13916F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00">
    <w:nsid w:val="435D38D"/>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201">
    <w:nsid w:val="822C0EF"/>
    <w:multiLevelType w:val="hybridMultilevel"/>
    <w:lvl w:ilvl="0">
      <w:lvlJc w:val="left"/>
      <w:lvlText w:val="(%1)"/>
      <w:numFmt w:val="lowerRoman"/>
      <w:start w:val="2"/>
    </w:lvl>
  </w:abstractNum>
  <w:abstractNum w:abstractNumId="202">
    <w:nsid w:val="57C5BB4F"/>
    <w:multiLevelType w:val="hybridMultilevel"/>
    <w:lvl w:ilvl="0">
      <w:lvlJc w:val="left"/>
      <w:lvlText w:val="%1"/>
      <w:numFmt w:val="lowerLetter"/>
      <w:start w:val="1"/>
    </w:lvl>
    <w:lvl w:ilvl="1">
      <w:lvlJc w:val="left"/>
      <w:lvlText w:val="(%2)"/>
      <w:numFmt w:val="lowerRoman"/>
      <w:start w:val="4"/>
    </w:lvl>
  </w:abstractNum>
  <w:abstractNum w:abstractNumId="203">
    <w:nsid w:val="1803D089"/>
    <w:multiLevelType w:val="hybridMultilevel"/>
    <w:lvl w:ilvl="0">
      <w:lvlJc w:val="left"/>
      <w:lvlText w:val="(%1)"/>
      <w:numFmt w:val="lowerLetter"/>
      <w:start w:val="3"/>
    </w:lvl>
    <w:lvl w:ilvl="1">
      <w:lvlJc w:val="left"/>
      <w:lvlText w:val="%2"/>
      <w:numFmt w:val="lowerRoman"/>
      <w:start w:val="1"/>
    </w:lvl>
  </w:abstractNum>
  <w:abstractNum w:abstractNumId="204">
    <w:nsid w:val="4F3A06D4"/>
    <w:multiLevelType w:val="hybridMultilevel"/>
    <w:lvl w:ilvl="0">
      <w:lvlJc w:val="left"/>
      <w:lvlText w:val="%1"/>
      <w:numFmt w:val="decimal"/>
      <w:start w:val="1"/>
    </w:lvl>
    <w:lvl w:ilvl="1">
      <w:lvlJc w:val="left"/>
      <w:lvlText w:val="(%2)"/>
      <w:numFmt w:val="lowerLetter"/>
      <w:start w:val="4"/>
    </w:lvl>
  </w:abstractNum>
  <w:abstractNum w:abstractNumId="205">
    <w:nsid w:val="59A377B6"/>
    <w:multiLevelType w:val="hybridMultilevel"/>
    <w:lvl w:ilvl="0">
      <w:lvlJc w:val="left"/>
      <w:lvlText w:val="%1."/>
      <w:numFmt w:val="decimal"/>
      <w:start w:val="3"/>
    </w:lvl>
    <w:lvl w:ilvl="1">
      <w:lvlJc w:val="left"/>
      <w:lvlText w:val="%2"/>
      <w:numFmt w:val="lowerLetter"/>
      <w:start w:val="1"/>
    </w:lvl>
  </w:abstractNum>
  <w:abstractNum w:abstractNumId="206">
    <w:nsid w:val="48AEB063"/>
    <w:multiLevelType w:val="hybridMultilevel"/>
    <w:lvl w:ilvl="0">
      <w:lvlJc w:val="left"/>
      <w:lvlText w:val="%1."/>
      <w:numFmt w:val="decimal"/>
      <w:start w:val="4"/>
    </w:lvl>
    <w:lvl w:ilvl="1">
      <w:lvlJc w:val="left"/>
      <w:lvlText w:val="(%2)"/>
      <w:numFmt w:val="lowerLetter"/>
      <w:start w:val="1"/>
    </w:lvl>
  </w:abstractNum>
  <w:abstractNum w:abstractNumId="207">
    <w:nsid w:val="24E135"/>
    <w:multiLevelType w:val="hybridMultilevel"/>
    <w:lvl w:ilvl="0">
      <w:lvlJc w:val="left"/>
      <w:lvlText w:val="%1"/>
      <w:numFmt w:val="decimal"/>
      <w:start w:val="1"/>
    </w:lvl>
    <w:lvl w:ilvl="1">
      <w:lvlJc w:val="left"/>
      <w:lvlText w:val="(%2)"/>
      <w:numFmt w:val="lowerLetter"/>
      <w:start w:val="3"/>
    </w:lvl>
  </w:abstractNum>
  <w:abstractNum w:abstractNumId="208">
    <w:nsid w:val="BB13C1"/>
    <w:multiLevelType w:val="hybridMultilevel"/>
    <w:lvl w:ilvl="0">
      <w:lvlJc w:val="left"/>
      <w:lvlText w:val="%1."/>
      <w:numFmt w:val="decimal"/>
      <w:start w:val="5"/>
    </w:lvl>
    <w:lvl w:ilvl="1">
      <w:lvlJc w:val="left"/>
      <w:lvlText w:val="%2"/>
      <w:numFmt w:val="lowerLetter"/>
      <w:start w:val="1"/>
    </w:lvl>
  </w:abstractNum>
  <w:abstractNum w:abstractNumId="209">
    <w:nsid w:val="271210C7"/>
    <w:multiLevelType w:val="hybridMultilevel"/>
    <w:lvl w:ilvl="0">
      <w:lvlJc w:val="left"/>
      <w:lvlText w:val="%1."/>
      <w:numFmt w:val="decimal"/>
      <w:start w:val="6"/>
    </w:lvl>
    <w:lvl w:ilvl="1">
      <w:lvlJc w:val="left"/>
      <w:lvlText w:val="(%2)"/>
      <w:numFmt w:val="lowerLetter"/>
      <w:start w:val="1"/>
    </w:lvl>
  </w:abstractNum>
  <w:abstractNum w:abstractNumId="210">
    <w:nsid w:val="217B22E4"/>
    <w:multiLevelType w:val="hybridMultilevel"/>
    <w:lvl w:ilvl="0">
      <w:lvlJc w:val="left"/>
      <w:lvlText w:val="%1"/>
      <w:numFmt w:val="decimal"/>
      <w:start w:val="1"/>
    </w:lvl>
    <w:lvl w:ilvl="1">
      <w:lvlJc w:val="left"/>
      <w:lvlText w:val="(%2)"/>
      <w:numFmt w:val="lowerLetter"/>
      <w:start w:val="3"/>
    </w:lvl>
  </w:abstractNum>
  <w:abstractNum w:abstractNumId="211">
    <w:nsid w:val="53E31A24"/>
    <w:multiLevelType w:val="hybridMultilevel"/>
    <w:lvl w:ilvl="0">
      <w:lvlJc w:val="left"/>
      <w:lvlText w:val="%1."/>
      <w:numFmt w:val="decimal"/>
      <w:start w:val="8"/>
    </w:lvl>
    <w:lvl w:ilvl="1">
      <w:lvlJc w:val="left"/>
      <w:lvlText w:val="%2"/>
      <w:numFmt w:val="lowerLetter"/>
      <w:start w:val="1"/>
    </w:lvl>
  </w:abstractNum>
  <w:abstractNum w:abstractNumId="212">
    <w:nsid w:val="6DC45E83"/>
    <w:multiLevelType w:val="hybridMultilevel"/>
    <w:lvl w:ilvl="0">
      <w:lvlJc w:val="left"/>
      <w:lvlText w:val="%1."/>
      <w:numFmt w:val="decimal"/>
      <w:start w:val="10"/>
    </w:lvl>
  </w:abstractNum>
  <w:abstractNum w:abstractNumId="213">
    <w:nsid w:val="17304A67"/>
    <w:multiLevelType w:val="hybridMultilevel"/>
    <w:lvl w:ilvl="0">
      <w:lvlJc w:val="left"/>
      <w:lvlText w:val="%1."/>
      <w:numFmt w:val="decimal"/>
      <w:start w:val="14"/>
    </w:lvl>
    <w:lvl w:ilvl="1">
      <w:lvlJc w:val="left"/>
      <w:lvlText w:val="(%2)"/>
      <w:numFmt w:val="lowerLetter"/>
      <w:start w:val="1"/>
    </w:lvl>
  </w:abstractNum>
  <w:abstractNum w:abstractNumId="214">
    <w:nsid w:val="2BB180D8"/>
    <w:multiLevelType w:val="hybridMultilevel"/>
    <w:lvl w:ilvl="0">
      <w:lvlJc w:val="left"/>
      <w:lvlText w:val="%1"/>
      <w:numFmt w:val="lowerLetter"/>
      <w:start w:val="1"/>
    </w:lvl>
    <w:lvl w:ilvl="1">
      <w:lvlJc w:val="left"/>
      <w:lvlText w:val="(%2)"/>
      <w:numFmt w:val="lowerLetter"/>
      <w:start w:val="2"/>
    </w:lvl>
  </w:abstractNum>
  <w:abstractNum w:abstractNumId="215">
    <w:nsid w:val="556B69ED"/>
    <w:multiLevelType w:val="hybridMultilevel"/>
    <w:lvl w:ilvl="0">
      <w:lvlJc w:val="left"/>
      <w:lvlText w:val="(%1)"/>
      <w:numFmt w:val="lowerLetter"/>
      <w:start w:val="35"/>
    </w:lvl>
    <w:lvl w:ilvl="1">
      <w:lvlJc w:val="left"/>
      <w:lvlText w:val="(%2)"/>
      <w:numFmt w:val="lowerLetter"/>
      <w:start w:val="3"/>
    </w:lvl>
  </w:abstractNum>
  <w:abstractNum w:abstractNumId="216">
    <w:nsid w:val="70836196"/>
    <w:multiLevelType w:val="hybridMultilevel"/>
    <w:lvl w:ilvl="0">
      <w:lvlJc w:val="left"/>
      <w:lvlText w:val="%1"/>
      <w:numFmt w:val="decimal"/>
      <w:start w:val="1"/>
    </w:lvl>
    <w:lvl w:ilvl="1">
      <w:lvlJc w:val="left"/>
      <w:lvlText w:val="(%2)"/>
      <w:numFmt w:val="lowerLetter"/>
      <w:start w:val="7"/>
    </w:lvl>
  </w:abstractNum>
  <w:abstractNum w:abstractNumId="217">
    <w:nsid w:val="539F7F12"/>
    <w:multiLevelType w:val="hybridMultilevel"/>
    <w:lvl w:ilvl="0">
      <w:lvlJc w:val="left"/>
      <w:lvlText w:val="(%1)"/>
      <w:numFmt w:val="decimal"/>
      <w:start w:val="2"/>
    </w:lvl>
    <w:lvl w:ilvl="1">
      <w:lvlJc w:val="left"/>
      <w:lvlText w:val="%2"/>
      <w:numFmt w:val="lowerLetter"/>
      <w:start w:val="1"/>
    </w:lvl>
  </w:abstractNum>
  <w:abstractNum w:abstractNumId="218">
    <w:nsid w:val="2817E7EC"/>
    <w:multiLevelType w:val="hybridMultilevel"/>
    <w:lvl w:ilvl="0">
      <w:lvlJc w:val="left"/>
      <w:lvlText w:val="(%1)"/>
      <w:numFmt w:val="lowerLetter"/>
      <w:start w:val="12"/>
    </w:lvl>
  </w:abstractNum>
  <w:abstractNum w:abstractNumId="219">
    <w:nsid w:val="71482545"/>
    <w:multiLevelType w:val="hybridMultilevel"/>
    <w:lvl w:ilvl="0">
      <w:lvlJc w:val="left"/>
      <w:lvlText w:val="%1."/>
      <w:numFmt w:val="decimal"/>
      <w:start w:val="1"/>
    </w:lvl>
  </w:abstractNum>
  <w:abstractNum w:abstractNumId="220">
    <w:nsid w:val="17D78639"/>
    <w:multiLevelType w:val="hybridMultilevel"/>
    <w:lvl w:ilvl="0">
      <w:lvlJc w:val="left"/>
      <w:lvlText w:val="%1."/>
      <w:numFmt w:val="decimal"/>
      <w:start w:val="2"/>
    </w:lvl>
  </w:abstractNum>
  <w:abstractNum w:abstractNumId="221">
    <w:nsid w:val="141D2302"/>
    <w:multiLevelType w:val="hybridMultilevel"/>
    <w:lvl w:ilvl="0">
      <w:lvlJc w:val="left"/>
      <w:lvlText w:val="%1."/>
      <w:numFmt w:val="decimal"/>
      <w:start w:val="1"/>
    </w:lvl>
    <w:lvl w:ilvl="1">
      <w:lvlJc w:val="left"/>
      <w:lvlText w:val="(%2)"/>
      <w:numFmt w:val="lowerLetter"/>
      <w:start w:val="1"/>
    </w:lvl>
  </w:abstractNum>
  <w:abstractNum w:abstractNumId="222">
    <w:nsid w:val="407168D8"/>
    <w:multiLevelType w:val="hybridMultilevel"/>
    <w:lvl w:ilvl="0">
      <w:lvlJc w:val="left"/>
      <w:lvlText w:val="1"/>
      <w:numFmt w:val="bullet"/>
      <w:start w:val="1"/>
    </w:lvl>
  </w:abstractNum>
  <w:abstractNum w:abstractNumId="223">
    <w:nsid w:val="6A1B45E5"/>
    <w:multiLevelType w:val="hybridMultilevel"/>
    <w:lvl w:ilvl="0">
      <w:lvlJc w:val="left"/>
      <w:lvlText w:val="(%1)"/>
      <w:numFmt w:val="lowerLetter"/>
      <w:start w:val="2"/>
    </w:lvl>
  </w:abstractNum>
  <w:abstractNum w:abstractNumId="224">
    <w:nsid w:val="567BD50A"/>
    <w:multiLevelType w:val="hybridMultilevel"/>
    <w:lvl w:ilvl="0">
      <w:lvlJc w:val="left"/>
      <w:lvlText w:val="(%1)"/>
      <w:numFmt w:val="lowerLetter"/>
      <w:start w:val="5"/>
    </w:lvl>
  </w:abstractNum>
  <w:abstractNum w:abstractNumId="225">
    <w:nsid w:val="73BBD7F8"/>
    <w:multiLevelType w:val="hybridMultilevel"/>
    <w:lvl w:ilvl="0">
      <w:lvlJc w:val="left"/>
      <w:lvlText w:val="%1"/>
      <w:numFmt w:val="decimal"/>
      <w:start w:val="1"/>
    </w:lvl>
    <w:lvl w:ilvl="1">
      <w:lvlJc w:val="left"/>
      <w:lvlText w:val="(%2)"/>
      <w:numFmt w:val="lowerLetter"/>
      <w:start w:val="7"/>
    </w:lvl>
  </w:abstractNum>
  <w:abstractNum w:abstractNumId="226">
    <w:nsid w:val="1876589D"/>
    <w:multiLevelType w:val="hybridMultilevel"/>
    <w:lvl w:ilvl="0">
      <w:lvlJc w:val="left"/>
      <w:lvlText w:val="%1."/>
      <w:numFmt w:val="decimal"/>
      <w:start w:val="2"/>
    </w:lvl>
    <w:lvl w:ilvl="1">
      <w:lvlJc w:val="left"/>
      <w:lvlText w:val="(%2)"/>
      <w:numFmt w:val="lowerLetter"/>
      <w:start w:val="1"/>
    </w:lvl>
  </w:abstractNum>
  <w:abstractNum w:abstractNumId="227">
    <w:nsid w:val="327FAC77"/>
    <w:multiLevelType w:val="hybridMultilevel"/>
    <w:lvl w:ilvl="0">
      <w:lvlJc w:val="left"/>
      <w:lvlText w:val="(%1)"/>
      <w:numFmt w:val="lowerLetter"/>
      <w:start w:val="2"/>
    </w:lvl>
    <w:lvl w:ilvl="1">
      <w:lvlJc w:val="left"/>
      <w:lvlText w:val="(%2)"/>
      <w:numFmt w:val="lowerLetter"/>
      <w:start w:val="9"/>
    </w:lvl>
  </w:abstractNum>
  <w:abstractNum w:abstractNumId="228">
    <w:nsid w:val="5A606509"/>
    <w:multiLevelType w:val="hybridMultilevel"/>
    <w:lvl w:ilvl="0">
      <w:lvlJc w:val="left"/>
      <w:lvlText w:val="(%1)"/>
      <w:numFmt w:val="lowerRoman"/>
      <w:start w:val="2"/>
    </w:lvl>
  </w:abstractNum>
  <w:abstractNum w:abstractNumId="229">
    <w:nsid w:val="6F38E6D1"/>
    <w:multiLevelType w:val="hybridMultilevel"/>
    <w:lvl w:ilvl="0">
      <w:lvlJc w:val="left"/>
      <w:lvlText w:val="%1"/>
      <w:numFmt w:val="lowerLetter"/>
      <w:start w:val="1"/>
    </w:lvl>
    <w:lvl w:ilvl="1">
      <w:lvlJc w:val="left"/>
      <w:lvlText w:val="(%2)"/>
      <w:numFmt w:val="lowerRoman"/>
      <w:start w:val="4"/>
    </w:lvl>
  </w:abstractNum>
  <w:abstractNum w:abstractNumId="230">
    <w:nsid w:val="46111BA5"/>
    <w:multiLevelType w:val="hybridMultilevel"/>
    <w:lvl w:ilvl="0">
      <w:lvlJc w:val="left"/>
      <w:lvlText w:val="(%1)"/>
      <w:numFmt w:val="lowerLetter"/>
      <w:start w:val="3"/>
    </w:lvl>
    <w:lvl w:ilvl="1">
      <w:lvlJc w:val="left"/>
      <w:lvlText w:val="%2"/>
      <w:numFmt w:val="lowerRoman"/>
      <w:start w:val="1"/>
    </w:lvl>
  </w:abstractNum>
  <w:abstractNum w:abstractNumId="231">
    <w:nsid w:val="5E963896"/>
    <w:multiLevelType w:val="hybridMultilevel"/>
    <w:lvl w:ilvl="0">
      <w:lvlJc w:val="left"/>
      <w:lvlText w:val="%1"/>
      <w:numFmt w:val="decimal"/>
      <w:start w:val="1"/>
    </w:lvl>
    <w:lvl w:ilvl="1">
      <w:lvlJc w:val="left"/>
      <w:lvlText w:val="(%2)"/>
      <w:numFmt w:val="lowerLetter"/>
      <w:start w:val="4"/>
    </w:lvl>
  </w:abstractNum>
  <w:abstractNum w:abstractNumId="232">
    <w:nsid w:val="775BA7C1"/>
    <w:multiLevelType w:val="hybridMultilevel"/>
    <w:lvl w:ilvl="0">
      <w:lvlJc w:val="left"/>
      <w:lvlText w:val="%1."/>
      <w:numFmt w:val="decimal"/>
      <w:start w:val="3"/>
    </w:lvl>
    <w:lvl w:ilvl="1">
      <w:lvlJc w:val="left"/>
      <w:lvlText w:val="%2"/>
      <w:numFmt w:val="lowerLetter"/>
      <w:start w:val="1"/>
    </w:lvl>
  </w:abstractNum>
  <w:abstractNum w:abstractNumId="233">
    <w:nsid w:val="1DD6D6F4"/>
    <w:multiLevelType w:val="hybridMultilevel"/>
    <w:lvl w:ilvl="0">
      <w:lvlJc w:val="left"/>
      <w:lvlText w:val="%1."/>
      <w:numFmt w:val="decimal"/>
      <w:start w:val="4"/>
    </w:lvl>
    <w:lvl w:ilvl="1">
      <w:lvlJc w:val="left"/>
      <w:lvlText w:val="(%2)"/>
      <w:numFmt w:val="lowerLetter"/>
      <w:start w:val="1"/>
    </w:lvl>
  </w:abstractNum>
  <w:abstractNum w:abstractNumId="234">
    <w:nsid w:val="769A091F"/>
    <w:multiLevelType w:val="hybridMultilevel"/>
    <w:lvl w:ilvl="0">
      <w:lvlJc w:val="left"/>
      <w:lvlText w:val="%1"/>
      <w:numFmt w:val="decimal"/>
      <w:start w:val="1"/>
    </w:lvl>
    <w:lvl w:ilvl="1">
      <w:lvlJc w:val="left"/>
      <w:lvlText w:val="(%2)"/>
      <w:numFmt w:val="lowerLetter"/>
      <w:start w:val="3"/>
    </w:lvl>
  </w:abstractNum>
  <w:abstractNum w:abstractNumId="235">
    <w:nsid w:val="4695AE95"/>
    <w:multiLevelType w:val="hybridMultilevel"/>
    <w:lvl w:ilvl="0">
      <w:lvlJc w:val="left"/>
      <w:lvlText w:val="%1."/>
      <w:numFmt w:val="decimal"/>
      <w:start w:val="5"/>
    </w:lvl>
    <w:lvl w:ilvl="1">
      <w:lvlJc w:val="left"/>
      <w:lvlText w:val="%2"/>
      <w:numFmt w:val="lowerLetter"/>
      <w:start w:val="1"/>
    </w:lvl>
  </w:abstractNum>
  <w:abstractNum w:abstractNumId="236">
    <w:nsid w:val="777A4EAA"/>
    <w:multiLevelType w:val="hybridMultilevel"/>
    <w:lvl w:ilvl="0">
      <w:lvlJc w:val="left"/>
      <w:lvlText w:val="%1."/>
      <w:numFmt w:val="decimal"/>
      <w:start w:val="6"/>
    </w:lvl>
    <w:lvl w:ilvl="1">
      <w:lvlJc w:val="left"/>
      <w:lvlText w:val="(%2)"/>
      <w:numFmt w:val="lowerLetter"/>
      <w:start w:val="1"/>
    </w:lvl>
  </w:abstractNum>
  <w:abstractNum w:abstractNumId="237">
    <w:nsid w:val="3F48B982"/>
    <w:multiLevelType w:val="hybridMultilevel"/>
    <w:lvl w:ilvl="0">
      <w:lvlJc w:val="left"/>
      <w:lvlText w:val="%1"/>
      <w:numFmt w:val="decimal"/>
      <w:start w:val="1"/>
    </w:lvl>
    <w:lvl w:ilvl="1">
      <w:lvlJc w:val="left"/>
      <w:lvlText w:val="(%2)"/>
      <w:numFmt w:val="lowerLetter"/>
      <w:start w:val="3"/>
    </w:lvl>
  </w:abstractNum>
  <w:abstractNum w:abstractNumId="238">
    <w:nsid w:val="46BA8FCA"/>
    <w:multiLevelType w:val="hybridMultilevel"/>
    <w:lvl w:ilvl="0">
      <w:lvlJc w:val="left"/>
      <w:lvlText w:val="%1."/>
      <w:numFmt w:val="decimal"/>
      <w:start w:val="8"/>
    </w:lvl>
    <w:lvl w:ilvl="1">
      <w:lvlJc w:val="left"/>
      <w:lvlText w:val="%2"/>
      <w:numFmt w:val="lowerLetter"/>
      <w:start w:val="1"/>
    </w:lvl>
  </w:abstractNum>
  <w:abstractNum w:abstractNumId="239">
    <w:nsid w:val="7835626C"/>
    <w:multiLevelType w:val="hybridMultilevel"/>
    <w:lvl w:ilvl="0">
      <w:lvlJc w:val="left"/>
      <w:lvlText w:val="%1."/>
      <w:numFmt w:val="decimal"/>
      <w:start w:val="10"/>
    </w:lvl>
  </w:abstractNum>
  <w:abstractNum w:abstractNumId="240">
    <w:nsid w:val="665ACA49"/>
    <w:multiLevelType w:val="hybridMultilevel"/>
    <w:lvl w:ilvl="0">
      <w:lvlJc w:val="left"/>
      <w:lvlText w:val="%1."/>
      <w:numFmt w:val="decimal"/>
      <w:start w:val="14"/>
    </w:lvl>
    <w:lvl w:ilvl="1">
      <w:lvlJc w:val="left"/>
      <w:lvlText w:val="(%2)"/>
      <w:numFmt w:val="lowerLetter"/>
      <w:start w:val="1"/>
    </w:lvl>
  </w:abstractNum>
  <w:abstractNum w:abstractNumId="241">
    <w:nsid w:val="6835B2AE"/>
    <w:multiLevelType w:val="hybridMultilevel"/>
    <w:lvl w:ilvl="0">
      <w:lvlJc w:val="left"/>
      <w:lvlText w:val="%1"/>
      <w:numFmt w:val="lowerLetter"/>
      <w:start w:val="1"/>
    </w:lvl>
    <w:lvl w:ilvl="1">
      <w:lvlJc w:val="left"/>
      <w:lvlText w:val="(%2)"/>
      <w:numFmt w:val="lowerLetter"/>
      <w:start w:val="2"/>
    </w:lvl>
  </w:abstractNum>
  <w:abstractNum w:abstractNumId="242">
    <w:nsid w:val="4C187C90"/>
    <w:multiLevelType w:val="hybridMultilevel"/>
    <w:lvl w:ilvl="0">
      <w:lvlJc w:val="left"/>
      <w:lvlText w:val="(%1)"/>
      <w:numFmt w:val="lowerLetter"/>
      <w:start w:val="35"/>
    </w:lvl>
    <w:lvl w:ilvl="1">
      <w:lvlJc w:val="left"/>
      <w:lvlText w:val="(%2)"/>
      <w:numFmt w:val="lowerLetter"/>
      <w:start w:val="3"/>
    </w:lvl>
  </w:abstractNum>
  <w:abstractNum w:abstractNumId="243">
    <w:nsid w:val="541F28CD"/>
    <w:multiLevelType w:val="hybridMultilevel"/>
    <w:lvl w:ilvl="0">
      <w:lvlJc w:val="left"/>
      <w:lvlText w:val="(%1)"/>
      <w:numFmt w:val="lowerLetter"/>
      <w:start w:val="6"/>
    </w:lvl>
  </w:abstractNum>
  <w:abstractNum w:abstractNumId="244">
    <w:nsid w:val="7F65FD16"/>
    <w:multiLevelType w:val="hybridMultilevel"/>
    <w:lvl w:ilvl="0">
      <w:lvlJc w:val="left"/>
      <w:lvlText w:val="(%1)"/>
      <w:numFmt w:val="lowerLetter"/>
      <w:start w:val="11"/>
    </w:lvl>
  </w:abstractNum>
  <w:abstractNum w:abstractNumId="245">
    <w:nsid w:val="77C9FD68"/>
    <w:multiLevelType w:val="hybridMultilevel"/>
    <w:lvl w:ilvl="0">
      <w:lvlJc w:val="left"/>
      <w:lvlText w:val="%1"/>
      <w:numFmt w:val="decimal"/>
      <w:start w:val="1"/>
    </w:lvl>
    <w:lvl w:ilvl="1">
      <w:lvlJc w:val="left"/>
      <w:lvlText w:val="(%2)"/>
      <w:numFmt w:val="lowerLetter"/>
      <w:start w:val="13"/>
    </w:lvl>
  </w:abstractNum>
  <w:abstractNum w:abstractNumId="246">
    <w:nsid w:val="298A92BA"/>
    <w:multiLevelType w:val="hybridMultilevel"/>
    <w:lvl w:ilvl="0">
      <w:lvlJc w:val="left"/>
      <w:lvlText w:val="(%1)"/>
      <w:numFmt w:val="decimal"/>
      <w:start w:val="2"/>
    </w:lvl>
    <w:lvl w:ilvl="1">
      <w:lvlJc w:val="left"/>
      <w:lvlText w:val="(%2)"/>
      <w:numFmt w:val="lowerLetter"/>
      <w:start w:val="14"/>
    </w:lvl>
  </w:abstractNum>
  <w:abstractNum w:abstractNumId="247">
    <w:nsid w:val="6FE95EAC"/>
    <w:multiLevelType w:val="hybridMultilevel"/>
    <w:lvl w:ilvl="0">
      <w:lvlJc w:val="left"/>
      <w:lvlText w:val="%1"/>
      <w:numFmt w:val="decimal"/>
      <w:start w:val="1"/>
    </w:lvl>
    <w:lvl w:ilvl="1">
      <w:lvlJc w:val="left"/>
      <w:lvlText w:val="(%2)"/>
      <w:numFmt w:val="lowerLetter"/>
      <w:start w:val="20"/>
    </w:lvl>
  </w:abstractNum>
  <w:abstractNum w:abstractNumId="248">
    <w:nsid w:val="4B697C7A"/>
    <w:multiLevelType w:val="hybridMultilevel"/>
    <w:lvl w:ilvl="0">
      <w:lvlJc w:val="left"/>
      <w:lvlText w:val="%1."/>
      <w:numFmt w:val="decimal"/>
      <w:start w:val="17"/>
    </w:lvl>
    <w:lvl w:ilvl="1">
      <w:lvlJc w:val="left"/>
      <w:lvlText w:val="%2"/>
      <w:numFmt w:val="lowerLetter"/>
      <w:start w:val="1"/>
    </w:lvl>
  </w:abstractNum>
  <w:abstractNum w:abstractNumId="249">
    <w:nsid w:val="51A27AA6"/>
    <w:multiLevelType w:val="hybridMultilevel"/>
    <w:lvl w:ilvl="0">
      <w:lvlJc w:val="left"/>
      <w:lvlText w:val="%1."/>
      <w:numFmt w:val="decimal"/>
      <w:start w:val="1"/>
    </w:lvl>
  </w:abstractNum>
  <w:abstractNum w:abstractNumId="250">
    <w:nsid w:val="613183F2"/>
    <w:multiLevelType w:val="hybridMultilevel"/>
    <w:lvl w:ilvl="0">
      <w:lvlJc w:val="left"/>
      <w:lvlText w:val="%1."/>
      <w:numFmt w:val="decimal"/>
      <w:start w:val="2"/>
    </w:lvl>
  </w:abstractNum>
  <w:abstractNum w:abstractNumId="251">
    <w:nsid w:val="634102B4"/>
    <w:multiLevelType w:val="hybridMultilevel"/>
    <w:lvl w:ilvl="0">
      <w:lvlJc w:val="left"/>
      <w:lvlText w:val="%1."/>
      <w:numFmt w:val="decimal"/>
      <w:start w:val="1"/>
    </w:lvl>
    <w:lvl w:ilvl="1">
      <w:lvlJc w:val="left"/>
      <w:lvlText w:val="(%2)"/>
      <w:numFmt w:val="lowerLetter"/>
      <w:start w:val="1"/>
    </w:lvl>
  </w:abstractNum>
  <w:abstractNum w:abstractNumId="252">
    <w:nsid w:val="65BF9DA8"/>
    <w:multiLevelType w:val="hybridMultilevel"/>
    <w:lvl w:ilvl="0">
      <w:lvlJc w:val="left"/>
      <w:lvlText w:val="1"/>
      <w:numFmt w:val="bullet"/>
      <w:start w:val="1"/>
    </w:lvl>
  </w:abstractNum>
  <w:abstractNum w:abstractNumId="253">
    <w:nsid w:val="21A2ECCA"/>
    <w:multiLevelType w:val="hybridMultilevel"/>
    <w:lvl w:ilvl="0">
      <w:lvlJc w:val="left"/>
      <w:lvlText w:val="(%1)"/>
      <w:numFmt w:val="lowerLetter"/>
      <w:start w:val="2"/>
    </w:lvl>
  </w:abstractNum>
  <w:abstractNum w:abstractNumId="254">
    <w:nsid w:val="4D5C4899"/>
    <w:multiLevelType w:val="hybridMultilevel"/>
    <w:lvl w:ilvl="0">
      <w:lvlJc w:val="left"/>
      <w:lvlText w:val="(%1)"/>
      <w:numFmt w:val="lowerLetter"/>
      <w:start w:val="5"/>
    </w:lvl>
  </w:abstractNum>
  <w:abstractNum w:abstractNumId="255">
    <w:nsid w:val="3C3B72B2"/>
    <w:multiLevelType w:val="hybridMultilevel"/>
    <w:lvl w:ilvl="0">
      <w:lvlJc w:val="left"/>
      <w:lvlText w:val="(%1)"/>
      <w:numFmt w:val="lowerLetter"/>
      <w:start w:val="7"/>
    </w:lvl>
  </w:abstractNum>
  <w:abstractNum w:abstractNumId="256">
    <w:nsid w:val="155EC4C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57">
    <w:nsid w:val="65D2A137"/>
    <w:multiLevelType w:val="hybridMultilevel"/>
    <w:lvl w:ilvl="0">
      <w:lvlJc w:val="left"/>
      <w:lvlText w:val="(%1)"/>
      <w:numFmt w:val="decimal"/>
      <w:start w:val="1"/>
    </w:lvl>
    <w:lvl w:ilvl="1">
      <w:lvlJc w:val="left"/>
      <w:lvlText w:val="(%2)"/>
      <w:numFmt w:val="lowerRoman"/>
      <w:start w:val="2"/>
    </w:lvl>
  </w:abstractNum>
  <w:abstractNum w:abstractNumId="258">
    <w:nsid w:val="6EBB1F2A"/>
    <w:multiLevelType w:val="hybridMultilevel"/>
    <w:lvl w:ilvl="0">
      <w:lvlJc w:val="left"/>
      <w:lvlText w:val="(%1)"/>
      <w:numFmt w:val="lowerRoman"/>
      <w:start w:val="3"/>
    </w:lvl>
  </w:abstractNum>
  <w:abstractNum w:abstractNumId="259">
    <w:nsid w:val="6FBF29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60">
    <w:nsid w:val="550B880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61">
    <w:nsid w:val="34CC3AC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62">
    <w:nsid w:val="4E556261"/>
    <w:multiLevelType w:val="hybridMultilevel"/>
    <w:lvl w:ilvl="0">
      <w:lvlJc w:val="left"/>
      <w:lvlText w:val="%1."/>
      <w:numFmt w:val="decimal"/>
      <w:start w:val="4"/>
    </w:lvl>
    <w:lvl w:ilvl="1">
      <w:lvlJc w:val="left"/>
      <w:lvlText w:val="(%2)"/>
      <w:numFmt w:val="lowerLetter"/>
      <w:start w:val="1"/>
    </w:lvl>
  </w:abstractNum>
  <w:abstractNum w:abstractNumId="263">
    <w:nsid w:val="4C672FC9"/>
    <w:multiLevelType w:val="hybridMultilevel"/>
    <w:lvl w:ilvl="0">
      <w:lvlJc w:val="left"/>
      <w:lvlText w:val="(%1)"/>
      <w:numFmt w:val="lowerLetter"/>
      <w:start w:val="3"/>
    </w:lvl>
  </w:abstractNum>
  <w:abstractNum w:abstractNumId="264">
    <w:nsid w:val="52A311C3"/>
    <w:multiLevelType w:val="hybridMultilevel"/>
    <w:lvl w:ilvl="0">
      <w:lvlJc w:val="left"/>
      <w:lvlText w:val="%1."/>
      <w:numFmt w:val="decimal"/>
      <w:start w:val="5"/>
    </w:lvl>
    <w:lvl w:ilvl="1">
      <w:lvlJc w:val="left"/>
      <w:lvlText w:val="(%2)"/>
      <w:numFmt w:val="lowerLetter"/>
      <w:start w:val="1"/>
    </w:lvl>
  </w:abstractNum>
  <w:abstractNum w:abstractNumId="265">
    <w:nsid w:val="44EF6B80"/>
    <w:multiLevelType w:val="hybridMultilevel"/>
    <w:lvl w:ilvl="0">
      <w:lvlJc w:val="left"/>
      <w:lvlText w:val="%1"/>
      <w:numFmt w:val="decimal"/>
      <w:start w:val="1"/>
    </w:lvl>
    <w:lvl w:ilvl="1">
      <w:lvlJc w:val="left"/>
      <w:lvlText w:val="(%2)"/>
      <w:numFmt w:val="lowerLetter"/>
      <w:start w:val="2"/>
    </w:lvl>
  </w:abstractNum>
  <w:abstractNum w:abstractNumId="266">
    <w:nsid w:val="12FCDE5E"/>
    <w:multiLevelType w:val="hybridMultilevel"/>
    <w:lvl w:ilvl="0">
      <w:lvlJc w:val="left"/>
      <w:lvlText w:val="%1."/>
      <w:numFmt w:val="decimal"/>
      <w:start w:val="8"/>
    </w:lvl>
    <w:lvl w:ilvl="1">
      <w:lvlJc w:val="left"/>
      <w:lvlText w:val="%2"/>
      <w:numFmt w:val="lowerLetter"/>
      <w:start w:val="1"/>
    </w:lvl>
  </w:abstractNum>
  <w:abstractNum w:abstractNumId="267">
    <w:nsid w:val="4A1D606E"/>
    <w:multiLevelType w:val="hybridMultilevel"/>
    <w:lvl w:ilvl="0">
      <w:lvlJc w:val="left"/>
      <w:lvlText w:val="%1."/>
      <w:numFmt w:val="decimal"/>
      <w:start w:val="9"/>
    </w:lvl>
  </w:abstractNum>
  <w:abstractNum w:abstractNumId="268">
    <w:nsid w:val="4382503"/>
    <w:multiLevelType w:val="hybridMultilevel"/>
    <w:lvl w:ilvl="0">
      <w:lvlJc w:val="left"/>
      <w:lvlText w:val="%1."/>
      <w:numFmt w:val="decimal"/>
      <w:start w:val="14"/>
    </w:lvl>
  </w:abstractNum>
  <w:abstractNum w:abstractNumId="269">
    <w:nsid w:val="59B76E28"/>
    <w:multiLevelType w:val="hybridMultilevel"/>
    <w:lvl w:ilvl="0">
      <w:lvlJc w:val="left"/>
      <w:lvlText w:val="%1"/>
      <w:numFmt w:val="lowerLetter"/>
      <w:start w:val="1"/>
    </w:lvl>
    <w:lvl w:ilvl="1">
      <w:lvlJc w:val="left"/>
      <w:lvlText w:val="(%2)"/>
      <w:numFmt w:val="lowerLetter"/>
      <w:start w:val="1"/>
    </w:lvl>
  </w:abstractNum>
  <w:abstractNum w:abstractNumId="270">
    <w:nsid w:val="4252C2DA"/>
    <w:multiLevelType w:val="hybridMultilevel"/>
    <w:lvl w:ilvl="0">
      <w:lvlJc w:val="left"/>
      <w:lvlText w:val="(%1)"/>
      <w:numFmt w:val="lowerLetter"/>
      <w:start w:val="35"/>
    </w:lvl>
    <w:lvl w:ilvl="1">
      <w:lvlJc w:val="left"/>
      <w:lvlText w:val="(%2)"/>
      <w:numFmt w:val="lowerLetter"/>
      <w:start w:val="5"/>
    </w:lvl>
  </w:abstractNum>
  <w:abstractNum w:abstractNumId="271">
    <w:nsid w:val="6A92EF4C"/>
    <w:multiLevelType w:val="hybridMultilevel"/>
    <w:lvl w:ilvl="0">
      <w:lvlJc w:val="left"/>
      <w:lvlText w:val="(%1)"/>
      <w:numFmt w:val="lowerLetter"/>
      <w:start w:val="6"/>
    </w:lvl>
  </w:abstractNum>
  <w:abstractNum w:abstractNumId="272">
    <w:nsid w:val="41ED20D7"/>
    <w:multiLevelType w:val="hybridMultilevel"/>
    <w:lvl w:ilvl="0">
      <w:lvlJc w:val="left"/>
      <w:lvlText w:val="%1"/>
      <w:numFmt w:val="decimal"/>
      <w:start w:val="1"/>
    </w:lvl>
    <w:lvl w:ilvl="1">
      <w:lvlJc w:val="left"/>
      <w:lvlText w:val="(%2)"/>
      <w:numFmt w:val="lowerLetter"/>
      <w:start w:val="13"/>
    </w:lvl>
  </w:abstractNum>
  <w:abstractNum w:abstractNumId="273">
    <w:nsid w:val="E6B3F6A"/>
    <w:multiLevelType w:val="hybridMultilevel"/>
    <w:lvl w:ilvl="0">
      <w:lvlJc w:val="left"/>
      <w:lvlText w:val="(%1)"/>
      <w:numFmt w:val="decimal"/>
      <w:start w:val="2"/>
    </w:lvl>
    <w:lvl w:ilvl="1">
      <w:lvlJc w:val="left"/>
      <w:lvlText w:val="(%2)"/>
      <w:numFmt w:val="lowerLetter"/>
      <w:start w:val="15"/>
    </w:lvl>
  </w:abstractNum>
  <w:abstractNum w:abstractNumId="274">
    <w:nsid w:val="3EB21819"/>
    <w:multiLevelType w:val="hybridMultilevel"/>
    <w:lvl w:ilvl="0">
      <w:lvlJc w:val="left"/>
      <w:lvlText w:val="(%1)"/>
      <w:numFmt w:val="lowerLetter"/>
      <w:start w:val="20"/>
    </w:lvl>
  </w:abstractNum>
  <w:abstractNum w:abstractNumId="275">
    <w:nsid w:val="41531DED"/>
    <w:multiLevelType w:val="hybridMultilevel"/>
    <w:lvl w:ilvl="0">
      <w:lvlJc w:val="left"/>
      <w:lvlText w:val="%1."/>
      <w:numFmt w:val="decimal"/>
      <w:start w:val="1"/>
    </w:lvl>
  </w:abstractNum>
  <w:abstractNum w:abstractNumId="276">
    <w:nsid w:val="6353CD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2020-02-25T21:25:29Z</dcterms:created>
  <dcterms:modified xsi:type="dcterms:W3CDTF">2020-02-25T21:25:29Z</dcterms:modified>
</cp:coreProperties>
</file>