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333-232122</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June 25, 2019)</w:t>
      </w:r>
    </w:p>
    <w:p>
      <w:pPr>
        <w:spacing w:after="0" w:line="202"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28,572,000 Shares</w:t>
      </w:r>
    </w:p>
    <w:p>
      <w:pPr>
        <w:spacing w:after="0" w:line="226"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4539615</wp:posOffset>
            </wp:positionH>
            <wp:positionV relativeFrom="paragraph">
              <wp:posOffset>-167640</wp:posOffset>
            </wp:positionV>
            <wp:extent cx="2597150" cy="58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582930"/>
                    </a:xfrm>
                    <a:prstGeom prst="rect">
                      <a:avLst/>
                    </a:prstGeom>
                    <a:noFill/>
                  </pic:spPr>
                </pic:pic>
              </a:graphicData>
            </a:graphic>
          </wp:anchor>
        </w:drawing>
      </w:r>
    </w:p>
    <w:p>
      <w:pPr>
        <w:spacing w:after="0" w:line="287"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Common Stock</w:t>
      </w:r>
    </w:p>
    <w:p>
      <w:pPr>
        <w:spacing w:after="0" w:line="361"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$1.75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color w:val="auto"/>
        </w:rPr>
        <w:t>We are offering 28,572,000 shares of our common stock.</w:t>
      </w:r>
    </w:p>
    <w:p>
      <w:pPr>
        <w:spacing w:after="0" w:line="225"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Our common stock is listed on The Nasdaq Global Market under the trading symbol “MRKR.” On March 12, 2021, the last reported sale price of our common stock on The Nasdaq Global Market was $1.94 per share.</w:t>
      </w:r>
    </w:p>
    <w:p>
      <w:pPr>
        <w:spacing w:after="0" w:line="166" w:lineRule="exact"/>
        <w:rPr>
          <w:sz w:val="24"/>
          <w:szCs w:val="24"/>
          <w:color w:val="auto"/>
        </w:rPr>
      </w:pPr>
    </w:p>
    <w:p>
      <w:pPr>
        <w:ind w:right="160"/>
        <w:spacing w:after="0" w:line="312" w:lineRule="auto"/>
        <w:rPr>
          <w:sz w:val="20"/>
          <w:szCs w:val="20"/>
          <w:color w:val="auto"/>
        </w:rPr>
      </w:pPr>
      <w:r>
        <w:rPr>
          <w:rFonts w:ascii="Arial" w:cs="Arial" w:eastAsia="Arial" w:hAnsi="Arial"/>
          <w:sz w:val="17"/>
          <w:szCs w:val="17"/>
          <w:b w:val="1"/>
          <w:bCs w:val="1"/>
          <w:color w:val="auto"/>
        </w:rPr>
        <w:t>Investing in our common stock involves a high degree of risk. See “Risk Factors” beginning on page S-4 of this prospectus supplement and in the documents incorporated by reference into this prospectus supplement and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1680" w:type="dxa"/>
            <w:vAlign w:val="bottom"/>
            <w:gridSpan w:val="2"/>
          </w:tcPr>
          <w:p>
            <w:pPr>
              <w:ind w:left="360"/>
              <w:spacing w:after="0"/>
              <w:rPr>
                <w:sz w:val="20"/>
                <w:szCs w:val="20"/>
                <w:color w:val="auto"/>
              </w:rPr>
            </w:pPr>
            <w:r>
              <w:rPr>
                <w:rFonts w:ascii="Arial" w:cs="Arial" w:eastAsia="Arial" w:hAnsi="Arial"/>
                <w:sz w:val="18"/>
                <w:szCs w:val="18"/>
                <w:b w:val="1"/>
                <w:bCs w:val="1"/>
                <w:color w:val="auto"/>
              </w:rPr>
              <w:t>Per Share</w:t>
            </w:r>
          </w:p>
        </w:tc>
        <w:tc>
          <w:tcPr>
            <w:tcW w:w="1460" w:type="dxa"/>
            <w:vAlign w:val="bottom"/>
          </w:tcPr>
          <w:p>
            <w:pPr>
              <w:ind w:lef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54"/>
        </w:trPr>
        <w:tc>
          <w:tcPr>
            <w:tcW w:w="8100" w:type="dxa"/>
            <w:vAlign w:val="bottom"/>
            <w:vMerge w:val="restart"/>
          </w:tcPr>
          <w:p>
            <w:pPr>
              <w:spacing w:after="0"/>
              <w:rPr>
                <w:sz w:val="20"/>
                <w:szCs w:val="20"/>
                <w:color w:val="auto"/>
              </w:rPr>
            </w:pPr>
            <w:r>
              <w:rPr>
                <w:rFonts w:ascii="Arial" w:cs="Arial" w:eastAsia="Arial" w:hAnsi="Arial"/>
                <w:sz w:val="18"/>
                <w:szCs w:val="18"/>
                <w:color w:val="auto"/>
              </w:rPr>
              <w:t>Public offering price</w:t>
            </w:r>
          </w:p>
        </w:tc>
        <w:tc>
          <w:tcPr>
            <w:tcW w:w="1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100" w:type="dxa"/>
            <w:vAlign w:val="bottom"/>
            <w:vMerge w:val="continue"/>
          </w:tcPr>
          <w:p>
            <w:pPr>
              <w:spacing w:after="0"/>
              <w:rPr>
                <w:sz w:val="22"/>
                <w:szCs w:val="22"/>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22"/>
                <w:szCs w:val="22"/>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$50,001,000.00</w:t>
            </w:r>
          </w:p>
        </w:tc>
        <w:tc>
          <w:tcPr>
            <w:tcW w:w="0" w:type="dxa"/>
            <w:vAlign w:val="bottom"/>
          </w:tcPr>
          <w:p>
            <w:pPr>
              <w:spacing w:after="0"/>
              <w:rPr>
                <w:sz w:val="1"/>
                <w:szCs w:val="1"/>
                <w:color w:val="auto"/>
              </w:rPr>
            </w:pPr>
          </w:p>
        </w:tc>
      </w:tr>
      <w:tr>
        <w:trPr>
          <w:trHeight w:val="458"/>
        </w:trPr>
        <w:tc>
          <w:tcPr>
            <w:tcW w:w="8100" w:type="dxa"/>
            <w:vAlign w:val="bottom"/>
          </w:tcPr>
          <w:p>
            <w:pPr>
              <w:spacing w:after="0"/>
              <w:rPr>
                <w:sz w:val="20"/>
                <w:szCs w:val="20"/>
                <w:color w:val="auto"/>
              </w:rPr>
            </w:pPr>
            <w:r>
              <w:rPr>
                <w:rFonts w:ascii="Arial" w:cs="Arial" w:eastAsia="Arial" w:hAnsi="Arial"/>
                <w:sz w:val="18"/>
                <w:szCs w:val="18"/>
                <w:color w:val="auto"/>
              </w:rPr>
              <w:t>Underwriting discount</w:t>
            </w:r>
            <w:r>
              <w:rPr>
                <w:rFonts w:ascii="Arial" w:cs="Arial" w:eastAsia="Arial" w:hAnsi="Arial"/>
                <w:sz w:val="29"/>
                <w:szCs w:val="29"/>
                <w:color w:val="auto"/>
                <w:vertAlign w:val="superscript"/>
              </w:rPr>
              <w:t>(1)</w:t>
            </w:r>
          </w:p>
        </w:tc>
        <w:tc>
          <w:tcPr>
            <w:tcW w:w="1460" w:type="dxa"/>
            <w:vAlign w:val="bottom"/>
          </w:tcPr>
          <w:p>
            <w:pPr>
              <w:spacing w:after="0"/>
              <w:rPr>
                <w:sz w:val="20"/>
                <w:szCs w:val="20"/>
                <w:color w:val="auto"/>
              </w:rPr>
            </w:pPr>
            <w:r>
              <w:rPr>
                <w:rFonts w:ascii="Arial" w:cs="Arial" w:eastAsia="Arial" w:hAnsi="Arial"/>
                <w:sz w:val="18"/>
                <w:szCs w:val="18"/>
                <w:color w:val="auto"/>
              </w:rPr>
              <w:t>$0.118125</w:t>
            </w:r>
          </w:p>
        </w:tc>
        <w:tc>
          <w:tcPr>
            <w:tcW w:w="2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$3,375,067.50</w:t>
            </w:r>
          </w:p>
        </w:tc>
        <w:tc>
          <w:tcPr>
            <w:tcW w:w="0" w:type="dxa"/>
            <w:vAlign w:val="bottom"/>
          </w:tcPr>
          <w:p>
            <w:pPr>
              <w:spacing w:after="0"/>
              <w:rPr>
                <w:sz w:val="1"/>
                <w:szCs w:val="1"/>
                <w:color w:val="auto"/>
              </w:rPr>
            </w:pP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Proceeds, before expenses, to Marker Therapeutics, Inc.</w:t>
            </w:r>
          </w:p>
        </w:tc>
        <w:tc>
          <w:tcPr>
            <w:tcW w:w="1460" w:type="dxa"/>
            <w:vAlign w:val="bottom"/>
          </w:tcPr>
          <w:p>
            <w:pPr>
              <w:spacing w:after="0"/>
              <w:rPr>
                <w:sz w:val="20"/>
                <w:szCs w:val="20"/>
                <w:color w:val="auto"/>
              </w:rPr>
            </w:pPr>
            <w:r>
              <w:rPr>
                <w:rFonts w:ascii="Arial" w:cs="Arial" w:eastAsia="Arial" w:hAnsi="Arial"/>
                <w:sz w:val="18"/>
                <w:szCs w:val="18"/>
                <w:color w:val="auto"/>
              </w:rPr>
              <w:t>$1.631875</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$46,625,932.50</w:t>
            </w:r>
          </w:p>
        </w:tc>
        <w:tc>
          <w:tcPr>
            <w:tcW w:w="0" w:type="dxa"/>
            <w:vAlign w:val="bottom"/>
          </w:tcPr>
          <w:p>
            <w:pPr>
              <w:spacing w:after="0"/>
              <w:rPr>
                <w:sz w:val="1"/>
                <w:szCs w:val="1"/>
                <w:color w:val="auto"/>
              </w:rPr>
            </w:pPr>
          </w:p>
        </w:tc>
      </w:tr>
      <w:tr>
        <w:trPr>
          <w:trHeight w:val="54"/>
        </w:trPr>
        <w:tc>
          <w:tcPr>
            <w:tcW w:w="81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See “Underwriting” beginning on page S-14 of this prospectus supplement for additional information regarding underwriting compensation.</w:t>
      </w:r>
    </w:p>
    <w:p>
      <w:pPr>
        <w:spacing w:after="0" w:line="237"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i w:val="1"/>
          <w:iCs w:val="1"/>
          <w:color w:val="auto"/>
        </w:rPr>
        <w:t>We have granted the underwriters an option for a period of 30 days to purchase up to an additional 4,285,800 shares of common stock at the public offering price, less the underwriting discounts and commissions.</w:t>
      </w:r>
    </w:p>
    <w:p>
      <w:pPr>
        <w:spacing w:after="0" w:line="166" w:lineRule="exact"/>
        <w:rPr>
          <w:sz w:val="24"/>
          <w:szCs w:val="24"/>
          <w:color w:val="auto"/>
        </w:rPr>
      </w:pPr>
    </w:p>
    <w:p>
      <w:pPr>
        <w:ind w:right="80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The underwriters expect to deliver the shares of common stock to investors on or about March 16, 2021.</w:t>
      </w:r>
    </w:p>
    <w:p>
      <w:pPr>
        <w:spacing w:after="0" w:line="216" w:lineRule="exact"/>
        <w:rPr>
          <w:sz w:val="24"/>
          <w:szCs w:val="24"/>
          <w:color w:val="auto"/>
        </w:rPr>
      </w:pPr>
    </w:p>
    <w:p>
      <w:pPr>
        <w:ind w:left="2020"/>
        <w:spacing w:after="0"/>
        <w:tabs>
          <w:tab w:leader="none" w:pos="8080" w:val="left"/>
        </w:tabs>
        <w:rPr>
          <w:sz w:val="20"/>
          <w:szCs w:val="20"/>
          <w:color w:val="auto"/>
        </w:rPr>
      </w:pPr>
      <w:r>
        <w:rPr>
          <w:rFonts w:ascii="Arial" w:cs="Arial" w:eastAsia="Arial" w:hAnsi="Arial"/>
          <w:sz w:val="25"/>
          <w:szCs w:val="25"/>
          <w:b w:val="1"/>
          <w:bCs w:val="1"/>
          <w:color w:val="auto"/>
        </w:rPr>
        <w:t>Piper Sandler</w:t>
      </w:r>
      <w:r>
        <w:rPr>
          <w:sz w:val="20"/>
          <w:szCs w:val="20"/>
          <w:color w:val="auto"/>
        </w:rPr>
        <w:tab/>
      </w:r>
      <w:r>
        <w:rPr>
          <w:rFonts w:ascii="Arial" w:cs="Arial" w:eastAsia="Arial" w:hAnsi="Arial"/>
          <w:sz w:val="24"/>
          <w:szCs w:val="24"/>
          <w:b w:val="1"/>
          <w:bCs w:val="1"/>
          <w:color w:val="auto"/>
        </w:rPr>
        <w:t>Cantor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191770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Oppenheimer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191770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Roth Capital Partners</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March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934720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9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920" w:type="dxa"/>
            <w:vAlign w:val="bottom"/>
          </w:tcPr>
          <w:p>
            <w:pPr>
              <w:spacing w:after="0"/>
              <w:rPr>
                <w:sz w:val="20"/>
                <w:szCs w:val="20"/>
                <w:color w:val="auto"/>
              </w:rPr>
            </w:pPr>
            <w:r>
              <w:rPr>
                <w:rFonts w:ascii="Arial" w:cs="Arial" w:eastAsia="Arial" w:hAnsi="Arial"/>
                <w:sz w:val="18"/>
                <w:szCs w:val="18"/>
                <w:b w:val="1"/>
                <w:bCs w:val="1"/>
                <w:color w:val="auto"/>
              </w:rPr>
              <w:t>PROSPECTUS SUPPLEMENT</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 SUPPLEMENT</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S-ii</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SUPPLEMENT SUMMARY</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 FACTORS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S-4</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SPECIAL NOTE REGARDING FORWARD-LOOKING STATEMENTS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S-6</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USE OF PROCEEDS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S-8</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DILUTION</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S-9</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MATERIAL U.S. FEDERAL INCOME TAX CONSEQUENCES TO NON-U.S. HOLDERS OF OUR COMMON STOCK</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S-10</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UNDERWRITING</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S-14</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LEGAL MATTERS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S-19</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EXPERTS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S-19</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WHERE YOU CAN FIND MORE INFORMATION</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S-19</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INCORPORATION OF CERTAIN INFORMATION BY REFERENCE</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S-20</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920" w:type="dxa"/>
            <w:vAlign w:val="bottom"/>
          </w:tcPr>
          <w:p>
            <w:pPr>
              <w:spacing w:after="0"/>
              <w:rPr>
                <w:sz w:val="20"/>
                <w:szCs w:val="20"/>
                <w:color w:val="auto"/>
              </w:rPr>
            </w:pPr>
            <w:r>
              <w:rPr>
                <w:rFonts w:ascii="Arial" w:cs="Arial" w:eastAsia="Arial" w:hAnsi="Arial"/>
                <w:sz w:val="18"/>
                <w:szCs w:val="18"/>
                <w:b w:val="1"/>
                <w:bCs w:val="1"/>
                <w:color w:val="auto"/>
              </w:rPr>
              <w:t>PROSPECTUS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ABOUT THIS PROSPECTUS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SUMMARY</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RISK FACTORS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SPECIAL NOTE REGARDING FORWARD-LOOKING STATEMENTS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USE OF PROCEEDS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6</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DESCRIPTION OF CAPITAL STOCK</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DESCRIPTION OF DEBT SECURITIES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10</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DESCRIPTION OF WARRANTS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16</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LEGAL OWNERSHIP OF SECURITIES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18</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PLAN OF DISTRIBUTION</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21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LEGAL MATTERS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23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EXPERTS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23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WHERE YOU CAN FIND MORE INFORMATION</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23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INCORPORATION OF CERTAIN INFORMATION BY REFERENCE</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24</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9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document is part of a “shelf” registration statement on Form S-3 that we filed with the Securities and Exchange Commission, or the SEC, and is in two parts. The first part is this prospectus supplement, which describes the specific terms of this common stock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9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supplement or in the accompanying prospectus. We take no responsibility for, and can provide no assurance as to the reliability of, any other information that others may give you. 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titled “Where You Can Find More Information” and “Incorporation of Certain Information by Reference” in this prospectus supplement and in the accompanying prospectus.</w:t>
      </w:r>
    </w:p>
    <w:p>
      <w:pPr>
        <w:spacing w:after="0" w:line="16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66"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Unless the context indicates otherwise, as used in this prospectus supplement and the accompanying prospectus, references to “we,” “us,” “our,” “the company” and “Marker Therapeutics” refer to Marker Therapeutics, Inc., formerly known as TapImmune, Inc., and its subsidiaries. We own various U.S. federal trademark applications and unregistered trademarks, including our company name. All other trademarks or trade names referred to in this prospectus supplement and the accompanying prospectus are the property of their respective owners. Solely for convenience, the trademarks and trade names in this prospectus supplement and the accompanying prospectus are referred to without the symbols ® and ™, but such references should not be construed as any indication that their respective owners will not assert, to the fullest extent under applicable law, their rights thereto.</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7350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7350760"/>
                    </a:xfrm>
                    <a:prstGeom prst="rect">
                      <a:avLst/>
                    </a:prstGeom>
                    <a:noFill/>
                  </pic:spPr>
                </pic:pic>
              </a:graphicData>
            </a:graphic>
          </wp:anchor>
        </w:drawing>
        <w:t>PROSPECTUS SUPPLEMENT SUMMARY</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supplement and the accompanying prospectus and in the documents we incorporate by reference. This summary does not contain all of the information you should consider before investing in our common stock. You should read this entire prospectus supplement and the accompanying prospectus carefully, especially the risks of investing in our common stock discussed under “Risk Factors” beginning on page S-4 of this prospectus supplement and under similar headings in our Annual Report on Form 10-K for the year ended December 31, 2020, which is incorporated by reference in this prospectus supplement, along with our consolidated financial statements and notes to those consolidated financial statements and the other information incorporated by reference in this prospectus supplement and the accompanying prospectus, before making an investment decision.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a clinical-stage immuno-oncology company specializing in the development and commercialization of novel T cell-based immunotherapies and innovative peptide-based vaccines for the treatment of hematological malignancies and solid tumor indications. We developed our lead product candidates from our MultiTAA-specific T cell technology, which is based on the selective expansion of non-engineered, tumor-specific T cells that recognize tumor associated antigens, or TAAs, which are tumor targets, and then kill tumor cells expressing those targets. These T cells are designed to recognize multiple tumor targets to produce broad spectrum anti-tumor activity. We are advancing two pipelines of product candidates as part of our MultiTAA-specific T cell program: the autologous T cells for the treatment of lymphoma, multiple myeloma, or MM, and selected solid tumors and the allogeneic T cells for the treatment of acute myeloid leukemia, or AML, and acute lymphoblastic leukemia, or ALL. Because we do not genetically engineer the MultiTAA-specific T cell therapies, we believe that our product candidates are easier and less expensive to manufacture, have lower toxicities than current engineered chimeric antigen receptor, or CAR-T, and T cell receptor-based therapies and may provide patients with meaningful clinical benefit. We are also developing innovative peptide-based immunotherapeutic vaccines for the treatment of metastatic solid tumors.</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pursuing post-transplant AML as the lead indication for our first company-sponsored MultiTAA-specific T cell program. In April 2020, the FDA granted orphan drug designation to MT-401 for the treatment of AML after receiving an allogeneic stem cell transplant. The MultiTAA-specific T cell therapy has been well tolerated in an ongoing Phase 1 clinical trial in AML and myelodysplastic syndrome, or MDS, conducted by our strategic partner Baylor College of Medicine, or BCM. As reported in a recent publication by Lulla et al., 11 of the 17 patients in the adjuvant disease setting dosed with the MultiTAA-specific T cell therapy after receiving an allogeneic hematopoietic stem cell transplant, or HSCT, never relapsed [median leukemia-free survival, or LFS, not reached at a median follow-up of 1.9 years], with 11 of 15 patients remaining alive (estimated two-year overall survival of 77%) at a median follow-up of 1.9 years post-infusion which compares favorably with HSCT outcomes for risk-matched AML/MDS patients post-HSCT [median LFS of nine to 15 months and two-year survival probability of 42%]. Additionally, eight patients were treated for active disease that was resistant to salvage therapy post-HSCT with a median of five prior lines of therapy (range: four to 10). One of the eight patients crossed over from the adjuvant group while two patients enrolled twice, but all three patients had active AML that failed another line of salvage therapy after their first MultiTAA-specific T cell infusion. Two of the eight patients achieved objective responses with one complete response and one partial response, with six patients continuing with stable disease.</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submitted an investigational new drug, or IND, application to the United States Food and Drug Administration, or the FDA, to initiate a Phase 2 clinical trial of MultiTAA-specific T cell therapy, which we refer to as MT-401 (zedenoleucel), in post-allogeneic HSCT patients with AML in both the adjuvant and active disease setting. The dose administered in this multicenter trial is the approximate flat dose equivalent of the current maximum tolerated dose from the ongoing Phase 1 trial. In the adjuvant setting, patients will be randomized to either MultiTAA-specific T cell therapy at approximately 90 days post-transplant versus standard of care observation, while the active disease patients will receive MT-401 following relapse post-transplant as part of a single-arm group. We expect to complete the safety lead-in portion of the trial in the first half of 2021. We anticipate that we will initiate the remainder of the Phase 2 trial in the third quarter of 2021 and complete enrollment of 20 patients in that phase of the trial in the fourth quarter of 2021 in order to report results from the active disease arm of the trial in the first quarter of 2022. We expect to begin manufacturing MT-401 for the Phase 2 trial at our cGMP manufacturing facility in the third quarter of 2021.</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reported interim data for an ongoing Phase 1/2 clinical trial of the MultiTAA-specific T cell therapy for the treatment of pancreatic adenocarcinoma being conducted by BCM. In this trial, we have observed a clinical benefit correlated with the post-infusion detection of tumor-reactive T cells in patient peripheral blood and within tumor biopsy samples in patients in the tumor-resection arm of the trial. These T cells exhibited activity against both targeted antigens and non-targeted TAAs, indicating induction of antigen spreading. To date, we have not observed any cytokine release syndrome or neurotoxicity in this trial.</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80" w:top="1174" w:right="399" w:bottom="1440" w:gutter="0" w:footer="0" w:header="0"/>
        </w:sectPr>
      </w:pPr>
    </w:p>
    <w:bookmarkStart w:id="4" w:name="page5"/>
    <w:bookmarkEnd w:id="4"/>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70592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059295"/>
                    </a:xfrm>
                    <a:prstGeom prst="rect">
                      <a:avLst/>
                    </a:prstGeom>
                    <a:noFill/>
                  </pic:spPr>
                </pic:pic>
              </a:graphicData>
            </a:graphic>
          </wp:anchor>
        </w:drawing>
        <w:t>We are also evaluating the MultiTAA-specific T cell therapies in a Phase 2 clinical trial for the treatment of breast cancer and in Phase 1 clinical trials for the treatment of ALL, lymphoma, MM and sarcoma, all of which are being conducted by BCM. As of December 2020, the MultiTAA-specific T cell therapies have been generally well tolerated by all of the patients enrolled in clinical trials in hematological and solid tumor indications with no incidents of cytokine release syndrome or neurotoxicity, which are frequently associated with CAR-T therapies. Our ongoing clinical trials may be also affected by the COVID-19 pandemic. Based on our observations in clinical trials in AML, pancreatic cancer, lymphoma, ALL and MM, we believe that the MultiTAA-specific T cell therapies have the potential to mediate a meaningful anti-tumor effect, as well as significant in vivo expansion of T cells. We may initiate additional Phase 2 clinical trials investigating other indications in addition to our planned Phase 2 trial in post-transplant AML patients.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clinical-stage pipeline, including clinical trials being conducted by BCM and other partners,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Initiation of Phase 2 Clinical Trial of MT-401 (zedenoleucel) for the Treatment of Post-Transplant AML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2021, we announced that the FDA lifted the partial clinical hold on the Phase 2 clinical trial investigating the safety and efficacy of MT-401 for the treatment of patients with AML post-transplant, permitting us to initiate the trial with the safety lead-in portion that is expected to enroll approximately six patients. Three patients will be dosed with MT-401 manufactured with the legacy reagent used in the Phase 1 trial, and three patients will be dosed with MT-401 manufactured using a new reagent from an alternative supplier. We anticipate using this supplier for clinical and commercial manufacturing of MT-401. We expect to complete the safety lead-in portion of the trial in the first half of 2021, and we continue to work to identify clinical trial sites.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We were incorporated under the laws of the State of Nevada in 1991 under the name “TapImmune, Inc.” and reincorporated in Delaware in October 2018 under the name “Marker Therapeutics, Inc.” On October 17, 2018, we completed a business combination with a Delaware corporation that was then known as “Marker Therapeutics, Inc.,” or Private Marker, in accordance with the terms of the Agreement and Plan of Merger and Reorganization dated as of May 15, 2018, by and among us, Private Marker and Timberwolf Merger Sub, Inc., a Delaware corporation and a wholly owned subsidiary of TapImmune, or Merger Sub, pursuant to which, among other matters, Merger Sub merged with and into Private Marker, with Private Marker continuing as a wholly owned subsidiary of TapImmune and the surviving corporation of the merger. In connection with the merger, we changed our name from “TapImmune, Inc.” to “Marker Therapeutics, Inc.” and Private Marker changed its name to “Marker Cell Therapy, Inc.” and became our wholly owned subsidiary. Our principal executive offices are located at 3200 Southwest Freeway, Suite 2240, Houston, Texas 77027, and our telephone number is (713) 400-6400. Our website is located at </w:t>
      </w:r>
      <w:r>
        <w:rPr>
          <w:rFonts w:ascii="Arial" w:cs="Arial" w:eastAsia="Arial" w:hAnsi="Arial"/>
          <w:sz w:val="16"/>
          <w:szCs w:val="16"/>
          <w:i w:val="1"/>
          <w:iCs w:val="1"/>
          <w:color w:val="auto"/>
        </w:rPr>
        <w:t>http://www.markertherapeutics.com</w:t>
      </w:r>
      <w:r>
        <w:rPr>
          <w:rFonts w:ascii="Arial" w:cs="Arial" w:eastAsia="Arial" w:hAnsi="Arial"/>
          <w:sz w:val="16"/>
          <w:szCs w:val="16"/>
          <w:color w:val="auto"/>
        </w:rPr>
        <w:t>. We do not incorporate by reference into this prospectus supplement the information on, or accessible through, our website. We have included our website address in this prospectus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80" w:top="1178" w:right="39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5842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5842000"/>
                    </a:xfrm>
                    <a:prstGeom prst="rect">
                      <a:avLst/>
                    </a:prstGeom>
                    <a:noFill/>
                  </pic:spPr>
                </pic:pic>
              </a:graphicData>
            </a:graphic>
          </wp:anchor>
        </w:drawing>
        <w:t>THE OFFERING</w:t>
      </w:r>
    </w:p>
    <w:p>
      <w:pPr>
        <w:sectPr>
          <w:pgSz w:w="11900" w:h="16838" w:orient="portrait"/>
          <w:cols w:equalWidth="0" w:num="1">
            <w:col w:w="11080"/>
          </w:cols>
          <w:pgMar w:left="380" w:top="1174" w:right="4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color w:val="auto"/>
        </w:rPr>
        <w:t>28,572,000 shares</w:t>
      </w:r>
    </w:p>
    <w:p>
      <w:pPr>
        <w:spacing w:after="0" w:line="148" w:lineRule="exact"/>
        <w:rPr>
          <w:sz w:val="20"/>
          <w:szCs w:val="20"/>
          <w:color w:val="auto"/>
        </w:rPr>
      </w:pPr>
    </w:p>
    <w:p>
      <w:pPr>
        <w:sectPr>
          <w:pgSz w:w="11900" w:h="16838" w:orient="portrait"/>
          <w:cols w:equalWidth="0" w:num="2">
            <w:col w:w="2620" w:space="720"/>
            <w:col w:w="7740"/>
          </w:cols>
          <w:pgMar w:left="380" w:top="1174" w:right="439" w:bottom="1440" w:gutter="0" w:footer="0" w:header="0"/>
          <w:type w:val="continuous"/>
        </w:sectPr>
      </w:pPr>
    </w:p>
    <w:p>
      <w:pPr>
        <w:spacing w:after="0" w:line="282" w:lineRule="auto"/>
        <w:rPr>
          <w:sz w:val="20"/>
          <w:szCs w:val="20"/>
          <w:color w:val="auto"/>
        </w:rPr>
      </w:pPr>
      <w:r>
        <w:rPr>
          <w:rFonts w:ascii="Arial" w:cs="Arial" w:eastAsia="Arial" w:hAnsi="Arial"/>
          <w:sz w:val="18"/>
          <w:szCs w:val="18"/>
          <w:b w:val="1"/>
          <w:bCs w:val="1"/>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79,303,072 shares</w:t>
      </w:r>
    </w:p>
    <w:p>
      <w:pPr>
        <w:spacing w:after="0" w:line="363" w:lineRule="exact"/>
        <w:rPr>
          <w:sz w:val="20"/>
          <w:szCs w:val="20"/>
          <w:color w:val="auto"/>
        </w:rPr>
      </w:pPr>
    </w:p>
    <w:p>
      <w:pPr>
        <w:sectPr>
          <w:pgSz w:w="11900" w:h="16838" w:orient="portrait"/>
          <w:cols w:equalWidth="0" w:num="2">
            <w:col w:w="3280" w:space="60"/>
            <w:col w:w="7740"/>
          </w:cols>
          <w:pgMar w:left="380" w:top="1174" w:right="439" w:bottom="1440" w:gutter="0" w:footer="0" w:header="0"/>
          <w:type w:val="continuous"/>
        </w:sectPr>
      </w:pPr>
    </w:p>
    <w:p>
      <w:pPr>
        <w:spacing w:after="0" w:line="282" w:lineRule="auto"/>
        <w:rPr>
          <w:sz w:val="20"/>
          <w:szCs w:val="20"/>
          <w:color w:val="auto"/>
        </w:rPr>
      </w:pPr>
      <w:r>
        <w:rPr>
          <w:rFonts w:ascii="Arial" w:cs="Arial" w:eastAsia="Arial" w:hAnsi="Arial"/>
          <w:sz w:val="18"/>
          <w:szCs w:val="18"/>
          <w:b w:val="1"/>
          <w:bCs w:val="1"/>
          <w:color w:val="auto"/>
        </w:rPr>
        <w:t>Option to purchase additional shares of common stock</w:t>
      </w:r>
    </w:p>
    <w:p>
      <w:pPr>
        <w:spacing w:after="0" w:line="20" w:lineRule="exact"/>
        <w:rPr>
          <w:sz w:val="20"/>
          <w:szCs w:val="20"/>
          <w:color w:val="auto"/>
        </w:rPr>
      </w:pPr>
      <w:r>
        <w:rPr>
          <w:sz w:val="20"/>
          <w:szCs w:val="20"/>
          <w:color w:val="auto"/>
        </w:rPr>
        <w:br w:type="column"/>
      </w:r>
    </w:p>
    <w:p>
      <w:pPr>
        <w:ind w:right="360"/>
        <w:spacing w:after="0" w:line="277" w:lineRule="auto"/>
        <w:rPr>
          <w:sz w:val="20"/>
          <w:szCs w:val="20"/>
          <w:color w:val="auto"/>
        </w:rPr>
      </w:pPr>
      <w:r>
        <w:rPr>
          <w:rFonts w:ascii="Arial" w:cs="Arial" w:eastAsia="Arial" w:hAnsi="Arial"/>
          <w:sz w:val="18"/>
          <w:szCs w:val="18"/>
          <w:color w:val="auto"/>
        </w:rPr>
        <w:t>We have granted the underwriters an option for 30 days from the date of this prospectus supplement to purchase up to 4,285,800 additional shares of our common stock.</w:t>
      </w:r>
    </w:p>
    <w:p>
      <w:pPr>
        <w:spacing w:after="0" w:line="58" w:lineRule="exact"/>
        <w:rPr>
          <w:sz w:val="20"/>
          <w:szCs w:val="20"/>
          <w:color w:val="auto"/>
        </w:rPr>
      </w:pPr>
    </w:p>
    <w:p>
      <w:pPr>
        <w:sectPr>
          <w:pgSz w:w="11900" w:h="16838" w:orient="portrait"/>
          <w:cols w:equalWidth="0" w:num="2">
            <w:col w:w="3040" w:space="300"/>
            <w:col w:w="7740"/>
          </w:cols>
          <w:pgMar w:left="380" w:top="1174"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 estimate that the net proceeds to us in this offering will be approximately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$46.3 million, or approximately $53.3 million if the underwriters exercise in full their option to purchase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 shares, after deducting underwriting discounts and commissions and estimated offering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payable by us.</w:t>
      </w:r>
    </w:p>
    <w:p>
      <w:pPr>
        <w:spacing w:after="0" w:line="200" w:lineRule="exact"/>
        <w:rPr>
          <w:sz w:val="20"/>
          <w:szCs w:val="20"/>
          <w:color w:val="auto"/>
        </w:rPr>
      </w:pPr>
    </w:p>
    <w:p>
      <w:pPr>
        <w:sectPr>
          <w:pgSz w:w="11900" w:h="16838" w:orient="portrait"/>
          <w:cols w:equalWidth="0" w:num="2">
            <w:col w:w="2620" w:space="720"/>
            <w:col w:w="7740"/>
          </w:cols>
          <w:pgMar w:left="380" w:top="1174" w:right="439" w:bottom="1440" w:gutter="0" w:footer="0" w:header="0"/>
          <w:type w:val="continuous"/>
        </w:sectPr>
      </w:pPr>
    </w:p>
    <w:p>
      <w:pPr>
        <w:spacing w:after="0" w:line="11" w:lineRule="exact"/>
        <w:rPr>
          <w:sz w:val="20"/>
          <w:szCs w:val="20"/>
          <w:color w:val="auto"/>
        </w:rPr>
      </w:pPr>
    </w:p>
    <w:p>
      <w:pPr>
        <w:ind w:left="3340" w:right="100"/>
        <w:spacing w:after="0" w:line="254" w:lineRule="auto"/>
        <w:rPr>
          <w:sz w:val="20"/>
          <w:szCs w:val="20"/>
          <w:color w:val="auto"/>
        </w:rPr>
      </w:pPr>
      <w:r>
        <w:rPr>
          <w:rFonts w:ascii="Arial" w:cs="Arial" w:eastAsia="Arial" w:hAnsi="Arial"/>
          <w:sz w:val="18"/>
          <w:szCs w:val="18"/>
          <w:color w:val="auto"/>
        </w:rPr>
        <w:t>We plan to use the net proceeds from this offering, together with our existing cash and cash equivalents to fund our current Phase 2 trial of MT-401 in AML, to advance the development of our MultiTAA therapies into clinical trials in other indications, to fund our manufacturing activities and for working capital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supplement. See “Use of Proceeds.”</w:t>
      </w:r>
    </w:p>
    <w:p>
      <w:pPr>
        <w:sectPr>
          <w:pgSz w:w="11900" w:h="16838" w:orient="portrait"/>
          <w:cols w:equalWidth="0" w:num="1">
            <w:col w:w="11080"/>
          </w:cols>
          <w:pgMar w:left="380" w:top="1174" w:right="439" w:bottom="144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You should read the “Risk Factors” section of this prospectus supplement and in the documents incorporated by reference herein for a discussion of factors to consider carefully before deciding to invest in shares of our common stock.</w:t>
      </w:r>
    </w:p>
    <w:p>
      <w:pPr>
        <w:spacing w:after="0" w:line="72" w:lineRule="exact"/>
        <w:rPr>
          <w:sz w:val="20"/>
          <w:szCs w:val="20"/>
          <w:color w:val="auto"/>
        </w:rPr>
      </w:pPr>
    </w:p>
    <w:p>
      <w:pPr>
        <w:sectPr>
          <w:pgSz w:w="11900" w:h="16838" w:orient="portrait"/>
          <w:cols w:equalWidth="0" w:num="2">
            <w:col w:w="2620" w:space="720"/>
            <w:col w:w="7740"/>
          </w:cols>
          <w:pgMar w:left="380" w:top="1174"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“MRKR”</w:t>
      </w:r>
    </w:p>
    <w:p>
      <w:pPr>
        <w:spacing w:after="0" w:line="200" w:lineRule="exact"/>
        <w:rPr>
          <w:sz w:val="20"/>
          <w:szCs w:val="20"/>
          <w:color w:val="auto"/>
        </w:rPr>
      </w:pPr>
    </w:p>
    <w:p>
      <w:pPr>
        <w:sectPr>
          <w:pgSz w:w="11900" w:h="16838" w:orient="portrait"/>
          <w:cols w:equalWidth="0" w:num="2">
            <w:col w:w="2620" w:space="720"/>
            <w:col w:w="7740"/>
          </w:cols>
          <w:pgMar w:left="380" w:top="1174" w:right="43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our common stock to be outstanding after this offering is based on 50,731,072 shares of our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excludes:</w:t>
      </w:r>
    </w:p>
    <w:p>
      <w:pPr>
        <w:spacing w:after="0" w:line="211" w:lineRule="exact"/>
        <w:rPr>
          <w:sz w:val="20"/>
          <w:szCs w:val="20"/>
          <w:color w:val="auto"/>
        </w:rPr>
      </w:pPr>
    </w:p>
    <w:p>
      <w:pPr>
        <w:ind w:left="660" w:right="100" w:hanging="33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6,001,814 shares of our common stock issuable upon the exercise of stock options outstanding as of December 31, 2020, at a weighted-average exercise price of $6.22 per share;</w:t>
      </w:r>
    </w:p>
    <w:p>
      <w:pPr>
        <w:spacing w:after="0" w:line="170" w:lineRule="exact"/>
        <w:rPr>
          <w:rFonts w:ascii="Arial" w:cs="Arial" w:eastAsia="Arial" w:hAnsi="Arial"/>
          <w:sz w:val="18"/>
          <w:szCs w:val="18"/>
          <w:color w:val="auto"/>
        </w:rPr>
      </w:pPr>
    </w:p>
    <w:p>
      <w:pPr>
        <w:ind w:left="660" w:right="360" w:hanging="33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20,830,000 shares of our common stock issuable upon the exercise of warrants outstanding as of December 31, 2020, at a weighted-average exercise price of $4.47 per share; and</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4,685,873 shares of our common stock reserved for future issuance under our 2020 Equity Incentive Plan.</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otherwise indicated, all information in this prospectus supplement assumes no exercise of the outstanding options and warrants described above and no exercise by the underwriters of their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80" w:top="1174" w:right="4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Before you decide to invest in our common stock, you should carefully consider the risks and uncertainties described below together with all other information contained in this prospectus supplement, the accompanying prospectus and in our filings with the SEC that we have incorporated by reference into this prospectus supplement and the accompanying prospectus. If any of the following risks actually occurs, our business, prospects, operating results and financial condition could suffer materially. In such event, the trading price of our common stock could decline and you might lose all or part of your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have broad discretion over the use of our cash, cash equivalents and marketable securities, including the net proceeds we receive in this offering, and may not use them effectively.</w:t>
      </w:r>
    </w:p>
    <w:p>
      <w:pPr>
        <w:spacing w:after="0" w:line="170"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Our management has broad discretion to use our cash and cash equivalents, including the net proceeds we receive in this offering, to fund our operations and could spend these funds in ways that do not improve our results of operations or enhance the value of our common stock. The failure by our management to apply these funds effectively could result in financial losses that could have an adverse effect on our business, cause the price of our common stock to decline and delay the development of our product candidates. Pending their use to fund operations, we may invest our cash, cash equivalents and marketable securities in a manner that does not produce income or that loses value. See “Use of Proceeds.”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our common stock in this offering, you will suffer immediate dilution of your investment.</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price of our common stock in this offering is substantially higher than the net tangible book value per share of our common stock. Therefore, if you purchase shares of our common stock in this offering, you will pay a price per share that substantially exceeds our historical net tangible book value per share after this offering. To the extent outstanding options or warrants are exercised, you will incur further dilution. Based on the public offering price of $1.75 per share, you will experience immediate dilution of $0.82 per share, representing the difference between our as adjusted net tangible book value per share after giving effect to this offering and the assumed public offering price. See “Dilution.”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in this offering may experience future dilution.</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order to raise additional capital, we may in the future offer additional shares of our common stock or other securities convertible into, or exchangeable for, our common stock at prices that may not be the same as the price per share in this offering. We cannot assure you that we will be able to sell shares of our common stock or other related securities in any other offering at a price per share that is equal to or greater than the price per share paid by investors in this offering. If the price per share at which we sell additional shares of our common stock or related securities in future transactions is less than the price per share in this offering, investors who purchase our common stock in this offering will suffer dilution in their investment.</w:t>
      </w:r>
    </w:p>
    <w:p>
      <w:pPr>
        <w:spacing w:after="0" w:line="161"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In addition, we have a significant number of stock options and warrants exercisable for shares of our common stock outstanding. To the extent that outstanding stock options or warrants have been or may be exercised, investors purchasing our common stock in this offering may experience further dilution in the future.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After this offering, our executive officers and directors and their affiliates, if they choose to act together, will continue to have the ability to significantly influence all matters submitted to stockholders for approval.</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Upon the completion of this offering, our executive officers, directors and stockholders who owned more than 5% of our outstanding common stock before this offering will beneficially own a significant percentage of our outstanding common stock. As a result, following this offering, if these stockholders were to choose to act together, they would be able to significantly influence all matters submitted to our stockholders for approval, as well as our management and affairs. For example, these persons, if they choose to act together, would significantly influence the election of directors and approval of any merger, consolidation or sale of all or substantially all of our assets. This concentration of ownership control may delay, defer or prevent a change in control of our company, entrench our management and board of directors, or impede a merger, consolidation, takeover or other business combination involving us that other stockholders may desire.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 following this offering.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Although our common stock is listed on The Nasdaq Global Market, an active trading market for our shares may not be sustained. If an active market for our common stock does not continue, it may be difficult for you to sell your shares, including shares you may purchase in this offering, without depressing the market price for the shares or sell your shares at all. Any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18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A significant portion of our total outstanding shares of common stock are restricted from immediate resale but may be sold into the market in the near future, which could cause the market price of our common stock to drop significantly, even if our business is performing well.</w:t>
      </w:r>
    </w:p>
    <w:p>
      <w:pPr>
        <w:spacing w:after="0" w:line="12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 common stock.</w:t>
      </w:r>
    </w:p>
    <w:p>
      <w:pPr>
        <w:spacing w:after="0" w:line="1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Upon the completion of this offering, we will have outstanding 15,394,269 shares of our common stock beneficially owned by our officers, directors and their affiliates that are restricted as a result of lock-up agreements for a period of 90 days after the date of this prospectus supplement. However, all of the shares of our common stock sold in this offering and the other shares of our common stock outstanding prior to this offering will not be subject to lock-up agreements with the underwriters and, except to the extent such shares of our common stock are held by our affiliates, will be freely tradable. The market price of our common stock could decline as a result of sales by our stockholders in the market following completion of this offering or the perception that these sales could occur.</w:t>
      </w: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herein and therein contain forward-looking statements within the meaning of Section 27A of the Securities Act of 1933, as amended, or the Securities Act, and Section 21E of the Securities Exchange Act of 1934, as amended, or the Exchange Act. These are based on our management’s current beliefs, expectations and assumptions about future events, conditions and results and on information currently available to us. Discussions containing these forward-looking statements may be found, among other places, in the sections titled “Business,” “Risk Factors” and “Management’s Discussion and Analysis of Financial Condition and Results of Operations” contained in the documents incorporated by reference herein.</w:t>
      </w:r>
    </w:p>
    <w:p>
      <w:pPr>
        <w:spacing w:after="0" w:line="17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Any statements in this prospectus supplement or the accompanying prospectus, or incorporated herein and therein, about our expectations, beliefs, plans, objectives, assumptions or future events or performance are not historical facts and are forward-looking statements. All statements other than statements of historical fact could be deemed forward looking, including, but not limited to, statements regarding:</w:t>
      </w:r>
    </w:p>
    <w:p>
      <w:pPr>
        <w:spacing w:after="0" w:line="184" w:lineRule="exact"/>
        <w:rPr>
          <w:sz w:val="20"/>
          <w:szCs w:val="20"/>
          <w:color w:val="auto"/>
        </w:rPr>
      </w:pPr>
    </w:p>
    <w:p>
      <w:pPr>
        <w:ind w:left="660" w:right="24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progress and results of clinical trials of MultiTAA-specific T cell therapies and our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p>
      <w:pPr>
        <w:spacing w:after="0" w:line="2"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any submission of filings for regulatory approval of product candidates and our ability to obtain and maintain regulatory approvals for product candidates for any indication;</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our product candidates;</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market acceptance and opportunity for and clinical utility of product candidates, if approved for commercial use;</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manufacturing capabilities and strategy, including the ease, scalability and commercial viability of our manufacturing methods and processes;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scope of any approved indications for product candidates;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and our ability to maintain our relationships and collaborations with the Baylor College of Medicine and other potential collaboration or strategic relationships;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use the MultiTAA-specific T cell platform to develop future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of our expenses, ongoing losses, future revenue, capital requirements and our needs for or ability to obtain additional funding;</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position for our product candidates, and the scope of such protection;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 the development of and projections relating to our competitors or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uses of proceeds from this offering;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21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some cases, you can identify forward-looking statements by the words “may,” “might,” “can,” “will,” “to be,” “could,” “would,” “should,” “expect,” “intend,” “plan,” “objective,” “anticipate,” “believe,” “estimate,” “predict,” “project,” “potential,” “likely,” “continue” and “ongoing,” or the negative of these terms, or other comparable terminology intended to identify statements about the future, although not all forward-looking statements contain these words.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 w:name="page10"/>
    <w:bookmarkEnd w:id="9"/>
    <w:p>
      <w:pPr>
        <w:spacing w:after="0" w:line="271" w:lineRule="auto"/>
        <w:rPr>
          <w:sz w:val="20"/>
          <w:szCs w:val="20"/>
          <w:color w:val="auto"/>
        </w:rPr>
      </w:pPr>
      <w:r>
        <w:rPr>
          <w:rFonts w:ascii="Arial" w:cs="Arial" w:eastAsia="Arial" w:hAnsi="Arial"/>
          <w:sz w:val="17"/>
          <w:szCs w:val="17"/>
          <w:color w:val="auto"/>
        </w:rPr>
        <w:t>You should refer to the section titled “Risk Factors” contained in this prospectus supplement, the accompanying prospectus and under similar headings in other documents that are incorporated by reference herein and therein, for a discussion of important factors that may cause our actual results to differ materially from those expressed or implied by our forward-looking statements. Given these risks, uncertainties and other factors, many of which are beyond our control, we cannot assure you that the forward-looking statements in this prospectus supplement, the accompanying prospectus and the documents incorporated by reference herein and therein will prove to be accurate, and you should not place undue reliance on these forward-looking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7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Except as required by law, we assume no obligation to update these forward-looking statements publicly, or to revise any forward-looking statements to reflect events or developments occurring after the date of this prospectus supplement, even if new information becomes available in the future.</w:t>
      </w:r>
    </w:p>
    <w:p>
      <w:pPr>
        <w:spacing w:after="0" w:line="124"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You should carefully read this prospectus supplement, the accompanying prospectus and the information incorporated herein and therein by reference, as described in the section titled “Incorporation of Certain Information by Reference,” completely and with the understanding that our actual future results may be materially different from what we expect. We qualify all of our forward-looking statements by these cautionary statements.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estimate that the net proceeds to us in this offering will be approximately $46.3 million, or approximately $53.3 million if the underwriters exercise in full their option to purchase additional shares, after deducting underwriting expenses and commissions and estimated offering expenses payable by us.</w:t>
      </w:r>
    </w:p>
    <w:p>
      <w:pPr>
        <w:spacing w:after="0" w:line="12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intend to use the net proceeds from this offering, together with our cash and cash equivalents, to fund our Phase 2 trial of MT-401 in AML, to advance the development of our MultiTAA therapies into clinical trials in other indications, to fund our manufacturing activities and for working capital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supplement.</w:t>
      </w:r>
    </w:p>
    <w:p>
      <w:pPr>
        <w:spacing w:after="0" w:line="15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This expected use of our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product candidate development, the status of and results from clinical trials, as well as any collaborations that we may enter into with third parties for our product candidates, and any unforeseen cash needs.</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a result, our management will retain broad discretion over the allocation of the net proceeds from this offering, and investors will be relying on the judgment of our management regarding the application of the net proceeds from this offering. The timing and amount of our actual expenditures will be based on many factors, including cash flows from operations and the anticipated growth of our business. Pending these uses, we expect to invest the net proceeds in investment-grade, interest-bearing bonds.</w:t>
      </w:r>
    </w:p>
    <w:p>
      <w:pPr>
        <w:spacing w:after="0" w:line="18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Based on the planned use of proceeds described above, we believe that the net proceeds from this offering, together with our existing cash and cash equivalents, will be sufficient to enable us to fund our operating expenses and capital expenditure requirements into 2023. We have based this estimate on assumptions that may prove to be incorrect, and we could use our available capital resources sooner than we currently expect.</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If you invest in our common stock in this offering, your ownership interest will be diluted immediately to the extent of the difference between the public offering price per share you will pay in this offering and the as adjusted net tangible book value per share of our common stock after this offering.</w:t>
      </w:r>
    </w:p>
    <w:p>
      <w:pPr>
        <w:spacing w:after="0" w:line="12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historical net tangible book value as of December 31, 2020 was $27.3 million, or $0.54 per share of common stock. Historical net tangible book value per share represents the amount of our total tangible assets less total liabilities, divided by the 50,731,072 shares of our common stock outstanding on December 31, 2020.</w:t>
      </w:r>
    </w:p>
    <w:p>
      <w:pPr>
        <w:spacing w:after="0" w:line="18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After giving effect to the issuance and sale of 28,572,000 shares of our common stock in this offering, after deducting underwriting discounts and commissions and estimated offering expenses payable by us, our as adjusted net tangible book value as of December 31, 2020 would have been $73.7 million, or $0.93 per share. This represents an immediate increase of $0.39 in the as adjusted net tangible book value per share to existing stockholders and immediate dilution of $0.82 in the as adjusted net tangible book value per share to new investors purchasing common stock in this offering. Dilution per share to new investors is determined by subtracting as adjusted net tangible book value per share after this offering from the public offering price per share paid by new investors. The following table illustrates this per share dilution to the new investors purchasing shares of our common stock in this offering without giving effect to any exercise by the underwriters of their option to purchase additional shares: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r>
      <w:tr>
        <w:trPr>
          <w:trHeight w:val="216"/>
        </w:trPr>
        <w:tc>
          <w:tcPr>
            <w:tcW w:w="7260" w:type="dxa"/>
            <w:vAlign w:val="bottom"/>
          </w:tcPr>
          <w:p>
            <w:pPr>
              <w:ind w:left="180"/>
              <w:spacing w:after="0"/>
              <w:rPr>
                <w:sz w:val="20"/>
                <w:szCs w:val="20"/>
                <w:color w:val="auto"/>
              </w:rPr>
            </w:pPr>
            <w:r>
              <w:rPr>
                <w:rFonts w:ascii="Arial" w:cs="Arial" w:eastAsia="Arial" w:hAnsi="Arial"/>
                <w:sz w:val="18"/>
                <w:szCs w:val="18"/>
                <w:color w:val="auto"/>
              </w:rPr>
              <w:t>Historical net tangible book value per share as of December 31, 2020</w:t>
            </w: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0.54</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as adjusted net tangible book value per share attributable to this offering</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0.39</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7260" w:type="dxa"/>
            <w:vAlign w:val="bottom"/>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10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0.93</w:t>
            </w:r>
          </w:p>
        </w:tc>
      </w:tr>
      <w:tr>
        <w:trPr>
          <w:trHeight w:val="223"/>
        </w:trPr>
        <w:tc>
          <w:tcPr>
            <w:tcW w:w="7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If the underwriters exercise in full their option to purchase 4,285,800 additional shares, based on the public offering price of $1.75 per share, the as adjusted net tangible book value will increase to $0.97 per share, representing an immediate increase to existing stockholders of $0.43 per share and an immediate dilution of $0.78 per share to new investors.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discussed above is based on 50,731,072 shares of our common stock outstanding as of December 31, 2020 and excludes:</w:t>
      </w:r>
    </w:p>
    <w:p>
      <w:pPr>
        <w:spacing w:after="0" w:line="225" w:lineRule="exact"/>
        <w:rPr>
          <w:sz w:val="20"/>
          <w:szCs w:val="20"/>
          <w:color w:val="auto"/>
        </w:rPr>
      </w:pPr>
    </w:p>
    <w:p>
      <w:pPr>
        <w:ind w:left="660" w:right="2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6,001,814 shares of our common stock issuable upon the exercise of stock options outstanding as of December 31, 2020, at a weighted-average exercise price of $6.22 per share;</w:t>
      </w:r>
    </w:p>
    <w:p>
      <w:pPr>
        <w:spacing w:after="0" w:line="170"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20,830,000 shares of our common stock issuable upon the exercise of warrants outstanding as of December 31, 2020, at a weighted-average exercise price of $4.47 per share;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4,685,873 shares of our common stock reserved for future issuance under our 2020 Equity Incentive Plan.</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 the extent that outstanding options or warrants are exercised or we issue additional options, warrants or shares of our common stock in the future, there will be further dilution to investors purchasing common stock in this offering.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MATERIAL U.S. FEDERAL INCOME TAX CONSEQUENCES TO NON-U.S. HOLDERS OF OUR COMMON STOCK</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is a summary of the material U.S. federal income tax consequences to non-U.S. holders (as defined below) of the acquisition,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the alternative minimum tax or the special tax accounting rules under Section 451(b) of the Code, and does not address any estate or gift tax consequences or any tax consequences arising under any state, local or foreign tax laws, or any other U.S. federal tax laws. This discussion is based on the Internal Revenue Code of 1986, as amended, or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15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 at any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225"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a constructive sale, or other risk reduction strategy or integrated investment.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18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Definition of Non-U.S. Holder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purposes of this discussion, the term “non-U.S. holder” means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18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under the laws of the United States, any state thereof or the District of Columbia;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25"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paid dividends on our common stock and do not anticipate paying dividends on our common stock for the foreseeable future.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Subject to the discussions below regarding effectively connected income, backup withholding and Sections 1471 through 1474 of the Code (commonly referred to as FATCA), dividends paid to a non-U.S. holder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applicable successor form) and satisfy applicable certification and other requirements.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in the United States if required by an applicable tax treaty), the non-U.S. holder will be exempt from U.S. federal withholding tax. To claim the exemption, the non-U.S. holder must generally furnish a valid IRS Form W-8ECI (or applicable successor form) to us or our paying agent. 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 federal income tax on any gain realized on the sale or other disposition of our common stock, unless:</w:t>
      </w:r>
    </w:p>
    <w:p>
      <w:pPr>
        <w:spacing w:after="0" w:line="170" w:lineRule="exact"/>
        <w:rPr>
          <w:sz w:val="20"/>
          <w:szCs w:val="20"/>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or USRPI by reason of our status as a United States real property holding corporation, or USRPHC, for U.S. federal income tax purposes at any time within the shorter of the five-year period preceding the disposition or the non-U.S. holder’s holding period for our common stock.</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determination of whether we are a USRPHC depends on the fair market value of our USRPIs relative to the fair market value of worldwide real property interests and our other assets used or held for use in a trade or business. We believe that we are not currently and do not anticipate becoming a USRPHC for U.S. federal income tax purposes, although there can be no assurance we will not in the future become a USRPHC.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Prospective investors are encouraged to consult their own tax advisors regarding the possible consequences to them if we are, or were to become, a USRPHC.</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regardless of whether such distributions constitute dividends and even if no withholding was required.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FATCA</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Under applicable Treasury Regulations and administrative guidance, withholding under FATCA would have applied to payments of gross proceeds from the sale or other disposition of stock on or after January 1, 2019, but under proposed regulations (the preamble to which specifies that taxpayers are permitted to rely on such proposed regulations pending finalization), no withholding would apply with respect to payments of gross proceeds.</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this legislation on their investment in our common stock.</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We are offering the shares of common stock described in this prospectus supplement through Piper Sandler &amp; Co. as book-running manager. We have entered into an underwriting agreement with Piper Sandler &amp; Co., as representative of the several underwriters named below. Subject to the terms and conditions set forth in the underwriting agreement, we have agreed to sell to the underwriters, and each of the underwriters has agreed, severally and not jointly, to purchase from us, the number of shares of our common stock listed opposite its name below.</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7060" w:type="dxa"/>
            <w:vAlign w:val="bottom"/>
            <w:gridSpan w:val="2"/>
          </w:tcPr>
          <w:p>
            <w:pPr>
              <w:spacing w:after="0"/>
              <w:rPr>
                <w:sz w:val="20"/>
                <w:szCs w:val="20"/>
                <w:color w:val="auto"/>
              </w:rPr>
            </w:pPr>
            <w:r>
              <w:rPr>
                <w:rFonts w:ascii="Arial" w:cs="Arial" w:eastAsia="Arial" w:hAnsi="Arial"/>
                <w:sz w:val="18"/>
                <w:szCs w:val="18"/>
                <w:color w:val="auto"/>
              </w:rPr>
              <w:t>Underwriter</w:t>
            </w:r>
          </w:p>
        </w:tc>
        <w:tc>
          <w:tcPr>
            <w:tcW w:w="3040" w:type="dxa"/>
            <w:vAlign w:val="bottom"/>
          </w:tcPr>
          <w:p>
            <w:pPr>
              <w:jc w:val="right"/>
              <w:ind w:right="770"/>
              <w:spacing w:after="0"/>
              <w:rPr>
                <w:sz w:val="20"/>
                <w:szCs w:val="20"/>
                <w:color w:val="auto"/>
              </w:rPr>
            </w:pPr>
            <w:r>
              <w:rPr>
                <w:rFonts w:ascii="Arial" w:cs="Arial" w:eastAsia="Arial" w:hAnsi="Arial"/>
                <w:sz w:val="18"/>
                <w:szCs w:val="18"/>
                <w:color w:val="auto"/>
              </w:rPr>
              <w:t>Number of Shares</w:t>
            </w:r>
          </w:p>
        </w:tc>
      </w:tr>
      <w:tr>
        <w:trPr>
          <w:trHeight w:val="209"/>
        </w:trPr>
        <w:tc>
          <w:tcPr>
            <w:tcW w:w="6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Piper Sandler &amp; Co.</w:t>
            </w:r>
          </w:p>
        </w:tc>
        <w:tc>
          <w:tcPr>
            <w:tcW w:w="50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17,857,500</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Cantor Fitzgerald &amp; Co.</w:t>
            </w:r>
          </w:p>
        </w:tc>
        <w:tc>
          <w:tcPr>
            <w:tcW w:w="3040" w:type="dxa"/>
            <w:vAlign w:val="bottom"/>
          </w:tcPr>
          <w:p>
            <w:pPr>
              <w:jc w:val="right"/>
              <w:spacing w:after="0"/>
              <w:rPr>
                <w:sz w:val="20"/>
                <w:szCs w:val="20"/>
                <w:color w:val="auto"/>
              </w:rPr>
            </w:pPr>
            <w:r>
              <w:rPr>
                <w:rFonts w:ascii="Arial" w:cs="Arial" w:eastAsia="Arial" w:hAnsi="Arial"/>
                <w:sz w:val="18"/>
                <w:szCs w:val="18"/>
                <w:color w:val="auto"/>
              </w:rPr>
              <w:t>6,428,700</w:t>
            </w: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Oppenheimer &amp; Co. Inc.</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3,571,500</w:t>
            </w:r>
          </w:p>
        </w:tc>
      </w:tr>
      <w:tr>
        <w:trPr>
          <w:trHeight w:val="230"/>
        </w:trPr>
        <w:tc>
          <w:tcPr>
            <w:tcW w:w="7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Roth Capital Partners, LLC</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714,300</w:t>
            </w:r>
          </w:p>
        </w:tc>
      </w:tr>
      <w:tr>
        <w:trPr>
          <w:trHeight w:val="209"/>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28,572,000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granted the underwriters an option to buy up to 4,285,800 additional shares of common stock from us to cover over-allotments, if any. The underwriters may exercise this option at any time and from time to time during the 30-day period from the date of this prospectus supplement. If any additional shares of common stock are purchased, the underwriters will offer the additional shares on the same terms as those on which the shares are being offered.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Discounts and Commissions</w:t>
      </w:r>
    </w:p>
    <w:p>
      <w:pPr>
        <w:spacing w:after="0" w:line="22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underwriters have advised us that they propose to offer the common stock directly to the public at the offering price set forth on the cover page of this prospectus supplement. The underwriters propose to offer the shares to certain dealers at the same price less a concession of not more than $0.070875 per share. After the offering, these figures may be changed by the underwriters.</w:t>
      </w:r>
    </w:p>
    <w:p>
      <w:pPr>
        <w:spacing w:after="0" w:line="18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underwriting fee is equal to the public offering price per share of common stock less the amount paid by the underwriters to us per share of common stock. The following table shows the per share and total underwriting discount to be paid by the underwriters in connection with this offering, assuming either no exercise and full exercise of the option to purchase additional shares: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w w:val="97"/>
              </w:rPr>
              <w:t>Per Share</w:t>
            </w:r>
          </w:p>
        </w:tc>
        <w:tc>
          <w:tcPr>
            <w:tcW w:w="1560" w:type="dxa"/>
            <w:vAlign w:val="bottom"/>
            <w:tcBorders>
              <w:bottom w:val="single" w:sz="8" w:color="auto"/>
            </w:tcBorders>
            <w:gridSpan w:val="3"/>
          </w:tcPr>
          <w:p>
            <w:pPr>
              <w:ind w:left="1140"/>
              <w:spacing w:after="0"/>
              <w:rPr>
                <w:sz w:val="20"/>
                <w:szCs w:val="20"/>
                <w:color w:val="auto"/>
              </w:rPr>
            </w:pPr>
            <w:r>
              <w:rPr>
                <w:rFonts w:ascii="Arial" w:cs="Arial" w:eastAsia="Arial" w:hAnsi="Arial"/>
                <w:sz w:val="18"/>
                <w:szCs w:val="18"/>
                <w:b w:val="1"/>
                <w:bCs w:val="1"/>
                <w:color w:val="auto"/>
                <w:w w:val="92"/>
              </w:rPr>
              <w:t>Total</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5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2"/>
              </w:rPr>
              <w:t>Without Option</w:t>
            </w: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With Option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50,001,000.00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57,501,150.00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0.118125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3,375,067.50</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3,881,327.63</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1.631875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46,625,932.50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53,619,822.38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estimate that the total fees and expenses payable by us, excluding underwriting discount, will be approximately $300,000. We have also agreed to reimburse the underwriters for certain expenses incurred by them in connection with the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Underwriters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that the underwriters may be required to make in respect of those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and all of our directors and executive officers have agreed, subject to certain exceptions, that, without the prior written consent of Piper Sandler &amp; Co. on behalf of the underwriters, we and they will not, or publicly disclose an intention to, during the period ending 90 days after the date of this prospectus supplement, in the case of our directors and officers, and 45 days with respect to certain affiliated funds (the “restricted period”):</w:t>
      </w:r>
    </w:p>
    <w:p>
      <w:pPr>
        <w:spacing w:after="0" w:line="165" w:lineRule="exact"/>
        <w:rPr>
          <w:sz w:val="20"/>
          <w:szCs w:val="20"/>
          <w:color w:val="auto"/>
        </w:rPr>
      </w:pPr>
    </w:p>
    <w:p>
      <w:pPr>
        <w:ind w:left="660" w:right="2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183"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170"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right="140"/>
        <w:spacing w:after="0" w:line="259"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Piper Sandler &amp; Co.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Piper Sandler &amp; Co., in its sole discretion, may release the common stock and other securities subject to the lock-up agreements described above in whole or in part at any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“MRKR.”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 facilitate the offering, the underwriters may engage in transactions that stabilize, maintain or otherwise affect the price of our common stock during and after the offering. Specifically, the underwriters may over-allot or otherwise create a short position in the common stock for their own account by selling more shares of common stock than we have sold to them. Short sales involve the sale by the underwriters of a greater number of shares than the underwriters are required to purchase in the offering. The underwriters may close out any short position by either exercising their option to purchase additional shares or purchasing shares in the open market.</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the underwriters may stabilize or maintain the price of the common stock by bidding for or purchasing shares of common stock in the open market and may impose penalty bids. If penalty bids are imposed, selling concessions allowed to syndicate members or other broker-dealers participating in the offering are reclaimed if shares of common stock previously distributed in the offering are repurchased, whether in connection with stabilization transactions or otherwise. The effect of these transactions may be to stabilize or maintain the market price of the common stock at a level above that which might otherwise prevail in the open market. The imposition of a penalty bid may also affect the price of the common stock to the extent that it discourages resales of the common stock. The magnitude or effect of any stabilization or other transactions is uncertain. These transactions may be effected on The Nasdaq Global Market or otherwise and, if commenced, may be discontinued at any time. The underwriters may also engage in passive market making transactions in our common stock. Passive market making consists of displaying bids on The Nasdaq Global Market limited by the prices of independent market makers and effecting purchases limited by those prices in response to order flow. Rule 103 of Regulation M promulgated by the SEC limits the amount of net purchases that each passive market maker may make and the displayed size of each bid. Passive market making may stabilize the market price of the common stock at a level above that which might otherwise prevail in the open market and, if commenced, may be discontinued at any time.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prospectus supplement and the accompanying base prospectus in electronic format may be made available on the web sites maintained by one or more of the underwriters and the underwriters may distribute prospectuses and prospectus supplements electronically.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Affiliations</w:t>
      </w:r>
    </w:p>
    <w:p>
      <w:pPr>
        <w:spacing w:after="0" w:line="27"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From time to time in the ordinary course of its businesses, the underwriters and certain of their affiliates have engaged, and may in the future engage, in commercial banking or investment banking transactions with us and our affiliates.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Economic Area and the United Kingdom</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p>
    <w:p>
      <w:pPr>
        <w:spacing w:after="0" w:line="17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provided that no such offer of shares shall require us or any of our representatives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any shares, and the expression “Prospectus Regulation” means Regulation (EU) 2017/1129 (as amended).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underwriter has represented and agreed that:</w:t>
      </w:r>
    </w:p>
    <w:p>
      <w:pPr>
        <w:spacing w:after="0" w:line="225" w:lineRule="exact"/>
        <w:rPr>
          <w:sz w:val="20"/>
          <w:szCs w:val="20"/>
          <w:color w:val="auto"/>
        </w:rPr>
      </w:pPr>
    </w:p>
    <w:p>
      <w:pPr>
        <w:ind w:left="660" w:right="14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shares of our common stock in circumstances in which Section 21(1) of the FSMA does not apply to us; and</w:t>
      </w:r>
    </w:p>
    <w:p>
      <w:pPr>
        <w:spacing w:after="0" w:line="186"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shares of common stock may be sold only to purchasers purchasing as principal that are both “accredited investors” as defined in National Instrument 45-106 Prospectus and Registration Exemptions and “permitted clients” as defined in National Instrument 31-103 Registration Requirements, Exemptions and Ongoing Registrant Obligations. Any resale of the shares of common stock must be made in accordance with an exemption from the prospectus requirements and in compliance with the registration requirements of applicable securities laws.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Each person who is in possession of this prospectus is aware of the fact that no German securities prospectus (wertpapierprospekt) within the meaning of the German Securities Prospectus Act (Wertpapier-prospektgesetz, or the Act) of the Federal Republic of Germany has been or will be published with respect to the shares of our common stock. In particular, each underwriter has represented that it has not engaged and has agreed that it will not engage in a public offering in the Federal Republic of Germany within the meaning of the Act with respect to any of the shares of our common stock otherwise than in accordance with the Act and all other applicable legal and regulatory requirements.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Hong Kong</w:t>
      </w:r>
    </w:p>
    <w:p>
      <w:pPr>
        <w:spacing w:after="0" w:line="22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shares of common stock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the shares of common stock which are or are intended to be disposed of only to persons outside Hong Kong or only to “professional investors” within the meaning of the Securities and Futures Ordinance (Cap. 571, Laws of Hong Kong) and any rules made thereunder.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Singapore</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225" w:lineRule="exact"/>
        <w:rPr>
          <w:sz w:val="20"/>
          <w:szCs w:val="20"/>
          <w:color w:val="auto"/>
        </w:rPr>
      </w:pPr>
    </w:p>
    <w:p>
      <w:pPr>
        <w:ind w:left="660" w:right="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0"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86" w:lineRule="exact"/>
        <w:rPr>
          <w:rFonts w:ascii="Arial" w:cs="Arial" w:eastAsia="Arial" w:hAnsi="Arial"/>
          <w:sz w:val="18"/>
          <w:szCs w:val="18"/>
          <w:color w:val="auto"/>
        </w:rPr>
      </w:pPr>
    </w:p>
    <w:p>
      <w:pPr>
        <w:ind w:left="980" w:right="60" w:hanging="324"/>
        <w:spacing w:after="0" w:line="25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87"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Solely for the purposes of its obligations pursuant to section 309B(1)(a) and 309B(1)(c) of the SFA and the Securities and Futures (Capital Markets Products) Regulations 2018 of Singapore (the “CMP Regulations 2018”), the issuer has determined, and hereby notifies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Switzerland</w:t>
      </w:r>
    </w:p>
    <w:p>
      <w:pPr>
        <w:spacing w:after="0" w:line="22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shares of common stock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16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Neither this document nor any other offering or marketing material relating to the offering, or the shares of common stock have been or will be filed with or approved by any Swiss regulatory authority. In particular, this document will not be filed with, and the offer of the shares of common stock will not be supervised by, the Swiss Financial Market Supervisory Authority FINMA, and the offer of the shares of common stock has not been and will not be authorized under the Swiss Federal Act on Collective Investment Schemes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the shares of common stock.</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United Arab Emirates</w:t>
      </w:r>
    </w:p>
    <w:p>
      <w:pPr>
        <w:spacing w:after="0" w:line="225" w:lineRule="exact"/>
        <w:rPr>
          <w:sz w:val="20"/>
          <w:szCs w:val="20"/>
          <w:color w:val="auto"/>
        </w:rPr>
      </w:pPr>
    </w:p>
    <w:p>
      <w:pPr>
        <w:jc w:val="both"/>
        <w:ind w:right="100"/>
        <w:spacing w:after="0" w:line="293" w:lineRule="auto"/>
        <w:rPr>
          <w:sz w:val="20"/>
          <w:szCs w:val="20"/>
          <w:color w:val="auto"/>
        </w:rPr>
      </w:pPr>
      <w:r>
        <w:rPr>
          <w:rFonts w:ascii="Arial" w:cs="Arial" w:eastAsia="Arial" w:hAnsi="Arial"/>
          <w:sz w:val="16"/>
          <w:szCs w:val="16"/>
          <w:color w:val="auto"/>
        </w:rPr>
        <w:t>This offering has not been approved or licensed by the Central Bank of the United Arab Emirates (the “UAE”), 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(“DFSA”), a regulatory authority of the Dubai International Financial Centre (“DIFC”). The offering does not constitute a public offer of securities in the UAE, DIFC and/or any other free zone in accordance with the Commercial Companies Law, Federal Law No 8 of 1984 (as amended), DFSA Offered Securities Rules and NASDAQ Dubai Listing Rules, accordingly, or otherwise. The shares of common stock may not be offered to the public in the UAE and/or any of the free zones.</w:t>
      </w:r>
    </w:p>
    <w:p>
      <w:pPr>
        <w:spacing w:after="0" w:line="16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shares of common stock may be offered and issued only to a limited number of investors in the UAE or any of its free zones who qualify as sophisticated investors under the relevant laws and regulations of the UAE or the free zone concerned.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prospectus supplement (including any amendment, supplement or replacement thereto) is not being distributed in the context of a public offering in France within the meaning of Article L. 411-1 of the French Monetary and Financial Code (Code monétaire et financier).</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prospectus supplement has not been and will not be submitted to the French Autorité des marchés financiers (the “AMF”) for approval in France and accordingly may not and will not be distributed to the public in France.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Pursuant to Article 211-3 of the AMF General Regulation, French residents are hereby informed that:</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transaction does not require a prospectus to be submitted for approval to the AMF;</w:t>
      </w:r>
    </w:p>
    <w:p>
      <w:pPr>
        <w:spacing w:after="0" w:line="225" w:lineRule="exact"/>
        <w:rPr>
          <w:rFonts w:ascii="Arial" w:cs="Arial" w:eastAsia="Arial" w:hAnsi="Arial"/>
          <w:sz w:val="18"/>
          <w:szCs w:val="18"/>
          <w:color w:val="auto"/>
        </w:rPr>
      </w:pPr>
    </w:p>
    <w:p>
      <w:pPr>
        <w:ind w:left="660" w:right="4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persons or entities referred to in Point 2°, Section II of Article L.411-2 of the Monetary and Financial Code may take part in the transaction solely for their own account, as provided in Articles D. 411-1, D. 734-1, D. 744-1, D. 754-1 and D. 764-1 of the Monetary and Financial Code; and</w:t>
      </w:r>
    </w:p>
    <w:p>
      <w:pPr>
        <w:spacing w:after="0" w:line="123"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financial instruments thus acquired cannot be distributed directly or indirectly to the public otherwise than in accordance with Articles L. 411-1, L. 411-2, L. 412-1 and L. 621-8 to L. 621-8-3 of the Monetary and Financial Code.</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prospectus supplement is not to be further distributed or reproduced (in whole or in part) in France by the recipients of this prospectus. This prospectus supplement has been distributed on the understanding that such recipients will only participate in the issue or sale of our common stock for their own account and undertake not to transfer, directly or indirectly, our common stock to the public in France, other than in compliance with all applicable laws and regulations and in particular with Articles L. 411-1 and L. 411-2 of the French Monetary and Financial Code.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validity of the shares of common stock offered hereby will be passed upon for us by Cooley LLP, New York, New York. DLA Piper LLP (US), New York, New York, is representing the underwriters in connection with this offering.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Marcum LLP, an independent registered public accounting firm, has audited our consolidated financial statements included in our Annual Report on Form 10-K for the year ended December 31, 2020, as set forth in their report, which includes an explanatory paragraph as to the Company’s ability to continue as a going concern, dated March 9, 2021, which is incorporated by reference in this prospectus supplement and elsewhere in the registration statement. Our consolidated financial statements are incorporated by reference in reliance on Marcum LLP’s report, given on the authority of such firm as experts in accounting and auditing.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This prospectus supplement and the accompanying prospectus are part of the registration statement on Form S-3 we filed with the SEC under the Securities Act and do not contain all of the information set forth or incorporated by reference in the registration statement and the exhibits to the registration statement. For further information with respect to us and the securities we are offering under this prospectus supplement and the accompanying prospectus, we refer you to the registration statement and the exhibits and schedules filed as a part of the registration statement. You should rely only on the information contained in this prospectus supplement and the accompanying prospectus or incorporated by reference herein and therein. We have not authorized anyone else to provide you with different information. We are not making an offer of these securities in any state where the offer is not permitted. You should not assume that the information in this prospectus supplement is accurate as of any date other than the date on the front page of this prospectus supplement, regardless of the time of delivery of this prospectus supplement or any sale of the securities offered by this prospectus supplement.</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Copies of certain information filed by us with the SEC are also available on our website at </w:t>
      </w:r>
      <w:r>
        <w:rPr>
          <w:rFonts w:ascii="Arial" w:cs="Arial" w:eastAsia="Arial" w:hAnsi="Arial"/>
          <w:sz w:val="16"/>
          <w:szCs w:val="16"/>
          <w:i w:val="1"/>
          <w:iCs w:val="1"/>
          <w:color w:val="auto"/>
        </w:rPr>
        <w:t>http://www.markertherapeutics.com</w:t>
      </w:r>
      <w:r>
        <w:rPr>
          <w:rFonts w:ascii="Arial" w:cs="Arial" w:eastAsia="Arial" w:hAnsi="Arial"/>
          <w:sz w:val="16"/>
          <w:szCs w:val="16"/>
          <w:color w:val="auto"/>
        </w:rPr>
        <w:t>. Information contained in or accessible through our website does not constitute a part of this prospectus supplement and is not incorporated by reference in this prospectus supplement.</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2" w:name="page23"/>
    <w:bookmarkEnd w:id="22"/>
    <w:p>
      <w:pPr>
        <w:jc w:val="center"/>
        <w:ind w:right="-7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to you by referring you to another document filed separately with the SEC. The SEC file number for the documents incorporated by reference in this prospectus supplement is 001-37939. The documents incorporated by reference into this prospectus supplement contain important information that you should read about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incorporated by reference into this document:</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1">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2020, filed with the SEC on March 9, 2021; and</w:t>
      </w:r>
    </w:p>
    <w:p>
      <w:pPr>
        <w:spacing w:after="0" w:line="23" w:lineRule="exact"/>
        <w:rPr>
          <w:rFonts w:ascii="Arial" w:cs="Arial" w:eastAsia="Arial" w:hAnsi="Arial"/>
          <w:sz w:val="18"/>
          <w:szCs w:val="18"/>
          <w:color w:val="auto"/>
        </w:rPr>
      </w:pPr>
    </w:p>
    <w:p>
      <w:pPr>
        <w:jc w:val="both"/>
        <w:ind w:left="660" w:right="28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the registration statement on </w:t>
      </w:r>
      <w:hyperlink r:id="rId42">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registering our common stock under Section 12 of the Exchange Act, which was filed with the SEC on November 3, 2016, including any amendments or reports filed for purposes of updating such description.</w:t>
      </w:r>
    </w:p>
    <w:p>
      <w:pPr>
        <w:spacing w:after="0" w:line="190" w:lineRule="exact"/>
        <w:rPr>
          <w:rFonts w:ascii="Arial" w:cs="Arial" w:eastAsia="Arial" w:hAnsi="Arial"/>
          <w:sz w:val="18"/>
          <w:szCs w:val="18"/>
          <w:color w:val="auto"/>
        </w:rPr>
      </w:pPr>
    </w:p>
    <w:p>
      <w:pPr>
        <w:ind w:right="20"/>
        <w:spacing w:after="0" w:line="296" w:lineRule="auto"/>
        <w:rPr>
          <w:sz w:val="20"/>
          <w:szCs w:val="20"/>
          <w:color w:val="auto"/>
        </w:rPr>
      </w:pPr>
      <w:r>
        <w:rPr>
          <w:rFonts w:ascii="Arial" w:cs="Arial" w:eastAsia="Arial" w:hAnsi="Arial"/>
          <w:sz w:val="16"/>
          <w:szCs w:val="16"/>
          <w:color w:val="auto"/>
        </w:rPr>
        <w:t>We also incorporate by reference into this prospectus supplement all documents (other than current reports furnished under Item 2.02 or Item 7.01 of Form 8-K and exhibits filed on such form that are related to such items) that are filed by us with the SEC pursuant to Sections 13(a), 13(c), 14 or 15(d) of the Exchange Act (i) after the date of the initial filing of the registration statement of which this prospectus supplement forms a part and prior to effectiveness of the registration statement, or (ii) after the date of this prospectus supplement but prior to the termination of the offering. These documents include periodic reports, such as Annual Reports on Form 10-K, Quarterly Reports on Form 10-Q and Current Reports on Form 8-K, as well as proxy statements.</w:t>
      </w:r>
    </w:p>
    <w:p>
      <w:pPr>
        <w:spacing w:after="0" w:line="161" w:lineRule="exact"/>
        <w:rPr>
          <w:rFonts w:ascii="Arial" w:cs="Arial" w:eastAsia="Arial" w:hAnsi="Arial"/>
          <w:sz w:val="18"/>
          <w:szCs w:val="18"/>
          <w:color w:val="auto"/>
        </w:rPr>
      </w:pPr>
    </w:p>
    <w:p>
      <w:pPr>
        <w:jc w:val="both"/>
        <w:spacing w:after="0" w:line="279" w:lineRule="auto"/>
        <w:rPr>
          <w:sz w:val="20"/>
          <w:szCs w:val="20"/>
          <w:color w:val="auto"/>
        </w:rPr>
      </w:pPr>
      <w:r>
        <w:rPr>
          <w:rFonts w:ascii="Arial" w:cs="Arial" w:eastAsia="Arial" w:hAnsi="Arial"/>
          <w:sz w:val="17"/>
          <w:szCs w:val="17"/>
          <w:color w:val="auto"/>
        </w:rPr>
        <w:t>We will provide to each person, including any beneficial owner, to whom a prospectus is delivered, without charge upon written or oral request, a copy of any or all of the documents that are incorporated by reference into this prospectus supplement and the accompanying prospectus but not delivered with the prospectus, including exhibits that are specifically incorporated by reference into such documents. You should direct any requests for documents to Marker Therapeutics, Inc., Attn: Corporate Secretary, 3200 Southwest Freeway, Suite 2500, Houston, Texas 77027.</w:t>
      </w:r>
    </w:p>
    <w:p>
      <w:pPr>
        <w:spacing w:after="0" w:line="171" w:lineRule="exact"/>
        <w:rPr>
          <w:rFonts w:ascii="Arial" w:cs="Arial" w:eastAsia="Arial" w:hAnsi="Arial"/>
          <w:sz w:val="18"/>
          <w:szCs w:val="18"/>
          <w:color w:val="auto"/>
        </w:rPr>
      </w:pPr>
    </w:p>
    <w:p>
      <w:pPr>
        <w:ind w:right="360"/>
        <w:spacing w:after="0" w:line="259" w:lineRule="auto"/>
        <w:rPr>
          <w:sz w:val="20"/>
          <w:szCs w:val="20"/>
          <w:color w:val="auto"/>
        </w:rPr>
      </w:pPr>
      <w:r>
        <w:rPr>
          <w:rFonts w:ascii="Arial" w:cs="Arial" w:eastAsia="Arial" w:hAnsi="Arial"/>
          <w:sz w:val="18"/>
          <w:szCs w:val="18"/>
          <w:color w:val="auto"/>
        </w:rPr>
        <w:t>Any statement contained in this prospectus supplement or contained in a document incorporated or deemed to be incorporated by reference into this prospectus supplement will be deemed to be modified or superseded to the extent that a statement contained in this prospectus supplement or any subsequently filed supplement to the accompanying prospectus, or document deemed to be incorporated by reference into this prospectus supplement, modifies or supersedes such statement.</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S-20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3" w:name="page24"/>
    <w:bookmarkEnd w:id="23"/>
    <w:p>
      <w:pPr>
        <w:ind w:right="120"/>
        <w:spacing w:after="0" w:line="263" w:lineRule="auto"/>
        <w:rPr>
          <w:sz w:val="20"/>
          <w:szCs w:val="20"/>
          <w:color w:val="auto"/>
        </w:rPr>
      </w:pPr>
      <w:r>
        <w:rPr>
          <w:rFonts w:ascii="Arial" w:cs="Arial" w:eastAsia="Arial" w:hAnsi="Arial"/>
          <w:sz w:val="18"/>
          <w:szCs w:val="18"/>
          <w:color w:val="auto"/>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JUNE 14,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154305</wp:posOffset>
            </wp:positionV>
            <wp:extent cx="2597150" cy="5829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259715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1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From time to time, we may offer and sell up to $200,000,000 of any combination of the securities described in this prospectus in one or more offerings. We may also offer securities as may be issuable upon conversion, redemption, repurchase, exchange or exercise of any securities registered hereunder, including any applicable anti-dilution provisions.</w:t>
      </w:r>
    </w:p>
    <w:p>
      <w:pPr>
        <w:spacing w:after="0" w:line="184"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This prospectus provides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prospectus may not be used to consummate a sale of any securities unless accompanied by a prospectus supplement.</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will sell these securities directly to investors, through agents designated from time to time or to or through underwriters or dealers, on a continuous or delayed basis. For additional information on the methods of sale, you should refer to the section entitled “Plan of Distribution” in this prospectus and in the applicable prospectus supplement.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spacing w:after="0" w:line="192"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Our common stock is traded on the Nasdaq Capital Market under the symbol “MRKR.” On June 13, 2019, the last reported sale price of our common stock was $6.10 per share. The applicable prospectus supplement will contain information, where applicable, as to any other listing on the Nasdaq Capital Market or any securities market or other exchange of the securities, if any, covered by the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148590</wp:posOffset>
            </wp:positionV>
            <wp:extent cx="17830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b w:val="1"/>
          <w:bCs w:val="1"/>
          <w:i w:val="1"/>
          <w:iCs w:val="1"/>
          <w:color w:val="auto"/>
        </w:rPr>
        <w:t>Investing in our securities involves a high degree of risk. You should review carefully the risks and uncertainties described under the heading “Risk Factors” contained in the applicable prospectus supplement and any related free writing prospectus we have authorized for use in connection with a specific offering, and under similar headings in the other documents that are incorporated by reference into this prospectus as described on page 5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161925</wp:posOffset>
            </wp:positionV>
            <wp:extent cx="17830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right="80" w:firstLine="324"/>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ind w:left="3960"/>
              <w:spacing w:after="0"/>
              <w:rPr>
                <w:sz w:val="20"/>
                <w:szCs w:val="20"/>
                <w:color w:val="auto"/>
              </w:rPr>
            </w:pPr>
            <w:r>
              <w:rPr>
                <w:rFonts w:ascii="Arial" w:cs="Arial" w:eastAsia="Arial" w:hAnsi="Arial"/>
                <w:sz w:val="18"/>
                <w:szCs w:val="18"/>
                <w:color w:val="auto"/>
              </w:rPr>
              <w:t>The date of this prospectus is</w:t>
            </w:r>
          </w:p>
        </w:tc>
        <w:tc>
          <w:tcPr>
            <w:tcW w:w="4820" w:type="dxa"/>
            <w:vAlign w:val="bottom"/>
          </w:tcPr>
          <w:p>
            <w:pPr>
              <w:jc w:val="right"/>
              <w:ind w:right="3870"/>
              <w:spacing w:after="0"/>
              <w:rPr>
                <w:sz w:val="20"/>
                <w:szCs w:val="20"/>
                <w:color w:val="auto"/>
              </w:rPr>
            </w:pPr>
            <w:r>
              <w:rPr>
                <w:rFonts w:ascii="Arial" w:cs="Arial" w:eastAsia="Arial" w:hAnsi="Arial"/>
                <w:sz w:val="18"/>
                <w:szCs w:val="18"/>
                <w:color w:val="auto"/>
              </w:rPr>
              <w:t>, 2019.</w:t>
            </w:r>
          </w:p>
        </w:tc>
      </w:tr>
      <w:tr>
        <w:trPr>
          <w:trHeight w:val="675"/>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ABOUT THIS PROSPECTUS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SUMMARY</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RISK FACTORS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SPECIAL NOTE REGARDING FORWARD-LOOKING STATEMENTS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USE OF PROCEEDS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6</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DESCRIPTION OF CAPITAL STOCK</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DESCRIPTION OF DEBT SECURITIES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10</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DESCRIPTION OF WARRANTS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16</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LEGAL OWNERSHIP OF SECURITIES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18</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PLAN OF DISTRIBUTION</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21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LEGAL MATTERS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23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EXPERTS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23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WHERE YOU CAN FIND MORE INFORMATION</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23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INCORPORATION OF CERTAIN INFORMATION BY REFERENCE</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24</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88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This prospectus is a part of a registration statement on Form S-3 that we filed with the Securities and Exchange Commission, or SEC, utilizing a “shelf” registration process. Under this shelf registration statement, we may sell any combination of the securities described in this prospectus in one or more offerings up to a total aggregate offering price of $200,000,000. This prospectus provides you with a general description of the securities we may offer.</w:t>
      </w:r>
    </w:p>
    <w:p>
      <w:pPr>
        <w:spacing w:after="0" w:line="18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160" w:lineRule="exact"/>
        <w:rPr>
          <w:sz w:val="20"/>
          <w:szCs w:val="20"/>
          <w:color w:val="auto"/>
        </w:rPr>
      </w:pPr>
    </w:p>
    <w:p>
      <w:pPr>
        <w:ind w:right="640" w:firstLine="324"/>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166"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6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8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related notes, and the exhibits to the registration statement of which this prospectus is a part, before making your investment decision.</w:t>
      </w:r>
    </w:p>
    <w:p>
      <w:pPr>
        <w:spacing w:after="0" w:line="16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Unless the context indicates otherwise, as used in this prospectus, unless the context otherwise requires, references to "we," "us," "our," "the company" and "Marker Therapeutics" refer to Marker Therapeutics, Inc., formerly known as TapImmune, Inc., and its subsidiaries. 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 and ™, but such references should not be construed as any indication that their respective owners will not assert, to the fullest extent under applicable law, their rights thereto.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are a clinical-stage immuno-oncology company specializing in the development and commercialization of novel T cell-based immunotherapies and innovative peptide-based vaccines for the treatment of hematological malignancies and solid tumor indications. We developed our lead product candidates from our MultiTAA T cell technology, which is based on the selective expansion of non-engineered, tumor-specific T cells that recognize tumor associated antigens, or TAAs, which are tumor targets, and then kill tumor cells expressing those targets. These T cells are designed to recognize multiple tumor targets to produce broad spectrum anti-tumor activity. We are advancing two MultiTAA T cell pipelines: our autologous T cells for the treatment of lymphoma, multiple myeloma and selected solid tumors and our allogeneic T cells for the treatment of acute myeloid leukemia, or AML, and acute lymphoblastic leukemia, or ALL. Because we do not genetically engineer our MultiTAA therapies, we believe that our product candidates are easier and less expensive to manufacture, with reduced toxicities, than current engineered CAR-T and T cell receptor-based therapies, and may provide patients with meaningful clinical benefit. We are also developing innovative peptide-based immunotherapeutic vaccines for the treatment of metastatic solid tumors, as well as PolyStart, a proprietary nucleic acid-based antigen expression technology designed to improve the ability of the immune system to recognize and destroy diseased cells.</w:t>
      </w:r>
    </w:p>
    <w:p>
      <w:pPr>
        <w:spacing w:after="0" w:line="182"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are pursuing post-transplant AML as the lead indication for our MultiTAA program. Our MultiTAA therapy was well tolerated in our recent Phase 1 clinical trial, with no drug-related serious adverse events. Eleven of the thirteen patients in the adjuvant disease setting dosed with our MultiTAA therapy after receiving an allogeneic stem cell transplant survived, ranging from 6 weeks to 2.5 years post-infusion as of March 2019, with nine of these patients in continuing complete remission. As of March 2019, survival of the six patients with active disease ranged from 4 to 21 months, as compared to a historical survival rate of 4 months for patients who receive the standard of care post-transplant. We intend to submit an investigational new drug application to the United States Food and Drug Administration in the third quarter of 2019 to initiate a Phase 2 clinical trial in post-allogeneic hematopoietic stem cell transplant patients with AML in both the adjuvant and active disease setting.</w:t>
      </w:r>
    </w:p>
    <w:p>
      <w:pPr>
        <w:spacing w:after="0" w:line="17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We are also evaluating our MultiTAA therapy in a Phase 2 clinical trial for the treatment of breast cancer and in Phase 1 clinical trials for the treatment of ALL, lymphoma, multiple myeloma, pancreatic cancer and sarcoma. As of March 2019, our MultiTAA therapy has been well tolerated in all clinical trials in hematological and solid tumor indications with no drug-related serious adverse events, including cytokine release syndrome or neurotoxicity. In our clinical trials in lymphoma, ALL and multiple myeloma, we observed that our MultiTAA therapies have shown the potential to mediate a meaningful anti-tumor effect, as well as significant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expansion of T cells. We may initiate additional Phase 2 clinical trials in other indications in 2019 in addition to our planned Phase 2 trial in post-transplant AML patients. We plan to report additional interim data from an ongoing Phase 1/2 clinical trial in pancreatic cancer in the third quarter of 2019.</w:t>
      </w:r>
    </w:p>
    <w:p>
      <w:pPr>
        <w:spacing w:after="0" w:line="19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addition to our MultiTAA therapies, we are developing peptide-based immunotherapeutic vaccines that are designed to precisely target breast and ovarian cancer cells, in contrast to standard therapies for the treatment of cancer that target both cancer cells and normal cells. We are currently evaluating TPIV100/110 for the treatment of breast cancers that overexpress human epidermal growth factor receptor 2 in a Phase 1b clinical trial and TPIV200 for the treatment of breast and ovarian cancers that overexpress folate receptor alpha in multiple Phase 2 clinical trials, including in ovarian cancer, for which we expect to report interim data in the fourth quarter of 2019, and triple negative breast cancer, for which we recently reported that 26 of the 27 patients evaluated for immunogenicity showed significant immune response to treatment as of March 2019. We believe that our peptide vaccines and our PolyStart technology, which is currently in preclinical development, can be used as both standalone therapies and as complementary therapies that enhance the efficacy of other immunotherapy approaches.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right="20" w:firstLine="324"/>
        <w:spacing w:after="0" w:line="255" w:lineRule="auto"/>
        <w:rPr>
          <w:sz w:val="20"/>
          <w:szCs w:val="20"/>
          <w:color w:val="auto"/>
        </w:rPr>
      </w:pPr>
      <w:r>
        <w:rPr>
          <w:rFonts w:ascii="Arial" w:cs="Arial" w:eastAsia="Arial" w:hAnsi="Arial"/>
          <w:sz w:val="18"/>
          <w:szCs w:val="18"/>
          <w:color w:val="auto"/>
        </w:rPr>
        <w:t>We believe that our therapies present promising innovations in immuno-oncology. We developed our MultiTAA therapy in collaboration with the Cell and Gene Therapy Center at Baylor College of Medicine, which was founded by Dr. Malcolm K. Brenner, M.D., Ph.D., a recognized pioneer in immuno-oncology. Baylor College of Medicine remains an important strategic partner and conducts early-stage clinical trials of our MultiTAA therapies pursuant to a sponsored research agreement. Our cell therapy founders include Drs. Brenner, Ann Leen, Ph.D., Juan Vera, M.D., Helen Heslop, M.D., DSc (Hon) and Cliona Rooney, Ph.D., who all have significant experience in this field. Drs. Brenner, Heslop, Rooney, James P. Allison and Padmanee Sharma serve on our Scientific Advisory Board.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clinical-stage pipeline, including clinical trials being conducted by Baylor College of Medicine,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572125" cy="29660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557212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MAPP: autologous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LAPP: allogeneic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140" w:firstLine="401"/>
        <w:spacing w:after="0" w:line="288" w:lineRule="auto"/>
        <w:rPr>
          <w:sz w:val="20"/>
          <w:szCs w:val="20"/>
          <w:color w:val="auto"/>
        </w:rPr>
      </w:pPr>
      <w:r>
        <w:rPr>
          <w:rFonts w:ascii="Arial" w:cs="Arial" w:eastAsia="Arial" w:hAnsi="Arial"/>
          <w:sz w:val="16"/>
          <w:szCs w:val="16"/>
          <w:color w:val="auto"/>
        </w:rPr>
        <w:t xml:space="preserve">We were incorporated under the laws of the State of Nevada in 1991 under the name “TapImmune, Inc.” and reincorporated in Delaware in October 2018 under the name “Marker Therapeutics, Inc.” On October 17, 2018, we completed a business combination with a Delaware corporation that was then known as “Marker Therapeutics, Inc.,” or Private Marker, in accordance with the terms of the Agreement and Plan of Merger and Reorganization dated as of May 15, 2018, or the Merger Agreement, by and among us, Private Marker and Timberwolf Merger Sub, Inc., a Delaware corporation and a wholly owned subsidiary of TapImmune, or Merger Sub, pursuant to which, among other matters, Merger Sub merged with and into Private Marker, with Private Marker continuing as a wholly owned subsidiary of TapImmune and the surviving corporation of the merger. In connection with the merger, we changed our name from “TapImmune, Inc.” to “Marker Therapeutics, Inc.” and Private Marker changed its name to “Marker Cell Therapy, Inc.” and became our wholly owned subsidiary. Our principal executive offices are located at 3200 Southwest Freeway, Suite 2240, Houston, Texas 77027, and our telephone number is (713) 400-6400. Our website is located at </w:t>
      </w:r>
      <w:r>
        <w:rPr>
          <w:rFonts w:ascii="Arial" w:cs="Arial" w:eastAsia="Arial" w:hAnsi="Arial"/>
          <w:sz w:val="16"/>
          <w:szCs w:val="16"/>
          <w:i w:val="1"/>
          <w:iCs w:val="1"/>
          <w:color w:val="auto"/>
        </w:rPr>
        <w:t>http://www.markertherapeutics.com</w:t>
      </w:r>
      <w:r>
        <w:rPr>
          <w:rFonts w:ascii="Arial" w:cs="Arial" w:eastAsia="Arial" w:hAnsi="Arial"/>
          <w:sz w:val="16"/>
          <w:szCs w:val="16"/>
          <w:color w:val="auto"/>
        </w:rPr>
        <w:t>. We do not incorporate by reference into this prospectus the information on, or accessible through, our website, and you should not consider it as part of this prospectus.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may offer shares of our common stock and preferred stock, various series of debt securities and/or warrants to purchase any of such securities, either individually or in combination, up to a total aggregate offering price of $200,000,000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9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maturity;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original issue discount,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redemption, conversion, exchange or sinking fund terms, if any;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ranking;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restrictive covenants,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important U.S. federal income tax considerations.</w:t>
      </w:r>
    </w:p>
    <w:p>
      <w:pPr>
        <w:spacing w:after="0" w:line="211"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22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18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names of those underwriters or agents;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estimated net proceeds to us.</w:t>
      </w:r>
    </w:p>
    <w:p>
      <w:pPr>
        <w:spacing w:after="0" w:line="21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We may issue shares of our common stock from time to time. Holders of our common stock are entitled to one vote for each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ratably any dividends as may be declared by our board of directors, subject to any preferential dividend rights of any series of preferred stock that we may designate and issue in the future.</w:t>
      </w:r>
    </w:p>
    <w:p>
      <w:pPr>
        <w:spacing w:after="0" w:line="188"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In the event of our liquidation, dissolution or winding up, the holders of common stock are entitled to receive ratably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176" w:lineRule="exact"/>
        <w:rPr>
          <w:sz w:val="20"/>
          <w:szCs w:val="20"/>
          <w:color w:val="auto"/>
        </w:rPr>
      </w:pPr>
    </w:p>
    <w:p>
      <w:pPr>
        <w:jc w:val="both"/>
        <w:ind w:right="60" w:firstLine="238"/>
        <w:spacing w:after="0" w:line="259"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We may issue shares of our preferred stock from time to time, in one or more series. Under our certificate of incorporation, our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has the authority, without further action by the stockholders, to issue up to 5,000,000 shares of preferred stock, par value $0.001 per share. You should refer to our certificate of incorporation and our bylaws, both of which are included as exhibits to the registration statement of which this prospectus is a part.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right="60" w:firstLine="324"/>
        <w:spacing w:after="0" w:line="253" w:lineRule="auto"/>
        <w:rPr>
          <w:sz w:val="20"/>
          <w:szCs w:val="20"/>
          <w:color w:val="auto"/>
        </w:rPr>
      </w:pPr>
      <w:r>
        <w:rPr>
          <w:rFonts w:ascii="Arial" w:cs="Arial" w:eastAsia="Arial" w:hAnsi="Arial"/>
          <w:sz w:val="18"/>
          <w:szCs w:val="18"/>
          <w:color w:val="auto"/>
        </w:rPr>
        <w:t>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96"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If we offer a specific series of preferred stock under this prospectus, we will describe the terms of the preferred stock in the prospectus supplement for such offering and will file a copy of the certificate of designation establishing the terms of the preferred stock with the SEC. We urge you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57" w:lineRule="exact"/>
        <w:rPr>
          <w:sz w:val="20"/>
          <w:szCs w:val="20"/>
          <w:color w:val="auto"/>
        </w:rPr>
      </w:pPr>
    </w:p>
    <w:p>
      <w:pPr>
        <w:ind w:right="280" w:firstLine="324"/>
        <w:spacing w:after="0" w:line="275" w:lineRule="auto"/>
        <w:rPr>
          <w:sz w:val="20"/>
          <w:szCs w:val="20"/>
          <w:color w:val="auto"/>
        </w:rPr>
      </w:pPr>
      <w:r>
        <w:rPr>
          <w:rFonts w:ascii="Arial" w:cs="Arial" w:eastAsia="Arial" w:hAnsi="Arial"/>
          <w:sz w:val="17"/>
          <w:szCs w:val="17"/>
          <w:b w:val="1"/>
          <w:bCs w:val="1"/>
          <w:i w:val="1"/>
          <w:iCs w:val="1"/>
          <w:color w:val="auto"/>
        </w:rPr>
        <w:t>Debt Securities</w:t>
      </w:r>
      <w:r>
        <w:rPr>
          <w:rFonts w:ascii="Arial" w:cs="Arial" w:eastAsia="Arial" w:hAnsi="Arial"/>
          <w:sz w:val="17"/>
          <w:szCs w:val="17"/>
          <w:color w:val="auto"/>
        </w:rPr>
        <w:t>. We may issue debt securities from time to time, in one or more series, as either senior or subordinated debt or as senior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the holder’s option and would be at prescribed conversion rates.</w:t>
      </w:r>
    </w:p>
    <w:p>
      <w:pPr>
        <w:spacing w:after="0" w:line="17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9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stock, preferred stock and/or debt securities in one or more series. We may issue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warrants independently or together with common stock, preferred stock and/or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that may be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 before the issuance of such warrants.</w:t>
      </w:r>
    </w:p>
    <w:p>
      <w:pPr>
        <w:spacing w:after="0" w:line="165"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Any warrants issued under this prospectus will be evidenced by warrant certificates. Warrants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Annual Report on Form 10-K for the year ended December 31, 2018, as updated by any subsequently filed periodic reports and other documents that are incorporated by reference into this prospectus, before deciding whether to purchase any of the securities being registered pursuant to the registration statement of which this prospectus is a part. Each of the risk factors described in the documents referenced above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This prospectus and the documents incorporated by reference herein contain forward-looking statements. These are based on our management’s current beliefs, expectations and assumptions about future events, conditions and results and on information currently available to us. Discussions containing these forward-looking statements may be found, among other places, in the sections entitled “Business,” “Risk Factors” and “Management’s Discussion and Analysis of Financial Condition and Results of Operations” contained in the documents incorporated by reference herein.</w:t>
      </w:r>
    </w:p>
    <w:p>
      <w:pPr>
        <w:spacing w:after="0" w:line="157"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Any statements in this prospectus, or incorporated herein, about our expectations, beliefs, plans, objectives, assumptions or future events or performance are not historical facts and are forward-looking statements. Within the meaning of Section 27A of the Securities Act and Section 21E of the Securities Exchange Act of 1934, as amended, or the Exchange Act, these forward-looking statements include statements regarding:</w:t>
      </w:r>
    </w:p>
    <w:p>
      <w:pPr>
        <w:spacing w:after="0" w:line="165" w:lineRule="exact"/>
        <w:rPr>
          <w:sz w:val="20"/>
          <w:szCs w:val="20"/>
          <w:color w:val="auto"/>
        </w:rPr>
      </w:pPr>
    </w:p>
    <w:p>
      <w:pPr>
        <w:jc w:val="both"/>
        <w:ind w:left="980" w:right="180" w:hanging="324"/>
        <w:spacing w:after="0" w:line="255"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progress and results of clinical trials of our MultiTAA therapies and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p>
      <w:pPr>
        <w:spacing w:after="0" w:line="2" w:lineRule="exact"/>
        <w:rPr>
          <w:rFonts w:ascii="Arial" w:cs="Arial" w:eastAsia="Arial" w:hAnsi="Arial"/>
          <w:sz w:val="18"/>
          <w:szCs w:val="18"/>
          <w:color w:val="auto"/>
        </w:rPr>
      </w:pPr>
    </w:p>
    <w:p>
      <w:pPr>
        <w:ind w:left="980" w:right="34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any submission of filings for regulatory approval of our product candidates and our ability to obtain and maintain regulatory approvals for our product candidates for any indication;</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our product candidates;</w:t>
      </w:r>
    </w:p>
    <w:p>
      <w:pPr>
        <w:spacing w:after="0" w:line="9" w:lineRule="exact"/>
        <w:rPr>
          <w:rFonts w:ascii="Arial" w:cs="Arial" w:eastAsia="Arial" w:hAnsi="Arial"/>
          <w:sz w:val="18"/>
          <w:szCs w:val="18"/>
          <w:color w:val="auto"/>
        </w:rPr>
      </w:pPr>
    </w:p>
    <w:p>
      <w:pPr>
        <w:ind w:left="980" w:right="58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market acceptance and opportunity for and clinical utility of our product candidates, if approved for commercial use;</w:t>
      </w:r>
    </w:p>
    <w:p>
      <w:pPr>
        <w:ind w:left="980" w:right="52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manufacturing capabilities and strategy, including the, ease, scalability and commercial viability of our manufacturing methods and processes;</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expectations regarding the scope of any approved indications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w:t>
      </w:r>
    </w:p>
    <w:p>
      <w:pPr>
        <w:spacing w:after="0" w:line="9" w:lineRule="exact"/>
        <w:rPr>
          <w:rFonts w:ascii="Arial" w:cs="Arial" w:eastAsia="Arial" w:hAnsi="Arial"/>
          <w:sz w:val="18"/>
          <w:szCs w:val="18"/>
          <w:color w:val="auto"/>
        </w:rPr>
      </w:pPr>
    </w:p>
    <w:p>
      <w:pPr>
        <w:ind w:left="980" w:right="58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benefits of and our ability to maintain our relationships and collaborations with the Baylor College of Medicine and other potential collaboration or strategic relationships;</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use our MultiTAA platform to develop future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estimates of our expenses, ongoing losses, future revenue, capital requirements and our needs for or ability to obtain additional funding;</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position for our product candidates, and the scope of such protection;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competitive position and the development of and projections relating to our competitors or our industry;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211" w:lineRule="exact"/>
        <w:rPr>
          <w:sz w:val="20"/>
          <w:szCs w:val="20"/>
          <w:color w:val="auto"/>
        </w:rPr>
      </w:pPr>
    </w:p>
    <w:p>
      <w:pPr>
        <w:ind w:right="360" w:firstLine="369"/>
        <w:spacing w:after="0" w:line="296" w:lineRule="auto"/>
        <w:rPr>
          <w:sz w:val="20"/>
          <w:szCs w:val="20"/>
          <w:color w:val="auto"/>
        </w:rPr>
      </w:pPr>
      <w:r>
        <w:rPr>
          <w:rFonts w:ascii="Arial" w:cs="Arial" w:eastAsia="Arial" w:hAnsi="Arial"/>
          <w:sz w:val="16"/>
          <w:szCs w:val="16"/>
          <w:color w:val="auto"/>
        </w:rPr>
        <w:t>In some cases, you can identify forward-looking statements by the words “may,” “might,” “can,” “will,” “to be,” “could,” “would,” “should,” “expect,” “intend,” “plan,” “objective,” “anticipate,” “believe,” “estimate,” “predict,” “project,” “potential,” “likely,” “continue” and “ongoing,” or the negative of these terms, or other comparable terminology intended to identify statements about the future, although not all forward-looking statements contain these words.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firstLine="324"/>
        <w:spacing w:after="0" w:line="291" w:lineRule="auto"/>
        <w:rPr>
          <w:sz w:val="20"/>
          <w:szCs w:val="20"/>
          <w:color w:val="auto"/>
        </w:rPr>
      </w:pPr>
      <w:r>
        <w:rPr>
          <w:rFonts w:ascii="Arial" w:cs="Arial" w:eastAsia="Arial" w:hAnsi="Arial"/>
          <w:sz w:val="16"/>
          <w:szCs w:val="16"/>
          <w:color w:val="auto"/>
        </w:rPr>
        <w:t>You should refer to the “Risk Factors” section contained in the applicable prospectus supplement and any related free writing prospectus, and under similar headings in the other documents that are incorporated by reference into this prospectus, for a discussion of important factors that may cause our actual results to differ materially from those expressed or implied by our forward-looking statements. Given these risks, uncertainties and other factors, many of which are beyond our control, we cannot assure you that the forward-looking statements in this prospectus will prove to be accurate, and you should not place undue reliance on these forward-looking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66"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Except as required by law, we assume no obligation to update these forward-looking statements publicly, or to revise any forward-looking statements to reflect events or developments occurring after the date of this prospectus, even if new information becomes available in the future.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will retain broad discretion over the use of the net proceeds from the sale of the securities offered hereby. Except as described in any applicable prospectus supplement or in any free writing prospectuses that we may authorize to be provided to you in connection with a specific offering, we currently intend to use the net proceeds from the sale of the securities offered hereby for working capital, capital expenditures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Pending these uses, we intend to invest the net proceeds in investment-grade, interest-bearing securities.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i w:val="1"/>
          <w:iCs w:val="1"/>
          <w:color w:val="auto"/>
        </w:rPr>
        <w:t>The following description of our capital stock and provisions of our certificate of incorporation and bylaws are summaries. You should also refer to the certificate of incorporation and the bylaws, which are filed as exhibits to the registration statement of which this prospectus is part.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120" w:firstLine="330"/>
        <w:spacing w:after="0" w:line="286" w:lineRule="auto"/>
        <w:rPr>
          <w:sz w:val="20"/>
          <w:szCs w:val="20"/>
          <w:color w:val="auto"/>
        </w:rPr>
      </w:pPr>
      <w:r>
        <w:rPr>
          <w:rFonts w:ascii="Arial" w:cs="Arial" w:eastAsia="Arial" w:hAnsi="Arial"/>
          <w:sz w:val="17"/>
          <w:szCs w:val="17"/>
          <w:color w:val="auto"/>
        </w:rPr>
        <w:t>Our certificate of incorporation authorizes us to issue up to 150,000,000 shares of common stock, $0.001 par value per share, and 5,000,000 shares of preferred stock, $0.001 par value per share. Our board of directors may establish the rights and preferences of the preferred stock from time to time. As of March 31, 2019, we had outstanding 45,484,483 shares of common stock and no shares of preferred stock outstanding.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and do not have cumulative voting rights. As a result, the holders of a plurality of the shares of common stock entitled to vote in any election of directors can elect all of the directors standing for election, if they should so choose.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Holders of common stock are entitled to receive ratably any dividends as may be declared by our board of directors, subject to any preferential dividend rights of any series of preferred stock that we may designate and issue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25"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In the event of our liquidation, dissolution or winding up, the holders of common stock are entitled to receive ratably our net assets available for distribution to stockholders after the payment of all debts and other liabilities and subject to the prior rights of any outstanding preferred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and Preferences</w:t>
      </w:r>
    </w:p>
    <w:p>
      <w:pPr>
        <w:spacing w:after="0" w:line="225" w:lineRule="exact"/>
        <w:rPr>
          <w:sz w:val="20"/>
          <w:szCs w:val="20"/>
          <w:color w:val="auto"/>
        </w:rPr>
      </w:pPr>
    </w:p>
    <w:p>
      <w:pPr>
        <w:jc w:val="both"/>
        <w:ind w:right="360" w:firstLine="324"/>
        <w:spacing w:after="0" w:line="286" w:lineRule="auto"/>
        <w:rPr>
          <w:sz w:val="20"/>
          <w:szCs w:val="20"/>
          <w:color w:val="auto"/>
        </w:rPr>
      </w:pPr>
      <w:r>
        <w:rPr>
          <w:rFonts w:ascii="Arial" w:cs="Arial" w:eastAsia="Arial" w:hAnsi="Arial"/>
          <w:sz w:val="17"/>
          <w:szCs w:val="17"/>
          <w:color w:val="auto"/>
        </w:rPr>
        <w:t>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Pursuant to our certificate of incorporation, our board of directors has the authority, without further action by our stockholders, from time to time, to designate and issue up to 5,000,000 shares of preferred stock in one or more series. Our board of directors may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66"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Our board of directors will fix the designations, voting powers, preferences and rights of each series, as well as the qualifications, limitations or restrictions thereof, of the preferred stock of each series that we offer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purchase price per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dividend rate per share, dividend period and payment dates and method of calculation for dividends;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right, if any, to defer payment of dividends and the maximum length of any such deferral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those redemption and repurchase rights;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9" w:lineRule="exact"/>
        <w:rPr>
          <w:rFonts w:ascii="Arial" w:cs="Arial" w:eastAsia="Arial" w:hAnsi="Arial"/>
          <w:sz w:val="18"/>
          <w:szCs w:val="18"/>
          <w:color w:val="auto"/>
        </w:rPr>
      </w:pPr>
    </w:p>
    <w:p>
      <w:pPr>
        <w:ind w:left="660" w:right="40" w:hanging="328"/>
        <w:spacing w:after="0" w:line="28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1" w:lineRule="exact"/>
        <w:rPr>
          <w:rFonts w:ascii="Arial" w:cs="Arial" w:eastAsia="Arial" w:hAnsi="Arial"/>
          <w:sz w:val="16"/>
          <w:szCs w:val="16"/>
          <w:color w:val="auto"/>
        </w:rPr>
      </w:pPr>
    </w:p>
    <w:p>
      <w:pPr>
        <w:ind w:left="660" w:right="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period, the exchange price, or how it will be calculated, and under what circumstances it may be adjusted;</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preemption rights,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the preferred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relative ranking and preferences of the preferred stock as to dividend rights and rights if we liquidate, dissolve or wind up our affairs;</w:t>
      </w:r>
    </w:p>
    <w:p>
      <w:pPr>
        <w:spacing w:after="0" w:line="20" w:lineRule="exact"/>
        <w:rPr>
          <w:rFonts w:ascii="Arial" w:cs="Arial" w:eastAsia="Arial" w:hAnsi="Arial"/>
          <w:sz w:val="17"/>
          <w:szCs w:val="17"/>
          <w:color w:val="auto"/>
        </w:rPr>
      </w:pPr>
    </w:p>
    <w:p>
      <w:pPr>
        <w:ind w:left="660" w:right="8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specific terms, rights, preferences, privileges, qualifications or restrictions of the preferred stock.</w:t>
      </w:r>
    </w:p>
    <w:p>
      <w:pPr>
        <w:spacing w:after="0" w:line="21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General Corporation Law of the State of Delaware, or DGCL,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88" w:lineRule="exact"/>
        <w:rPr>
          <w:sz w:val="20"/>
          <w:szCs w:val="20"/>
          <w:color w:val="auto"/>
        </w:rPr>
      </w:pPr>
    </w:p>
    <w:p>
      <w:pPr>
        <w:ind w:right="500" w:firstLine="324"/>
        <w:spacing w:after="0" w:line="311" w:lineRule="auto"/>
        <w:rPr>
          <w:sz w:val="20"/>
          <w:szCs w:val="20"/>
          <w:color w:val="auto"/>
        </w:rPr>
      </w:pPr>
      <w:r>
        <w:rPr>
          <w:rFonts w:ascii="Arial" w:cs="Arial" w:eastAsia="Arial" w:hAnsi="Arial"/>
          <w:sz w:val="16"/>
          <w:szCs w:val="16"/>
          <w:color w:val="auto"/>
        </w:rPr>
        <w:t>The issuance of preferred stock could adversely affect the voting power of holders of common stock and reduce the likelihood that common stockholders will receive dividend payments and payments upon liquidation. The issuance could have the effect of decreasing the market price of the common stock. The issuance of preferred stock also could have the effect of delaying, deterring or preventing a change in control of 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203 of the Delaware General Corporation Law</w:t>
      </w:r>
    </w:p>
    <w:p>
      <w:pPr>
        <w:spacing w:after="0" w:line="225"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24" w:lineRule="exact"/>
        <w:rPr>
          <w:sz w:val="20"/>
          <w:szCs w:val="20"/>
          <w:color w:val="auto"/>
        </w:rPr>
      </w:pPr>
    </w:p>
    <w:p>
      <w:pPr>
        <w:ind w:left="660" w:right="7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660" w:right="200" w:hanging="328"/>
        <w:spacing w:after="0" w:line="25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left="660" w:right="50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Incorporation and Bylaws</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Because our stockholders do not have cumulative voting rights, stockholders holding a plurality of the shares of our common stock outstanding will be able to elect all of our directors. Our bylaws also provide that directors may be removed by the stockholders upon the vote of a majority of the shares entitled to vote an election of directors, and if a director was elected by a voting group of stockholders, only stockholders from that voting group may vote to remove such director, and such vacancy may be filled only by the stockholders of that voting group.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bylaws provide that only a majority of the authorized directors on our board of directors, the chairman of the board or the chief executive officer to call a special meeting of stockholders. Our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87"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The combination of these provisions may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transfer agent and registrar for our common stock is Island Stock Transfer, with offices at 15500 Roosevelt Boulevard, Clearwater, FL 33760. The transfer agent for any series of preferred stock that we may offer under this prospectus will be named and described in the prospectus supplement for that series.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Nasdaq</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Nasdaq Capital Market under the symbol “MRKR.”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118" w:gutter="0" w:footer="0" w:header="0"/>
        </w:sectPr>
      </w:pPr>
    </w:p>
    <w:bookmarkStart w:id="35" w:name="page36"/>
    <w:bookmarkEnd w:id="35"/>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6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57"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describe in the applicable prospectus supplement the terms of the series of debt securities being offered, including:</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the series of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limit upon the aggregate principal amount that may be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maturity date or 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form of the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debt securities rank as senior debt, senior subordinated debt, subordinated debt or any combination thereof, and the terms of any subordination;</w:t>
      </w:r>
    </w:p>
    <w:p>
      <w:pPr>
        <w:spacing w:after="0" w:line="170"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36" w:name="page37"/>
    <w:bookmarkEnd w:id="36"/>
    <w:p>
      <w:pPr>
        <w:ind w:left="328" w:right="20" w:hanging="328"/>
        <w:spacing w:after="0" w:line="308" w:lineRule="auto"/>
        <w:tabs>
          <w:tab w:leader="none" w:pos="3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46" w:lineRule="exact"/>
        <w:rPr>
          <w:rFonts w:ascii="Arial" w:cs="Arial" w:eastAsia="Arial" w:hAnsi="Arial"/>
          <w:sz w:val="17"/>
          <w:szCs w:val="17"/>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328" w:right="140" w:hanging="328"/>
        <w:spacing w:after="0" w:line="342" w:lineRule="auto"/>
        <w:tabs>
          <w:tab w:leader="none" w:pos="328"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123" w:lineRule="exact"/>
        <w:rPr>
          <w:rFonts w:ascii="Arial" w:cs="Arial" w:eastAsia="Arial" w:hAnsi="Arial"/>
          <w:sz w:val="16"/>
          <w:szCs w:val="16"/>
          <w:color w:val="auto"/>
        </w:rPr>
      </w:pPr>
    </w:p>
    <w:p>
      <w:pPr>
        <w:jc w:val="both"/>
        <w:ind w:left="328" w:right="240" w:hanging="328"/>
        <w:spacing w:after="0" w:line="263"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183"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w:t>
      </w:r>
    </w:p>
    <w:p>
      <w:pPr>
        <w:spacing w:after="0" w:line="248" w:lineRule="exact"/>
        <w:rPr>
          <w:rFonts w:ascii="Arial" w:cs="Arial" w:eastAsia="Arial" w:hAnsi="Arial"/>
          <w:sz w:val="16"/>
          <w:szCs w:val="16"/>
          <w:color w:val="auto"/>
        </w:rPr>
      </w:pPr>
    </w:p>
    <w:p>
      <w:pPr>
        <w:ind w:left="328" w:right="60" w:hanging="328"/>
        <w:spacing w:after="0" w:line="342" w:lineRule="auto"/>
        <w:tabs>
          <w:tab w:leader="none" w:pos="328"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23" w:lineRule="exact"/>
        <w:rPr>
          <w:rFonts w:ascii="Arial" w:cs="Arial" w:eastAsia="Arial" w:hAnsi="Arial"/>
          <w:sz w:val="16"/>
          <w:szCs w:val="16"/>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debt securities of the series shall be issued in whole or in part in the form of a global security or securities;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terms and conditions, if any, upon which such global security or securities may be exchanged in whole or in part for other individual securities;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depositary for such global security or securities;</w:t>
      </w:r>
    </w:p>
    <w:p>
      <w:pPr>
        <w:spacing w:after="0" w:line="225" w:lineRule="exact"/>
        <w:rPr>
          <w:rFonts w:ascii="Arial" w:cs="Arial" w:eastAsia="Arial" w:hAnsi="Arial"/>
          <w:sz w:val="18"/>
          <w:szCs w:val="18"/>
          <w:color w:val="auto"/>
        </w:rPr>
      </w:pPr>
    </w:p>
    <w:p>
      <w:pPr>
        <w:ind w:left="328" w:right="140" w:hanging="328"/>
        <w:spacing w:after="0" w:line="259"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186" w:lineRule="exact"/>
        <w:rPr>
          <w:rFonts w:ascii="Arial" w:cs="Arial" w:eastAsia="Arial" w:hAnsi="Arial"/>
          <w:sz w:val="18"/>
          <w:szCs w:val="18"/>
          <w:color w:val="auto"/>
        </w:rPr>
      </w:pPr>
    </w:p>
    <w:p>
      <w:pPr>
        <w:ind w:left="328" w:right="420" w:hanging="328"/>
        <w:spacing w:after="0" w:line="277"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170" w:lineRule="exact"/>
        <w:rPr>
          <w:rFonts w:ascii="Arial" w:cs="Arial" w:eastAsia="Arial" w:hAnsi="Arial"/>
          <w:sz w:val="18"/>
          <w:szCs w:val="18"/>
          <w:color w:val="auto"/>
        </w:rPr>
      </w:pPr>
    </w:p>
    <w:p>
      <w:pPr>
        <w:ind w:left="328" w:right="500" w:hanging="328"/>
        <w:spacing w:after="0" w:line="277"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to or changes in the covenants applicable to the particular debt securities being issued, including, among others, the consolidation, merger or sale covenant;</w:t>
      </w:r>
    </w:p>
    <w:p>
      <w:pPr>
        <w:spacing w:after="0" w:line="170" w:lineRule="exact"/>
        <w:rPr>
          <w:rFonts w:ascii="Arial" w:cs="Arial" w:eastAsia="Arial" w:hAnsi="Arial"/>
          <w:sz w:val="18"/>
          <w:szCs w:val="18"/>
          <w:color w:val="auto"/>
        </w:rPr>
      </w:pPr>
    </w:p>
    <w:p>
      <w:pPr>
        <w:ind w:left="328" w:right="80" w:hanging="328"/>
        <w:spacing w:after="0" w:line="277"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satisfaction and discharge of the indenture;</w:t>
      </w:r>
    </w:p>
    <w:p>
      <w:pPr>
        <w:spacing w:after="0" w:line="225" w:lineRule="exact"/>
        <w:rPr>
          <w:rFonts w:ascii="Arial" w:cs="Arial" w:eastAsia="Arial" w:hAnsi="Arial"/>
          <w:sz w:val="18"/>
          <w:szCs w:val="18"/>
          <w:color w:val="auto"/>
        </w:rPr>
      </w:pPr>
    </w:p>
    <w:p>
      <w:pPr>
        <w:ind w:left="328" w:right="660" w:hanging="328"/>
        <w:spacing w:after="0" w:line="277"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the modification of the indenture both with and without the consent of holders of debt securities issued under the indenture;</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currency of payment of debt securities if other than U.S. dollars and the manner of determining the equivalent amount in U.S. dollars;</w:t>
      </w:r>
    </w:p>
    <w:p>
      <w:pPr>
        <w:spacing w:after="0" w:line="236" w:lineRule="exact"/>
        <w:rPr>
          <w:rFonts w:ascii="Arial" w:cs="Arial" w:eastAsia="Arial" w:hAnsi="Arial"/>
          <w:sz w:val="17"/>
          <w:szCs w:val="17"/>
          <w:color w:val="auto"/>
        </w:rPr>
      </w:pPr>
    </w:p>
    <w:p>
      <w:pPr>
        <w:ind w:left="328" w:right="360" w:hanging="328"/>
        <w:spacing w:after="0" w:line="277"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debt securities at our or the holders’ option and the terms and conditions upon which the election may be made;</w:t>
      </w:r>
    </w:p>
    <w:p>
      <w:pPr>
        <w:spacing w:after="0" w:line="386"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08" w:right="359" w:bottom="1440" w:gutter="0" w:footer="0" w:header="0"/>
        </w:sectPr>
      </w:pPr>
    </w:p>
    <w:bookmarkStart w:id="37" w:name="page38"/>
    <w:bookmarkEnd w:id="37"/>
    <w:p>
      <w:pPr>
        <w:ind w:left="660" w:right="2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debt securities of the series;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70" w:lineRule="exact"/>
        <w:rPr>
          <w:sz w:val="20"/>
          <w:szCs w:val="20"/>
          <w:color w:val="auto"/>
        </w:rPr>
      </w:pPr>
    </w:p>
    <w:p>
      <w:pPr>
        <w:ind w:left="660" w:right="140" w:hanging="328"/>
        <w:spacing w:after="0" w:line="286"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165" w:lineRule="exact"/>
        <w:rPr>
          <w:rFonts w:ascii="Arial" w:cs="Arial" w:eastAsia="Arial" w:hAnsi="Arial"/>
          <w:sz w:val="17"/>
          <w:szCs w:val="17"/>
          <w:color w:val="auto"/>
        </w:rPr>
      </w:pPr>
    </w:p>
    <w:p>
      <w:pPr>
        <w:ind w:left="660" w:hanging="328"/>
        <w:spacing w:after="0" w:line="279"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171" w:lineRule="exact"/>
        <w:rPr>
          <w:rFonts w:ascii="Arial" w:cs="Arial" w:eastAsia="Arial" w:hAnsi="Arial"/>
          <w:sz w:val="17"/>
          <w:szCs w:val="17"/>
          <w:color w:val="auto"/>
        </w:rPr>
      </w:pPr>
    </w:p>
    <w:p>
      <w:pPr>
        <w:ind w:left="660" w:right="24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2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right="140" w:firstLine="324"/>
        <w:spacing w:after="0" w:line="286"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65"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7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 or to appoint a receiver or trustee, or to seek other remedies only if:</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written request,</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holders have offered to the trustee indemnity satisfactory to it against the costs, expenses and liabilities to be incurred by the trustee in compliance with the request; and</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and the trustee may change an indenture without the consent of any holders with respect to specific matters:</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the debt securities of any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“Description of Debt Securities—Consolidation, Merger or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225" w:lineRule="exact"/>
        <w:rPr>
          <w:rFonts w:ascii="Arial" w:cs="Arial" w:eastAsia="Arial" w:hAnsi="Arial"/>
          <w:sz w:val="18"/>
          <w:szCs w:val="18"/>
          <w:color w:val="auto"/>
        </w:rPr>
      </w:pPr>
    </w:p>
    <w:p>
      <w:pPr>
        <w:ind w:left="660" w:right="280" w:hanging="328"/>
        <w:spacing w:after="0" w:line="31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148" w:lineRule="exact"/>
        <w:rPr>
          <w:rFonts w:ascii="Arial" w:cs="Arial" w:eastAsia="Arial" w:hAnsi="Arial"/>
          <w:sz w:val="16"/>
          <w:szCs w:val="16"/>
          <w:color w:val="auto"/>
        </w:rPr>
      </w:pPr>
    </w:p>
    <w:p>
      <w:pPr>
        <w:ind w:left="660" w:right="2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interests of any holder of debt securities of any series in any material respect;</w:t>
      </w:r>
    </w:p>
    <w:p>
      <w:pPr>
        <w:spacing w:after="0" w:line="225" w:lineRule="exact"/>
        <w:rPr>
          <w:rFonts w:ascii="Arial" w:cs="Arial" w:eastAsia="Arial" w:hAnsi="Arial"/>
          <w:sz w:val="18"/>
          <w:szCs w:val="18"/>
          <w:color w:val="auto"/>
        </w:rPr>
      </w:pPr>
    </w:p>
    <w:p>
      <w:pPr>
        <w:jc w:val="both"/>
        <w:ind w:left="660" w:right="680" w:hanging="328"/>
        <w:spacing w:after="0" w:line="286"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any indenture by a successor trustee;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8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extending the fixed maturity of any debt securities of any series;</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series of any debt securities;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reducing the percentage of debt securities, the holders of which are required to consent to any amendment, supplement, modification or waiver.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specified obligations, including obligations to:</w:t>
      </w:r>
    </w:p>
    <w:p>
      <w:pPr>
        <w:spacing w:after="0" w:line="17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for payment;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principal of and premium and interest on any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92"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7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ind w:left="660" w:right="4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3"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2"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 and in any related free writing prospectuses, summarizes the material terms and provisions of the warrants that we may offer under this prospectus, which may consist of warrants to purchase common stock, preferred stock or debt securities and may be issued in one or more series. Warrants may be offered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9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will describe in the applicable prospectus supplement the terms relating to a series of warrants being offered, including, to the extent applicable:</w:t>
      </w:r>
    </w:p>
    <w:p>
      <w:pPr>
        <w:spacing w:after="0" w:line="248"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title of such securities;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offering price or prices and aggregate number of warrants offered;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currency or currencies for which the warrants may be purchased;</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securities will be separately transferable;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 w:lineRule="exact"/>
        <w:rPr>
          <w:rFonts w:ascii="Arial" w:cs="Arial" w:eastAsia="Arial" w:hAnsi="Arial"/>
          <w:sz w:val="18"/>
          <w:szCs w:val="18"/>
          <w:color w:val="auto"/>
        </w:rPr>
      </w:pPr>
    </w:p>
    <w:p>
      <w:pPr>
        <w:ind w:left="660" w:right="140" w:hanging="328"/>
        <w:spacing w:after="0" w:line="265"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ind w:left="660" w:right="22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agreements and the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of any rights to force the exercise of the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manner in which the warrant agreements and warrants may be modified;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consequences of holding or exercising the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1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Before exercising their warrants, holders of warrants will not have any of the rights of holders of the securities purchasable upon such exercise, including:</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2" w:name="page43"/>
    <w:bookmarkEnd w:id="42"/>
    <w:p>
      <w:pPr>
        <w:ind w:left="660" w:right="620" w:hanging="328"/>
        <w:spacing w:after="0" w:line="25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1" w:lineRule="exact"/>
        <w:rPr>
          <w:rFonts w:ascii="Arial" w:cs="Arial" w:eastAsia="Arial" w:hAnsi="Arial"/>
          <w:sz w:val="18"/>
          <w:szCs w:val="18"/>
          <w:color w:val="auto"/>
        </w:rPr>
      </w:pPr>
    </w:p>
    <w:p>
      <w:pPr>
        <w:ind w:left="660" w:right="400" w:hanging="328"/>
        <w:spacing w:after="0" w:line="26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8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LEGAL OWNERSHIP OF SECURITIES</w:t>
      </w:r>
    </w:p>
    <w:p>
      <w:pPr>
        <w:spacing w:after="0" w:line="22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Holders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7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Street Name Holders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Holders</w:t>
      </w:r>
    </w:p>
    <w:p>
      <w:pPr>
        <w:spacing w:after="0" w:line="229"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49"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holders, and not the indirect holders, of the securities. Whether and how the legal holders contact the indirect holders is up to the legal holders.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17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whether and how you can instruct it to send you securities registered in your own name so you can be a holder, if that is permitted in the future;</w:t>
      </w:r>
    </w:p>
    <w:p>
      <w:pPr>
        <w:spacing w:after="0" w:line="32" w:lineRule="exact"/>
        <w:rPr>
          <w:rFonts w:ascii="Arial" w:cs="Arial" w:eastAsia="Arial" w:hAnsi="Arial"/>
          <w:sz w:val="16"/>
          <w:szCs w:val="16"/>
          <w:color w:val="auto"/>
        </w:rPr>
      </w:pPr>
    </w:p>
    <w:p>
      <w:pPr>
        <w:ind w:left="660" w:right="64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securities are in book-entry form, how the depositary’s rules and procedures will affect these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18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64"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securities are issued only as global securities, an investor should be aware of the following:</w:t>
      </w:r>
    </w:p>
    <w:p>
      <w:pPr>
        <w:spacing w:after="0" w:line="225" w:lineRule="exact"/>
        <w:rPr>
          <w:sz w:val="20"/>
          <w:szCs w:val="20"/>
          <w:color w:val="auto"/>
        </w:rPr>
      </w:pPr>
    </w:p>
    <w:p>
      <w:pPr>
        <w:ind w:left="660" w:right="280" w:hanging="328"/>
        <w:spacing w:after="0" w:line="25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1"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securities and protection of his or her legal rights relating to the securities, as we describe above;</w:t>
      </w:r>
    </w:p>
    <w:p>
      <w:pPr>
        <w:ind w:left="660" w:right="8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securities to some insurance companies and to other institutions that are required by law to own their securities in non-book-entry form;</w:t>
      </w:r>
    </w:p>
    <w:p>
      <w:pPr>
        <w:ind w:left="660" w:right="12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ind w:left="660" w:right="60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the global security;</w:t>
      </w:r>
    </w:p>
    <w:p>
      <w:pPr>
        <w:ind w:left="660" w:hanging="328"/>
        <w:spacing w:after="0" w:line="26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5" w:name="page46"/>
    <w:bookmarkEnd w:id="45"/>
    <w:p>
      <w:pPr>
        <w:ind w:left="660" w:hanging="328"/>
        <w:spacing w:after="0" w:line="25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1" w:lineRule="exact"/>
        <w:rPr>
          <w:rFonts w:ascii="Arial" w:cs="Arial" w:eastAsia="Arial" w:hAnsi="Arial"/>
          <w:sz w:val="18"/>
          <w:szCs w:val="18"/>
          <w:color w:val="auto"/>
        </w:rPr>
      </w:pPr>
    </w:p>
    <w:p>
      <w:pPr>
        <w:ind w:left="660" w:right="160" w:hanging="328"/>
        <w:spacing w:after="0" w:line="26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8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There may be more than one financial intermediary in the chain of ownership for an investor. We do not monitor and are not responsible for the actions of any of those intermediaries.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Unless we provide otherwise in the applicable prospectus supplement, a global security will terminate when the following special situations occur:</w:t>
      </w:r>
    </w:p>
    <w:p>
      <w:pPr>
        <w:spacing w:after="0" w:line="237" w:lineRule="exact"/>
        <w:rPr>
          <w:sz w:val="20"/>
          <w:szCs w:val="20"/>
          <w:color w:val="auto"/>
        </w:rPr>
      </w:pPr>
    </w:p>
    <w:p>
      <w:pPr>
        <w:ind w:left="660" w:right="500" w:hanging="328"/>
        <w:spacing w:after="0" w:line="25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securities represented by that global security and has not been cured or waived.</w:t>
      </w:r>
    </w:p>
    <w:p>
      <w:pPr>
        <w:spacing w:after="0" w:line="21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18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1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facilities of the Nasdaq Capital Market or any other securities exchange or quotation or trading service on which such securities may be listed, quoted or traded at the time of sale. Such at the market offerings, if any, may be conducted by underwriters acting as principal or agent.</w:t>
      </w:r>
    </w:p>
    <w:p>
      <w:pPr>
        <w:spacing w:after="0" w:line="17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170"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if 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we will receive from the sale;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or other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66"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84"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49"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84"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firstLine="324"/>
        <w:spacing w:after="0" w:line="272" w:lineRule="auto"/>
        <w:rPr>
          <w:sz w:val="20"/>
          <w:szCs w:val="20"/>
          <w:color w:val="auto"/>
        </w:rPr>
      </w:pPr>
      <w:r>
        <w:rPr>
          <w:rFonts w:ascii="Arial" w:cs="Arial" w:eastAsia="Arial" w:hAnsi="Arial"/>
          <w:sz w:val="17"/>
          <w:szCs w:val="17"/>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7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Any underwriters or agents who are qualified market makers on the Nasdaq Capital Market may engage in passive market making transactions in the securities on the Nasdaq Capital Market in accordance with Rule 103 of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7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compliance with guidelines of the Financial Industry Regulatory Authority, or FINRA, the maximum consideration or discount to be received by any FINRA member or independent broker dealer may not exceed 8% of the aggregate amount of the securities offered pursuant to this prospectus and any applicable prospectus supplement.</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Unless otherwise indicated in the applicable prospectus supplement, certain legal matters in connection with the offering and the validity of the securities offered by this prospectus, and any supplement thereto, will be passed upon by Cooley LLP, New York, New York. Additional legal matters may be passed upon for us or any underwriters, dealers or agents, by counsel that we will name in the applicable prospectus supplement.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Marcum LLP, independent registered public accounting firm, has audited our consolidated financial statements as of and for the years ended December 31, 2018 and 2017 and the effectiveness of our internal control over financial reporting as of December 31, 2018 as set forth in its reports, which are included in our 2018 Annual Report on Form 10-K and incorporated by reference in this prospectus and elsewhere in the registration statement. Our 2018 and 2017 financial statements are incorporated by reference in reliance on Marcum LLP’s report, given on their authority as experts in accounting and auditing.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in this prospectus.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9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70"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 xml:space="preserve">Copies of certain information filed by us with the SEC are also available on our website at </w:t>
      </w:r>
      <w:r>
        <w:rPr>
          <w:rFonts w:ascii="Arial" w:cs="Arial" w:eastAsia="Arial" w:hAnsi="Arial"/>
          <w:sz w:val="17"/>
          <w:szCs w:val="17"/>
          <w:i w:val="1"/>
          <w:iCs w:val="1"/>
          <w:color w:val="auto"/>
        </w:rPr>
        <w:t>http://www.markertherapeutics.com</w:t>
      </w:r>
      <w:r>
        <w:rPr>
          <w:rFonts w:ascii="Arial" w:cs="Arial" w:eastAsia="Arial" w:hAnsi="Arial"/>
          <w:sz w:val="17"/>
          <w:szCs w:val="17"/>
          <w:color w:val="auto"/>
        </w:rPr>
        <w:t>. Information contained in or accessible through our website does not constitute a part of this prospectus and is not incorporated by reference in this prospectus.</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001-37939. The documents incorporated by reference into this prospectus contain important information that you should read about us.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incorporated by reference into this document:</w:t>
      </w:r>
    </w:p>
    <w:p>
      <w:pPr>
        <w:spacing w:after="0" w:line="225" w:lineRule="exact"/>
        <w:rPr>
          <w:sz w:val="20"/>
          <w:szCs w:val="20"/>
          <w:color w:val="auto"/>
        </w:rPr>
      </w:pPr>
    </w:p>
    <w:p>
      <w:pPr>
        <w:ind w:left="700" w:hanging="328"/>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December 31, 2018, filed with the SEC on </w:t>
      </w:r>
      <w:hyperlink r:id="rId73">
        <w:r>
          <w:rPr>
            <w:rFonts w:ascii="Arial" w:cs="Arial" w:eastAsia="Arial" w:hAnsi="Arial"/>
            <w:sz w:val="18"/>
            <w:szCs w:val="18"/>
            <w:u w:val="single" w:color="auto"/>
            <w:color w:val="0000EE"/>
          </w:rPr>
          <w:t>March 15, 2019</w:t>
        </w:r>
      </w:hyperlink>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700" w:right="380" w:hanging="328"/>
        <w:spacing w:after="0" w:line="250"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2018 from our Definitive Proxy Statement on Schedule 14A, filed with the SEC on </w:t>
      </w:r>
      <w:hyperlink r:id="rId74">
        <w:r>
          <w:rPr>
            <w:rFonts w:ascii="Arial" w:cs="Arial" w:eastAsia="Arial" w:hAnsi="Arial"/>
            <w:sz w:val="18"/>
            <w:szCs w:val="18"/>
            <w:u w:val="single" w:color="auto"/>
            <w:color w:val="0000EE"/>
          </w:rPr>
          <w:t>March 28, 2019</w:t>
        </w:r>
      </w:hyperlink>
      <w:r>
        <w:rPr>
          <w:rFonts w:ascii="Arial" w:cs="Arial" w:eastAsia="Arial" w:hAnsi="Arial"/>
          <w:sz w:val="18"/>
          <w:szCs w:val="18"/>
          <w:color w:val="auto"/>
        </w:rPr>
        <w:t>;</w:t>
      </w:r>
    </w:p>
    <w:p>
      <w:pPr>
        <w:ind w:left="700" w:hanging="328"/>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fiscal quarter ended March 31, 2019, filed with the SEC on </w:t>
      </w:r>
      <w:hyperlink r:id="rId75">
        <w:r>
          <w:rPr>
            <w:rFonts w:ascii="Arial" w:cs="Arial" w:eastAsia="Arial" w:hAnsi="Arial"/>
            <w:sz w:val="18"/>
            <w:szCs w:val="18"/>
            <w:u w:val="single" w:color="auto"/>
            <w:color w:val="0000EE"/>
          </w:rPr>
          <w:t>May 10, 2019</w:t>
        </w:r>
      </w:hyperlink>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00" w:right="340" w:hanging="328"/>
        <w:spacing w:after="0" w:line="250" w:lineRule="auto"/>
        <w:tabs>
          <w:tab w:leader="none" w:pos="700" w:val="left"/>
        </w:tabs>
        <w:numPr>
          <w:ilvl w:val="0"/>
          <w:numId w:val="40"/>
        </w:numPr>
        <w:rPr>
          <w:rFonts w:ascii="Arial" w:cs="Arial" w:eastAsia="Arial" w:hAnsi="Arial"/>
          <w:sz w:val="18"/>
          <w:szCs w:val="18"/>
          <w:color w:val="0000EE"/>
        </w:rPr>
      </w:pPr>
      <w:hyperlink r:id="rId76">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January 4,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15,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15,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25,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28,</w:t>
        </w:r>
      </w:hyperlink>
      <w:r>
        <w:rPr>
          <w:rFonts w:ascii="Arial" w:cs="Arial" w:eastAsia="Arial" w:hAnsi="Arial"/>
          <w:sz w:val="18"/>
          <w:szCs w:val="18"/>
          <w:color w:val="auto"/>
        </w:rPr>
        <w:t xml:space="preserve"> </w:t>
      </w:r>
      <w:hyperlink r:id="rId76">
        <w:r>
          <w:rPr>
            <w:rFonts w:ascii="Arial" w:cs="Arial" w:eastAsia="Arial" w:hAnsi="Arial"/>
            <w:sz w:val="18"/>
            <w:szCs w:val="18"/>
            <w:u w:val="single" w:color="auto"/>
            <w:color w:val="0000EE"/>
          </w:rPr>
          <w:t>2019</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77">
        <w:r>
          <w:rPr>
            <w:rFonts w:ascii="Arial" w:cs="Arial" w:eastAsia="Arial" w:hAnsi="Arial"/>
            <w:sz w:val="18"/>
            <w:szCs w:val="18"/>
            <w:u w:val="single" w:color="auto"/>
            <w:color w:val="0000EE"/>
          </w:rPr>
          <w:t xml:space="preserve">April 17, 2019 </w:t>
        </w:r>
      </w:hyperlink>
      <w:hyperlink r:id="rId76">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78">
        <w:r>
          <w:rPr>
            <w:rFonts w:ascii="Arial" w:cs="Arial" w:eastAsia="Arial" w:hAnsi="Arial"/>
            <w:sz w:val="18"/>
            <w:szCs w:val="18"/>
            <w:u w:val="single" w:color="auto"/>
            <w:color w:val="0000EE"/>
          </w:rPr>
          <w:t>May 10, 2019</w:t>
        </w:r>
      </w:hyperlink>
      <w:hyperlink r:id="rId76">
        <w:r>
          <w:rPr>
            <w:rFonts w:ascii="Arial" w:cs="Arial" w:eastAsia="Arial" w:hAnsi="Arial"/>
            <w:sz w:val="18"/>
            <w:szCs w:val="18"/>
            <w:color w:val="000000"/>
          </w:rPr>
          <w:t>; and</w:t>
        </w:r>
      </w:hyperlink>
    </w:p>
    <w:p>
      <w:pPr>
        <w:jc w:val="both"/>
        <w:ind w:left="700" w:right="300" w:hanging="328"/>
        <w:spacing w:after="0" w:line="255"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the registration statement on Form 8-A registering our common stock under Section 12 of the Exchange Act, which was filed with the SEC on </w:t>
      </w:r>
      <w:hyperlink r:id="rId79">
        <w:r>
          <w:rPr>
            <w:rFonts w:ascii="Arial" w:cs="Arial" w:eastAsia="Arial" w:hAnsi="Arial"/>
            <w:sz w:val="18"/>
            <w:szCs w:val="18"/>
            <w:u w:val="single" w:color="auto"/>
            <w:color w:val="0000EE"/>
          </w:rPr>
          <w:t>November 3, 2016</w:t>
        </w:r>
      </w:hyperlink>
      <w:r>
        <w:rPr>
          <w:rFonts w:ascii="Arial" w:cs="Arial" w:eastAsia="Arial" w:hAnsi="Arial"/>
          <w:sz w:val="18"/>
          <w:szCs w:val="18"/>
          <w:color w:val="auto"/>
        </w:rPr>
        <w:t>, including any amendments or reports filed for purposes of updating such description.</w:t>
      </w:r>
    </w:p>
    <w:p>
      <w:pPr>
        <w:spacing w:after="0" w:line="190" w:lineRule="exact"/>
        <w:rPr>
          <w:rFonts w:ascii="Arial" w:cs="Arial" w:eastAsia="Arial" w:hAnsi="Arial"/>
          <w:sz w:val="18"/>
          <w:szCs w:val="18"/>
          <w:color w:val="0000EE"/>
        </w:rPr>
      </w:pPr>
    </w:p>
    <w:p>
      <w:pPr>
        <w:ind w:firstLine="324"/>
        <w:spacing w:after="0" w:line="275" w:lineRule="auto"/>
        <w:rPr>
          <w:sz w:val="20"/>
          <w:szCs w:val="20"/>
          <w:color w:val="auto"/>
        </w:rPr>
      </w:pPr>
      <w:r>
        <w:rPr>
          <w:rFonts w:ascii="Arial" w:cs="Arial" w:eastAsia="Arial" w:hAnsi="Arial"/>
          <w:sz w:val="17"/>
          <w:szCs w:val="17"/>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(i) 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76" w:lineRule="exact"/>
        <w:rPr>
          <w:rFonts w:ascii="Arial" w:cs="Arial" w:eastAsia="Arial" w:hAnsi="Arial"/>
          <w:sz w:val="18"/>
          <w:szCs w:val="18"/>
          <w:color w:val="0000EE"/>
        </w:rPr>
      </w:pPr>
    </w:p>
    <w:p>
      <w:pPr>
        <w:ind w:right="40" w:firstLine="324"/>
        <w:spacing w:after="0" w:line="259" w:lineRule="auto"/>
        <w:rPr>
          <w:sz w:val="20"/>
          <w:szCs w:val="20"/>
          <w:color w:val="auto"/>
        </w:rPr>
      </w:pPr>
      <w:r>
        <w:rPr>
          <w:rFonts w:ascii="Arial" w:cs="Arial" w:eastAsia="Arial" w:hAnsi="Arial"/>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Marker Therapeutics, Inc., Attn: Corporate Secretary, 3200 Southwest Freeway, Suite 2240, Houston, Texas 77027.</w:t>
      </w:r>
    </w:p>
    <w:p>
      <w:pPr>
        <w:spacing w:after="0" w:line="187" w:lineRule="exact"/>
        <w:rPr>
          <w:rFonts w:ascii="Arial" w:cs="Arial" w:eastAsia="Arial" w:hAnsi="Arial"/>
          <w:sz w:val="18"/>
          <w:szCs w:val="18"/>
          <w:color w:val="0000EE"/>
        </w:rPr>
      </w:pPr>
    </w:p>
    <w:p>
      <w:pPr>
        <w:ind w:right="320" w:firstLine="324"/>
        <w:spacing w:after="0" w:line="311" w:lineRule="auto"/>
        <w:rPr>
          <w:sz w:val="20"/>
          <w:szCs w:val="20"/>
          <w:color w:val="auto"/>
        </w:rPr>
      </w:pPr>
      <w:r>
        <w:rPr>
          <w:rFonts w:ascii="Arial" w:cs="Arial" w:eastAsia="Arial" w:hAnsi="Arial"/>
          <w:sz w:val="16"/>
          <w:szCs w:val="16"/>
          <w:color w:val="auto"/>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w:t>
      </w:r>
    </w:p>
    <w:p>
      <w:pPr>
        <w:spacing w:after="0" w:line="365" w:lineRule="exact"/>
        <w:rPr>
          <w:rFonts w:ascii="Arial" w:cs="Arial" w:eastAsia="Arial" w:hAnsi="Arial"/>
          <w:sz w:val="18"/>
          <w:szCs w:val="18"/>
          <w:color w:val="0000EE"/>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25"/>
          <w:szCs w:val="25"/>
          <w:b w:val="1"/>
          <w:bCs w:val="1"/>
          <w:color w:val="auto"/>
        </w:rPr>
        <w:t>28,572,000 Shares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MARKER THERAPEUTICS, INC.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1254760</wp:posOffset>
            </wp:positionV>
            <wp:extent cx="17830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431800</wp:posOffset>
            </wp:positionV>
            <wp:extent cx="2880360" cy="651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288036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191770</wp:posOffset>
            </wp:positionV>
            <wp:extent cx="17830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900"/>
        <w:spacing w:after="0"/>
        <w:tabs>
          <w:tab w:leader="none" w:pos="6960" w:val="left"/>
        </w:tabs>
        <w:rPr>
          <w:sz w:val="20"/>
          <w:szCs w:val="20"/>
          <w:color w:val="auto"/>
        </w:rPr>
      </w:pPr>
      <w:r>
        <w:rPr>
          <w:rFonts w:ascii="Arial" w:cs="Arial" w:eastAsia="Arial" w:hAnsi="Arial"/>
          <w:sz w:val="25"/>
          <w:szCs w:val="25"/>
          <w:b w:val="1"/>
          <w:bCs w:val="1"/>
          <w:color w:val="auto"/>
        </w:rPr>
        <w:t>Piper Sandler</w:t>
      </w:r>
      <w:r>
        <w:rPr>
          <w:sz w:val="20"/>
          <w:szCs w:val="20"/>
          <w:color w:val="auto"/>
        </w:rPr>
        <w:tab/>
      </w:r>
      <w:r>
        <w:rPr>
          <w:rFonts w:ascii="Arial" w:cs="Arial" w:eastAsia="Arial" w:hAnsi="Arial"/>
          <w:sz w:val="24"/>
          <w:szCs w:val="24"/>
          <w:b w:val="1"/>
          <w:bCs w:val="1"/>
          <w:color w:val="auto"/>
        </w:rPr>
        <w:t>Cantor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191770</wp:posOffset>
            </wp:positionV>
            <wp:extent cx="17830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Oppenheimer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191770</wp:posOffset>
            </wp:positionV>
            <wp:extent cx="1783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Roth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191770</wp:posOffset>
            </wp:positionV>
            <wp:extent cx="17830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3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lowerLetter"/>
      <w:start w:val="1"/>
    </w:lvl>
  </w:abstractNum>
  <w:abstractNum w:abstractNumId="10">
    <w:nsid w:val="4353D0CD"/>
    <w:multiLevelType w:val="hybridMultilevel"/>
    <w:lvl w:ilvl="0">
      <w:lvlJc w:val="left"/>
      <w:lvlText w:val="(%1)"/>
      <w:numFmt w:val="lowerLetter"/>
      <w:start w:val="1"/>
    </w:lvl>
    <w:lvl w:ilvl="1">
      <w:lvlJc w:val="left"/>
      <w:lvlText w:val="(%2)"/>
      <w:numFmt w:val="lowerLetter"/>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jpe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jpe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jpe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41" Type="http://schemas.openxmlformats.org/officeDocument/2006/relationships/hyperlink" Target="https://www.sec.gov/ix?doc=/Archives/edgar/data/1094038/000110465921033855/mrkr-20201231x10k.htm" TargetMode="External"/><Relationship Id="rId42" Type="http://schemas.openxmlformats.org/officeDocument/2006/relationships/hyperlink" Target="https://www.sec.gov/Archives/edgar/data/1094038/000114420416131272/v452031_8a12b.htm" TargetMode="External"/><Relationship Id="rId73" Type="http://schemas.openxmlformats.org/officeDocument/2006/relationships/hyperlink" Target="http://www.sec.gov/Archives/edgar/data/1094038/000114420419014350/tv514406_10k.htm" TargetMode="External"/><Relationship Id="rId74" Type="http://schemas.openxmlformats.org/officeDocument/2006/relationships/hyperlink" Target="http://www.sec.gov/Archives/edgar/data/1094038/000114420419016692/tv517415_def14a.htm" TargetMode="External"/><Relationship Id="rId75" Type="http://schemas.openxmlformats.org/officeDocument/2006/relationships/hyperlink" Target="http://www.sec.gov/Archives/edgar/data/1094038/000114420419025316/tv520511_10q.htm" TargetMode="External"/><Relationship Id="rId76" Type="http://schemas.openxmlformats.org/officeDocument/2006/relationships/hyperlink" Target="http://www.sec.gov/Archives/edgar/data/1094038/000114420419016685/tv517465_8k.htm" TargetMode="External"/><Relationship Id="rId77" Type="http://schemas.openxmlformats.org/officeDocument/2006/relationships/hyperlink" Target="http://www.sec.gov/Archives/edgar/data/1094038/000114420419019976/tv519053_8k.htm" TargetMode="External"/><Relationship Id="rId78" Type="http://schemas.openxmlformats.org/officeDocument/2006/relationships/hyperlink" Target="http://www.sec.gov/Archives/edgar/data/1094038/000114420419025325/tv521321_8k.htm" TargetMode="External"/><Relationship Id="rId79" Type="http://schemas.openxmlformats.org/officeDocument/2006/relationships/hyperlink" Target="http://www.sec.gov/Archives/edgar/data/1094038/000114420416131272/v452031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2021-03-15T15:43:53Z</dcterms:created>
  <dcterms:modified xsi:type="dcterms:W3CDTF">2021-03-15T15:43:53Z</dcterms:modified>
</cp:coreProperties>
</file>