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March 17, 2022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56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gridSpan w:val="3"/>
          </w:tcPr>
          <w:p>
            <w:pPr>
              <w:jc w:val="center"/>
              <w:ind w:right="1260"/>
              <w:spacing w:after="0"/>
              <w:rPr>
                <w:sz w:val="20"/>
                <w:szCs w:val="20"/>
                <w:color w:val="auto"/>
              </w:rPr>
            </w:pPr>
            <w:r>
              <w:rPr>
                <w:rFonts w:ascii="Arial" w:cs="Arial" w:eastAsia="Arial" w:hAnsi="Arial"/>
                <w:sz w:val="18"/>
                <w:szCs w:val="18"/>
                <w:b w:val="1"/>
                <w:bCs w:val="1"/>
                <w:color w:val="auto"/>
                <w:w w:val="91"/>
              </w:rPr>
              <w:t>Delaware</w:t>
            </w:r>
          </w:p>
        </w:tc>
        <w:tc>
          <w:tcPr>
            <w:tcW w:w="4220" w:type="dxa"/>
            <w:vAlign w:val="bottom"/>
            <w:gridSpan w:val="3"/>
          </w:tcPr>
          <w:p>
            <w:pPr>
              <w:jc w:val="right"/>
              <w:ind w:right="1680"/>
              <w:spacing w:after="0"/>
              <w:rPr>
                <w:sz w:val="20"/>
                <w:szCs w:val="20"/>
                <w:color w:val="auto"/>
              </w:rPr>
            </w:pPr>
            <w:r>
              <w:rPr>
                <w:rFonts w:ascii="Arial" w:cs="Arial" w:eastAsia="Arial" w:hAnsi="Arial"/>
                <w:sz w:val="18"/>
                <w:szCs w:val="18"/>
                <w:b w:val="1"/>
                <w:bCs w:val="1"/>
                <w:color w:val="auto"/>
              </w:rPr>
              <w:t>001-37939</w:t>
            </w:r>
          </w:p>
        </w:tc>
        <w:tc>
          <w:tcPr>
            <w:tcW w:w="28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2"/>
        </w:trPr>
        <w:tc>
          <w:tcPr>
            <w:tcW w:w="304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(State or other jurisdiction of</w:t>
            </w:r>
          </w:p>
        </w:tc>
        <w:tc>
          <w:tcPr>
            <w:tcW w:w="4220" w:type="dxa"/>
            <w:vAlign w:val="bottom"/>
            <w:gridSpan w:val="3"/>
          </w:tcPr>
          <w:p>
            <w:pPr>
              <w:jc w:val="center"/>
              <w:spacing w:after="0"/>
              <w:rPr>
                <w:sz w:val="20"/>
                <w:szCs w:val="20"/>
                <w:color w:val="auto"/>
              </w:rPr>
            </w:pPr>
            <w:r>
              <w:rPr>
                <w:rFonts w:ascii="Arial" w:cs="Arial" w:eastAsia="Arial" w:hAnsi="Arial"/>
                <w:sz w:val="18"/>
                <w:szCs w:val="18"/>
                <w:color w:val="auto"/>
                <w:w w:val="92"/>
              </w:rPr>
              <w:t>(Commission File Number)</w:t>
            </w:r>
          </w:p>
        </w:tc>
        <w:tc>
          <w:tcPr>
            <w:tcW w:w="2800" w:type="dxa"/>
            <w:vAlign w:val="bottom"/>
            <w:gridSpan w:val="5"/>
          </w:tcPr>
          <w:p>
            <w:pPr>
              <w:jc w:val="center"/>
              <w:ind w:left="250"/>
              <w:spacing w:after="0"/>
              <w:rPr>
                <w:sz w:val="20"/>
                <w:szCs w:val="20"/>
                <w:color w:val="auto"/>
              </w:rPr>
            </w:pPr>
            <w:r>
              <w:rPr>
                <w:rFonts w:ascii="Arial" w:cs="Arial" w:eastAsia="Arial" w:hAnsi="Arial"/>
                <w:sz w:val="18"/>
                <w:szCs w:val="18"/>
                <w:color w:val="auto"/>
                <w:w w:val="93"/>
              </w:rPr>
              <w:t>(IRS Employer Identification No.)</w:t>
            </w:r>
          </w:p>
        </w:tc>
      </w:tr>
      <w:tr>
        <w:trPr>
          <w:trHeight w:val="230"/>
        </w:trPr>
        <w:tc>
          <w:tcPr>
            <w:tcW w:w="840" w:type="dxa"/>
            <w:vAlign w:val="bottom"/>
          </w:tcPr>
          <w:p>
            <w:pPr>
              <w:spacing w:after="0"/>
              <w:rPr>
                <w:sz w:val="20"/>
                <w:szCs w:val="20"/>
                <w:color w:val="auto"/>
              </w:rPr>
            </w:pPr>
          </w:p>
        </w:tc>
        <w:tc>
          <w:tcPr>
            <w:tcW w:w="2200" w:type="dxa"/>
            <w:vAlign w:val="bottom"/>
            <w:gridSpan w:val="4"/>
          </w:tcPr>
          <w:p>
            <w:pPr>
              <w:jc w:val="center"/>
              <w:ind w:right="1040"/>
              <w:spacing w:after="0"/>
              <w:rPr>
                <w:sz w:val="20"/>
                <w:szCs w:val="20"/>
                <w:color w:val="auto"/>
              </w:rPr>
            </w:pPr>
            <w:r>
              <w:rPr>
                <w:rFonts w:ascii="Arial" w:cs="Arial" w:eastAsia="Arial" w:hAnsi="Arial"/>
                <w:sz w:val="18"/>
                <w:szCs w:val="18"/>
                <w:color w:val="auto"/>
                <w:w w:val="94"/>
              </w:rPr>
              <w:t>incorporation)</w:t>
            </w:r>
          </w:p>
        </w:tc>
        <w:tc>
          <w:tcPr>
            <w:tcW w:w="1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14"/>
        </w:trPr>
        <w:tc>
          <w:tcPr>
            <w:tcW w:w="304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8"/>
              </w:rPr>
              <w:t>3200 Southwest Freeway</w:t>
            </w:r>
          </w:p>
        </w:tc>
        <w:tc>
          <w:tcPr>
            <w:tcW w:w="1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2200" w:type="dxa"/>
            <w:vAlign w:val="bottom"/>
            <w:gridSpan w:val="4"/>
          </w:tcPr>
          <w:p>
            <w:pPr>
              <w:jc w:val="center"/>
              <w:ind w:right="1040"/>
              <w:spacing w:after="0"/>
              <w:rPr>
                <w:sz w:val="20"/>
                <w:szCs w:val="20"/>
                <w:color w:val="auto"/>
              </w:rPr>
            </w:pPr>
            <w:r>
              <w:rPr>
                <w:rFonts w:ascii="Arial" w:cs="Arial" w:eastAsia="Arial" w:hAnsi="Arial"/>
                <w:sz w:val="18"/>
                <w:szCs w:val="18"/>
                <w:b w:val="1"/>
                <w:bCs w:val="1"/>
                <w:color w:val="auto"/>
                <w:w w:val="89"/>
              </w:rPr>
              <w:t>Suite 2500</w:t>
            </w:r>
          </w:p>
        </w:tc>
        <w:tc>
          <w:tcPr>
            <w:tcW w:w="1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4"/>
        </w:trPr>
        <w:tc>
          <w:tcPr>
            <w:tcW w:w="840" w:type="dxa"/>
            <w:vAlign w:val="bottom"/>
          </w:tcPr>
          <w:p>
            <w:pPr>
              <w:spacing w:after="0"/>
              <w:rPr>
                <w:sz w:val="16"/>
                <w:szCs w:val="16"/>
                <w:color w:val="auto"/>
              </w:rPr>
            </w:pPr>
          </w:p>
        </w:tc>
        <w:tc>
          <w:tcPr>
            <w:tcW w:w="116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86"/>
              </w:rPr>
              <w:t>Houston, Texas</w:t>
            </w:r>
          </w:p>
        </w:tc>
        <w:tc>
          <w:tcPr>
            <w:tcW w:w="10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00" w:type="dxa"/>
            <w:vAlign w:val="bottom"/>
            <w:gridSpan w:val="4"/>
          </w:tcPr>
          <w:p>
            <w:pPr>
              <w:jc w:val="right"/>
              <w:ind w:right="200"/>
              <w:spacing w:after="0" w:line="188" w:lineRule="exact"/>
              <w:rPr>
                <w:sz w:val="20"/>
                <w:szCs w:val="20"/>
                <w:color w:val="auto"/>
              </w:rPr>
            </w:pPr>
            <w:r>
              <w:rPr>
                <w:rFonts w:ascii="Arial" w:cs="Arial" w:eastAsia="Arial" w:hAnsi="Arial"/>
                <w:sz w:val="18"/>
                <w:szCs w:val="18"/>
                <w:b w:val="1"/>
                <w:bCs w:val="1"/>
                <w:color w:val="auto"/>
              </w:rPr>
              <w:t>77027</w:t>
            </w:r>
          </w:p>
        </w:tc>
        <w:tc>
          <w:tcPr>
            <w:tcW w:w="800" w:type="dxa"/>
            <w:vAlign w:val="bottom"/>
          </w:tcPr>
          <w:p>
            <w:pPr>
              <w:spacing w:after="0"/>
              <w:rPr>
                <w:sz w:val="16"/>
                <w:szCs w:val="16"/>
                <w:color w:val="auto"/>
              </w:rPr>
            </w:pPr>
          </w:p>
        </w:tc>
      </w:tr>
      <w:tr>
        <w:trPr>
          <w:trHeight w:val="20"/>
        </w:trPr>
        <w:tc>
          <w:tcPr>
            <w:tcW w:w="3040" w:type="dxa"/>
            <w:vAlign w:val="bottom"/>
            <w:gridSpan w:val="5"/>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24"/>
        </w:trPr>
        <w:tc>
          <w:tcPr>
            <w:tcW w:w="304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60" w:type="dxa"/>
            <w:vAlign w:val="bottom"/>
            <w:gridSpan w:val="4"/>
          </w:tcPr>
          <w:p>
            <w:pPr>
              <w:jc w:val="center"/>
              <w:ind w:right="800"/>
              <w:spacing w:after="0"/>
              <w:rPr>
                <w:sz w:val="20"/>
                <w:szCs w:val="20"/>
                <w:color w:val="auto"/>
              </w:rPr>
            </w:pPr>
            <w:r>
              <w:rPr>
                <w:rFonts w:ascii="Arial" w:cs="Arial" w:eastAsia="Arial" w:hAnsi="Arial"/>
                <w:sz w:val="18"/>
                <w:szCs w:val="18"/>
                <w:color w:val="auto"/>
                <w:w w:val="91"/>
              </w:rPr>
              <w:t>(Zip Code)</w:t>
            </w:r>
          </w:p>
        </w:tc>
      </w:tr>
      <w:tr>
        <w:trPr>
          <w:trHeight w:val="418"/>
        </w:trPr>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20" w:type="dxa"/>
            <w:vAlign w:val="bottom"/>
            <w:gridSpan w:val="3"/>
          </w:tcPr>
          <w:p>
            <w:pPr>
              <w:jc w:val="right"/>
              <w:ind w:right="1640"/>
              <w:spacing w:after="0"/>
              <w:rPr>
                <w:sz w:val="20"/>
                <w:szCs w:val="20"/>
                <w:color w:val="auto"/>
              </w:rPr>
            </w:pPr>
            <w:r>
              <w:rPr>
                <w:rFonts w:ascii="Arial" w:cs="Arial" w:eastAsia="Arial" w:hAnsi="Arial"/>
                <w:sz w:val="18"/>
                <w:szCs w:val="18"/>
                <w:b w:val="1"/>
                <w:bCs w:val="1"/>
                <w:color w:val="auto"/>
              </w:rPr>
              <w:t>(713) 400-6400</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20" w:type="dxa"/>
            <w:vAlign w:val="bottom"/>
            <w:gridSpan w:val="3"/>
          </w:tcPr>
          <w:p>
            <w:pPr>
              <w:jc w:val="center"/>
              <w:ind w:right="180"/>
              <w:spacing w:after="0"/>
              <w:rPr>
                <w:sz w:val="20"/>
                <w:szCs w:val="20"/>
                <w:color w:val="auto"/>
              </w:rPr>
            </w:pPr>
            <w:r>
              <w:rPr>
                <w:rFonts w:ascii="Arial" w:cs="Arial" w:eastAsia="Arial" w:hAnsi="Arial"/>
                <w:sz w:val="18"/>
                <w:szCs w:val="18"/>
                <w:color w:val="auto"/>
                <w:w w:val="89"/>
              </w:rPr>
              <w:t>Registrant’s telephone number, including area code</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2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418"/>
        </w:trPr>
        <w:tc>
          <w:tcPr>
            <w:tcW w:w="4760" w:type="dxa"/>
            <w:vAlign w:val="bottom"/>
          </w:tcPr>
          <w:p>
            <w:pPr>
              <w:spacing w:after="0"/>
              <w:rPr>
                <w:sz w:val="24"/>
                <w:szCs w:val="24"/>
                <w:color w:val="auto"/>
              </w:rPr>
            </w:pPr>
          </w:p>
        </w:tc>
        <w:tc>
          <w:tcPr>
            <w:tcW w:w="2200" w:type="dxa"/>
            <w:vAlign w:val="bottom"/>
          </w:tcPr>
          <w:p>
            <w:pPr>
              <w:jc w:val="center"/>
              <w:ind w:right="110"/>
              <w:spacing w:after="0"/>
              <w:rPr>
                <w:sz w:val="20"/>
                <w:szCs w:val="20"/>
                <w:color w:val="auto"/>
              </w:rPr>
            </w:pPr>
            <w:r>
              <w:rPr>
                <w:rFonts w:ascii="Arial" w:cs="Arial" w:eastAsia="Arial" w:hAnsi="Arial"/>
                <w:sz w:val="18"/>
                <w:szCs w:val="18"/>
                <w:color w:val="auto"/>
                <w:w w:val="91"/>
              </w:rPr>
              <w:t>Trading</w:t>
            </w:r>
          </w:p>
        </w:tc>
        <w:tc>
          <w:tcPr>
            <w:tcW w:w="4280" w:type="dxa"/>
            <w:vAlign w:val="bottom"/>
          </w:tcPr>
          <w:p>
            <w:pPr>
              <w:spacing w:after="0"/>
              <w:rPr>
                <w:sz w:val="24"/>
                <w:szCs w:val="24"/>
                <w:color w:val="auto"/>
              </w:rPr>
            </w:pPr>
          </w:p>
        </w:tc>
      </w:tr>
      <w:tr>
        <w:trPr>
          <w:trHeight w:val="230"/>
        </w:trPr>
        <w:tc>
          <w:tcPr>
            <w:tcW w:w="4760" w:type="dxa"/>
            <w:vAlign w:val="bottom"/>
            <w:tcBorders>
              <w:bottom w:val="single" w:sz="8" w:color="auto"/>
            </w:tcBorders>
          </w:tcPr>
          <w:p>
            <w:pPr>
              <w:jc w:val="center"/>
              <w:ind w:right="710"/>
              <w:spacing w:after="0"/>
              <w:rPr>
                <w:sz w:val="20"/>
                <w:szCs w:val="20"/>
                <w:color w:val="auto"/>
              </w:rPr>
            </w:pPr>
            <w:r>
              <w:rPr>
                <w:rFonts w:ascii="Arial" w:cs="Arial" w:eastAsia="Arial" w:hAnsi="Arial"/>
                <w:sz w:val="18"/>
                <w:szCs w:val="18"/>
                <w:color w:val="auto"/>
                <w:w w:val="88"/>
              </w:rPr>
              <w:t>Title of each class</w:t>
            </w:r>
          </w:p>
        </w:tc>
        <w:tc>
          <w:tcPr>
            <w:tcW w:w="22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1"/>
              </w:rPr>
              <w:t>Symbol(s)</w:t>
            </w:r>
          </w:p>
        </w:tc>
        <w:tc>
          <w:tcPr>
            <w:tcW w:w="428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760" w:type="dxa"/>
            <w:vAlign w:val="bottom"/>
          </w:tcPr>
          <w:p>
            <w:pPr>
              <w:jc w:val="center"/>
              <w:ind w:right="710"/>
              <w:spacing w:after="0"/>
              <w:rPr>
                <w:sz w:val="20"/>
                <w:szCs w:val="20"/>
                <w:color w:val="auto"/>
              </w:rPr>
            </w:pPr>
            <w:r>
              <w:rPr>
                <w:rFonts w:ascii="Arial" w:cs="Arial" w:eastAsia="Arial" w:hAnsi="Arial"/>
                <w:sz w:val="18"/>
                <w:szCs w:val="18"/>
                <w:color w:val="auto"/>
                <w:w w:val="89"/>
              </w:rPr>
              <w:t>Common Stock, par value $0.001 per share</w:t>
            </w:r>
          </w:p>
        </w:tc>
        <w:tc>
          <w:tcPr>
            <w:tcW w:w="2200" w:type="dxa"/>
            <w:vAlign w:val="bottom"/>
          </w:tcPr>
          <w:p>
            <w:pPr>
              <w:jc w:val="center"/>
              <w:ind w:right="130"/>
              <w:spacing w:after="0"/>
              <w:rPr>
                <w:sz w:val="20"/>
                <w:szCs w:val="20"/>
                <w:color w:val="auto"/>
              </w:rPr>
            </w:pPr>
            <w:r>
              <w:rPr>
                <w:rFonts w:ascii="Arial" w:cs="Arial" w:eastAsia="Arial" w:hAnsi="Arial"/>
                <w:sz w:val="18"/>
                <w:szCs w:val="18"/>
                <w:color w:val="auto"/>
              </w:rPr>
              <w:t>MRKR</w:t>
            </w:r>
          </w:p>
        </w:tc>
        <w:tc>
          <w:tcPr>
            <w:tcW w:w="4280" w:type="dxa"/>
            <w:vAlign w:val="bottom"/>
          </w:tcPr>
          <w:p>
            <w:pPr>
              <w:jc w:val="center"/>
              <w:ind w:left="490"/>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On March 17, 2022, Marker Therapeutics,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reported financial results for the quarter ended December 31, 2021 and other recent corporate updates. A copy of the press release is furnished as Exhibit 99.1 to this report and incorporated by reference.</w:t>
      </w:r>
    </w:p>
    <w:p>
      <w:pPr>
        <w:spacing w:after="0" w:line="14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information in this Item 2.02 of this Current Report on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080" w:type="dxa"/>
            <w:vAlign w:val="bottom"/>
          </w:tcPr>
          <w:p>
            <w:pPr>
              <w:spacing w:after="0"/>
              <w:rPr>
                <w:sz w:val="20"/>
                <w:szCs w:val="20"/>
                <w:color w:val="auto"/>
              </w:rPr>
            </w:pPr>
          </w:p>
        </w:tc>
      </w:tr>
      <w:tr>
        <w:trPr>
          <w:trHeight w:val="392"/>
        </w:trPr>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000" w:type="dxa"/>
            <w:vAlign w:val="bottom"/>
            <w:gridSpan w:val="4"/>
          </w:tcPr>
          <w:p>
            <w:pPr>
              <w:ind w:left="32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80" w:type="dxa"/>
            <w:vAlign w:val="bottom"/>
            <w:gridSpan w:val="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March 17, 2022</w:t>
              </w:r>
            </w:hyperlink>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80" w:type="dxa"/>
            <w:vAlign w:val="bottom"/>
            <w:gridSpan w:val="3"/>
          </w:tcPr>
          <w:p>
            <w:pPr>
              <w:spacing w:after="0"/>
              <w:rPr>
                <w:sz w:val="20"/>
                <w:szCs w:val="20"/>
                <w:color w:val="auto"/>
              </w:rPr>
            </w:pPr>
            <w:r>
              <w:rPr>
                <w:rFonts w:ascii="Arial" w:cs="Arial" w:eastAsia="Arial" w:hAnsi="Arial"/>
                <w:sz w:val="18"/>
                <w:szCs w:val="18"/>
                <w:color w:val="auto"/>
              </w:rPr>
              <w:t>Inline XBRL for the cover page of this Current Report on Form 8-K</w:t>
            </w:r>
          </w:p>
        </w:tc>
      </w:tr>
      <w:tr>
        <w:trPr>
          <w:trHeight w:val="675"/>
        </w:trPr>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Arial" w:cs="Arial" w:eastAsia="Arial" w:hAnsi="Arial"/>
                <w:sz w:val="18"/>
                <w:szCs w:val="18"/>
                <w:b w:val="1"/>
                <w:bCs w:val="1"/>
                <w:color w:val="auto"/>
              </w:rPr>
              <w:t>Marker Therapeutics, Inc.</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Dated: March 17, 2022</w:t>
            </w:r>
          </w:p>
        </w:tc>
        <w:tc>
          <w:tcPr>
            <w:tcW w:w="7580" w:type="dxa"/>
            <w:vAlign w:val="bottom"/>
            <w:gridSpan w:val="2"/>
          </w:tcPr>
          <w:p>
            <w:pPr>
              <w:ind w:left="1980"/>
              <w:spacing w:after="0"/>
              <w:rPr>
                <w:sz w:val="20"/>
                <w:szCs w:val="20"/>
                <w:color w:val="auto"/>
              </w:rPr>
            </w:pPr>
            <w:r>
              <w:rPr>
                <w:rFonts w:ascii="Arial" w:cs="Arial" w:eastAsia="Arial" w:hAnsi="Arial"/>
                <w:sz w:val="18"/>
                <w:szCs w:val="18"/>
                <w:color w:val="auto"/>
              </w:rPr>
              <w:t>By: /s/ Anthony Kim</w:t>
            </w:r>
          </w:p>
        </w:tc>
      </w:tr>
      <w:tr>
        <w:trPr>
          <w:trHeight w:val="195"/>
        </w:trPr>
        <w:tc>
          <w:tcPr>
            <w:tcW w:w="3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Anthony Kim</w:t>
            </w:r>
          </w:p>
        </w:tc>
      </w:tr>
      <w:tr>
        <w:trPr>
          <w:trHeight w:val="230"/>
        </w:trPr>
        <w:tc>
          <w:tcPr>
            <w:tcW w:w="3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675"/>
        </w:trPr>
        <w:tc>
          <w:tcPr>
            <w:tcW w:w="3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614295" cy="7029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1429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Reports Fiscal Year 2021 Operating and Financial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Enrollment of first 20 patients of the Company’s Phase 2 acute myeloid leukemia (AML) trial completed in Q4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Topline readout of Group 2 active disease anticipated in Q2 2022</w:t>
      </w:r>
    </w:p>
    <w:p>
      <w:pPr>
        <w:spacing w:after="0" w:line="23" w:lineRule="exact"/>
        <w:rPr>
          <w:sz w:val="20"/>
          <w:szCs w:val="20"/>
          <w:color w:val="auto"/>
        </w:rPr>
      </w:pPr>
    </w:p>
    <w:p>
      <w:pPr>
        <w:ind w:right="20" w:firstLine="1329"/>
        <w:spacing w:after="0" w:line="253" w:lineRule="auto"/>
        <w:rPr>
          <w:sz w:val="20"/>
          <w:szCs w:val="20"/>
          <w:color w:val="auto"/>
        </w:rPr>
      </w:pPr>
      <w:r>
        <w:rPr>
          <w:rFonts w:ascii="Arial" w:cs="Arial" w:eastAsia="Arial" w:hAnsi="Arial"/>
          <w:sz w:val="18"/>
          <w:szCs w:val="18"/>
          <w:i w:val="1"/>
          <w:iCs w:val="1"/>
          <w:color w:val="auto"/>
        </w:rPr>
        <w:t xml:space="preserve">Company plans to file INDs in lymphoma and pancreatic cancer by year end, with clinical trials to be initiated in 2023 </w:t>
      </w:r>
      <w:r>
        <w:rPr>
          <w:rFonts w:ascii="Arial" w:cs="Arial" w:eastAsia="Arial" w:hAnsi="Arial"/>
          <w:sz w:val="18"/>
          <w:szCs w:val="18"/>
          <w:b w:val="1"/>
          <w:bCs w:val="1"/>
          <w:color w:val="auto"/>
        </w:rPr>
        <w:t>Houston, TX—March 17, 2022—</w:t>
      </w:r>
      <w:r>
        <w:rPr>
          <w:rFonts w:ascii="Arial" w:cs="Arial" w:eastAsia="Arial" w:hAnsi="Arial"/>
          <w:sz w:val="18"/>
          <w:szCs w:val="18"/>
          <w:color w:val="auto"/>
        </w:rPr>
        <w:t>Marker Therapeutics, Inc. (Nasdaq:MRKR), a clinical-stage immuno-oncology company specializing in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of next-generation T cell-based immunotherapies for the treatment of hematological malignancies and solid tumor indications, today provided a corporate update and reported financial results for the fiscal year ended December 31, 2021.</w:t>
      </w:r>
    </w:p>
    <w:p>
      <w:pPr>
        <w:spacing w:after="0" w:line="1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2021, we completed enrollment of the first 20 patients in our Phase 2 AML trial investigating our lead product candidate, MT-401,” said Peter L. Hoang, Marker’s President and Chief Executive Officer. “We also developed a new nine-day manufacturing process which increased the potency and antigen specificity and diversity of our products and significantly reduced the time it takes to manufacture our patient-specific T cell therapies. In February 2022, we reported initial results from the six-patient safety lead-in phase of the Phase 2 AML trial, which demonstrated that MT-401 was well-tolerated and satisfied the safety requirements with FDA. We expect to report topline data from the active disease group in the main phase of the Phase 2 trial next quarter. In addition, we look forward to expanding our pipeline beyond AML and expect to file INDs for lymphoma and pancreatic cancer by the end of the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PROGRAM UPDATES AND EXPECTED MILESTONES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Acute Myeloid Leukemia (AML)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MT-401</w:t>
      </w:r>
    </w:p>
    <w:p>
      <w:pPr>
        <w:spacing w:after="0" w:line="225" w:lineRule="exact"/>
        <w:rPr>
          <w:sz w:val="20"/>
          <w:szCs w:val="20"/>
          <w:color w:val="auto"/>
        </w:rPr>
      </w:pPr>
    </w:p>
    <w:p>
      <w:pPr>
        <w:ind w:left="660" w:right="280" w:hanging="328"/>
        <w:spacing w:after="0" w:line="25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February 2022, Marker announced the initial results of the safety lead-in stage of its Company-sponsored Phase 2 AML trial evaluating MT-401, Marker’s lead MultiTAA-specific T cell product candidate. Results from the safety lead-in demonstrate that MT-401 was well-tolerated, eliminated measurable residual disease (MRD) in one MRD positive patient and induced epitope spreading across multiple AML-associated antigens in that patient.</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safety lead-in satisfied safety requirements with the FDA and the main Phase 2 stage of the AML trial began enrolling in July 2021.</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Enrollment of the first 20 patients of the Phase 2 AML trial was completed in Q4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Topline readout of Group 2 active disease is anticipated in Q2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Off-the-Shelf (MT-401-OTS)</w:t>
      </w:r>
    </w:p>
    <w:p>
      <w:pPr>
        <w:spacing w:after="0" w:line="225" w:lineRule="exact"/>
        <w:rPr>
          <w:sz w:val="20"/>
          <w:szCs w:val="20"/>
          <w:color w:val="auto"/>
        </w:rPr>
      </w:pPr>
    </w:p>
    <w:p>
      <w:pPr>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Marker announced in February 2022 that it intends to expand its AML program with the development of MT-401-OTS, a scalable, off-the-shelf product candidate with the potential to match patients to treatment in under three days. Marker’s open Investigational New Drug application (IND) for MT-401 for the treatment of AML includes approval of an off-the-shelf program. The Company is in the process of developing a patient cell bank inventory and expects to dose the first patient with MT-401-OTS in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Clinical Programs (MT-601)</w:t>
      </w:r>
    </w:p>
    <w:p>
      <w:pPr>
        <w:spacing w:after="0" w:line="229" w:lineRule="exact"/>
        <w:rPr>
          <w:sz w:val="20"/>
          <w:szCs w:val="20"/>
          <w:color w:val="auto"/>
        </w:rPr>
      </w:pPr>
    </w:p>
    <w:p>
      <w:pPr>
        <w:ind w:left="660" w:right="20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Marker recently announced that the Company intends to file INDs for MT-601, Marker’s second MultiTAA-specific T cell product candidate, in lymphoma and pancreatic cancer in 2022. The Company expects to initiate these trials in 2023.</w:t>
      </w:r>
    </w:p>
    <w:p>
      <w:pPr>
        <w:spacing w:after="0" w:line="1" w:lineRule="exact"/>
        <w:rPr>
          <w:rFonts w:ascii="Arial" w:cs="Arial" w:eastAsia="Arial" w:hAnsi="Arial"/>
          <w:sz w:val="18"/>
          <w:szCs w:val="18"/>
          <w:color w:val="auto"/>
        </w:rPr>
      </w:pPr>
    </w:p>
    <w:p>
      <w:pPr>
        <w:ind w:left="660" w:right="60" w:hanging="328"/>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January 2022, Marker announced that the U.S. Food and Drug Administration granted Orphan Drug designation to MT-601 for the treatment of pancreatic cancer.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UPDATES</w:t>
      </w:r>
    </w:p>
    <w:p>
      <w:pPr>
        <w:spacing w:after="0" w:line="22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December 9, 2021, Marker announced the appointment of Katharine Knobil, M.D., to the Company's Board of Directors.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Marker began manufacturing MT-401 for its Phase 2 AML trial at the Company’s cGMP manufacturing facility in the fourth quarter of 2021.</w:t>
      </w:r>
    </w:p>
    <w:p>
      <w:pPr>
        <w:spacing w:after="0" w:line="20"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developed and is implementing a new nine-day MultiTAA-specific T cell manufacturing process for its current Company-sponsored Phase 2 AML trial as well as future clinical trials using a patient-specific manufacturing approach. The new T cell manufacturing process is designed to improve potency, increase antigen specificity and diversity and significantly reduce manufacturing time.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2021 FINANCIAL RESULTS</w:t>
      </w:r>
    </w:p>
    <w:p>
      <w:pPr>
        <w:spacing w:after="0" w:line="225" w:lineRule="exact"/>
        <w:rPr>
          <w:sz w:val="20"/>
          <w:szCs w:val="20"/>
          <w:color w:val="auto"/>
        </w:rPr>
      </w:pPr>
    </w:p>
    <w:p>
      <w:pPr>
        <w:ind w:right="100"/>
        <w:spacing w:after="0" w:line="347" w:lineRule="auto"/>
        <w:rPr>
          <w:sz w:val="20"/>
          <w:szCs w:val="20"/>
          <w:color w:val="auto"/>
        </w:rPr>
      </w:pPr>
      <w:r>
        <w:rPr>
          <w:rFonts w:ascii="Arial" w:cs="Arial" w:eastAsia="Arial" w:hAnsi="Arial"/>
          <w:sz w:val="16"/>
          <w:szCs w:val="16"/>
          <w:b w:val="1"/>
          <w:bCs w:val="1"/>
          <w:color w:val="auto"/>
        </w:rPr>
        <w:t xml:space="preserve">Cash Position and Guidance: </w:t>
      </w:r>
      <w:r>
        <w:rPr>
          <w:rFonts w:ascii="Arial" w:cs="Arial" w:eastAsia="Arial" w:hAnsi="Arial"/>
          <w:sz w:val="16"/>
          <w:szCs w:val="16"/>
          <w:color w:val="auto"/>
        </w:rPr>
        <w:t>At December 31, 2021, Marker had cash, cash equivalents and restricted cash of $43.5 million. The Company believes that</w:t>
      </w:r>
      <w:r>
        <w:rPr>
          <w:rFonts w:ascii="Arial" w:cs="Arial" w:eastAsia="Arial" w:hAnsi="Arial"/>
          <w:sz w:val="16"/>
          <w:szCs w:val="16"/>
          <w:b w:val="1"/>
          <w:bCs w:val="1"/>
          <w:color w:val="auto"/>
        </w:rPr>
        <w:t xml:space="preserve"> </w:t>
      </w:r>
      <w:r>
        <w:rPr>
          <w:rFonts w:ascii="Arial" w:cs="Arial" w:eastAsia="Arial" w:hAnsi="Arial"/>
          <w:sz w:val="16"/>
          <w:szCs w:val="16"/>
          <w:color w:val="auto"/>
        </w:rPr>
        <w:t>its existing cash, cash equivalents and restricted cash will fund its operating expenses and capital expenditure requirements into the first quarter of 2023</w:t>
      </w:r>
    </w:p>
    <w:p>
      <w:pPr>
        <w:spacing w:after="0" w:line="116"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R&amp;D Expenses: </w:t>
      </w:r>
      <w:r>
        <w:rPr>
          <w:rFonts w:ascii="Arial" w:cs="Arial" w:eastAsia="Arial" w:hAnsi="Arial"/>
          <w:sz w:val="18"/>
          <w:szCs w:val="18"/>
          <w:color w:val="auto"/>
        </w:rPr>
        <w:t>Research and development expenses were $27.8 million for the year ended December 31, 2021, compared to $18.9 million for the year</w:t>
      </w:r>
      <w:r>
        <w:rPr>
          <w:rFonts w:ascii="Arial" w:cs="Arial" w:eastAsia="Arial" w:hAnsi="Arial"/>
          <w:sz w:val="18"/>
          <w:szCs w:val="18"/>
          <w:b w:val="1"/>
          <w:bCs w:val="1"/>
          <w:color w:val="auto"/>
        </w:rPr>
        <w:t xml:space="preserve"> </w:t>
      </w:r>
      <w:r>
        <w:rPr>
          <w:rFonts w:ascii="Arial" w:cs="Arial" w:eastAsia="Arial" w:hAnsi="Arial"/>
          <w:sz w:val="18"/>
          <w:szCs w:val="18"/>
          <w:color w:val="auto"/>
        </w:rPr>
        <w:t>ended December 31, 2020.</w:t>
      </w:r>
    </w:p>
    <w:p>
      <w:pPr>
        <w:spacing w:after="0" w:line="16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G&amp;A Expenses: </w:t>
      </w:r>
      <w:r>
        <w:rPr>
          <w:rFonts w:ascii="Arial" w:cs="Arial" w:eastAsia="Arial" w:hAnsi="Arial"/>
          <w:sz w:val="18"/>
          <w:szCs w:val="18"/>
          <w:color w:val="auto"/>
        </w:rPr>
        <w:t>General and administrative expenses were $12.9 million for the year ended December 31, 2021, compared to $10.5 million for the year</w:t>
      </w:r>
      <w:r>
        <w:rPr>
          <w:rFonts w:ascii="Arial" w:cs="Arial" w:eastAsia="Arial" w:hAnsi="Arial"/>
          <w:sz w:val="18"/>
          <w:szCs w:val="18"/>
          <w:b w:val="1"/>
          <w:bCs w:val="1"/>
          <w:color w:val="auto"/>
        </w:rPr>
        <w:t xml:space="preserve"> </w:t>
      </w:r>
      <w:r>
        <w:rPr>
          <w:rFonts w:ascii="Arial" w:cs="Arial" w:eastAsia="Arial" w:hAnsi="Arial"/>
          <w:sz w:val="18"/>
          <w:szCs w:val="18"/>
          <w:color w:val="auto"/>
        </w:rPr>
        <w:t>ended December 31, 2020.</w:t>
      </w:r>
    </w:p>
    <w:p>
      <w:pPr>
        <w:spacing w:after="0" w:line="16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Marker reported a net loss of $41.9 million for the year ended December 31, 2021, compared to a net loss of $28.7 million for the year ended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2020.</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Marker Therapeutics, Inc.</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its T cell therapies, we believe that our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receive future press releases via email, please visit: </w:t>
      </w:r>
      <w:r>
        <w:rPr>
          <w:rFonts w:ascii="Arial" w:cs="Arial" w:eastAsia="Arial" w:hAnsi="Arial"/>
          <w:sz w:val="18"/>
          <w:szCs w:val="18"/>
          <w:u w:val="single" w:color="auto"/>
          <w:color w:val="auto"/>
        </w:rPr>
        <w:t>https://www.markertherapeutics.com/email-alerts</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the timing, conduct and success of our clinical trials, including the Phase 2 trial of MT-401 and our planned trials of MT-401-OTS and MT-601; our ability to use our manufacturing facilities to support clinical and commercial demand; the success of our new manufacturing process; and our future operating expenses and capital expenditure requirements.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Such risks and uncertainties may be amplified by the COVID-19 pandemic and its impact on our business and the global economy. The Company assumes no obligation to update our forward-looking statements whether as a result of new information, future events or otherwise, after the date of this press release.</w:t>
      </w:r>
    </w:p>
    <w:p>
      <w:pPr>
        <w:spacing w:after="0" w:line="3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83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42,351,145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21,352,382</w:t>
            </w:r>
          </w:p>
        </w:tc>
      </w:tr>
      <w:tr>
        <w:trPr>
          <w:trHeight w:val="216"/>
        </w:trPr>
        <w:tc>
          <w:tcPr>
            <w:tcW w:w="8360" w:type="dxa"/>
            <w:vAlign w:val="bottom"/>
          </w:tcPr>
          <w:p>
            <w:pPr>
              <w:ind w:left="460"/>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1,146,186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Prepaid expenses and deposits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2,484,634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2,057,924</w:t>
            </w:r>
          </w:p>
        </w:tc>
      </w:tr>
      <w:tr>
        <w:trPr>
          <w:trHeight w:val="230"/>
        </w:trPr>
        <w:tc>
          <w:tcPr>
            <w:tcW w:w="8360" w:type="dxa"/>
            <w:vAlign w:val="bottom"/>
          </w:tcPr>
          <w:p>
            <w:pPr>
              <w:ind w:left="460"/>
              <w:spacing w:after="0"/>
              <w:rPr>
                <w:sz w:val="20"/>
                <w:szCs w:val="20"/>
                <w:color w:val="auto"/>
              </w:rPr>
            </w:pPr>
            <w:r>
              <w:rPr>
                <w:rFonts w:ascii="Arial" w:cs="Arial" w:eastAsia="Arial" w:hAnsi="Arial"/>
                <w:sz w:val="18"/>
                <w:szCs w:val="18"/>
                <w:color w:val="auto"/>
              </w:rPr>
              <w:t>Other receivables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1,000,559</w:t>
            </w:r>
          </w:p>
        </w:tc>
      </w:tr>
      <w:tr>
        <w:trPr>
          <w:trHeight w:val="209"/>
        </w:trPr>
        <w:tc>
          <w:tcPr>
            <w:tcW w:w="8360" w:type="dxa"/>
            <w:vAlign w:val="bottom"/>
            <w:tcBorders>
              <w:top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current assets</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6"/>
              </w:rPr>
              <w:t>45,982,202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24,410,865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360" w:type="dxa"/>
            <w:vAlign w:val="bottom"/>
          </w:tcPr>
          <w:p>
            <w:pPr>
              <w:spacing w:after="0"/>
              <w:rPr>
                <w:sz w:val="20"/>
                <w:szCs w:val="20"/>
                <w:color w:val="auto"/>
              </w:rPr>
            </w:pPr>
            <w:r>
              <w:rPr>
                <w:rFonts w:ascii="Arial" w:cs="Arial" w:eastAsia="Arial" w:hAnsi="Arial"/>
                <w:sz w:val="18"/>
                <w:szCs w:val="18"/>
                <w:color w:val="auto"/>
              </w:rPr>
              <w:t>Non-current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Property, plant and equipment, net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10,096,861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3,570,736</w:t>
            </w:r>
          </w:p>
        </w:tc>
      </w:tr>
      <w:tr>
        <w:trPr>
          <w:trHeight w:val="216"/>
        </w:trPr>
        <w:tc>
          <w:tcPr>
            <w:tcW w:w="8360" w:type="dxa"/>
            <w:vAlign w:val="bottom"/>
          </w:tcPr>
          <w:p>
            <w:pPr>
              <w:ind w:left="460"/>
              <w:spacing w:after="0"/>
              <w:rPr>
                <w:sz w:val="20"/>
                <w:szCs w:val="20"/>
                <w:color w:val="auto"/>
              </w:rPr>
            </w:pPr>
            <w:r>
              <w:rPr>
                <w:rFonts w:ascii="Arial" w:cs="Arial" w:eastAsia="Arial" w:hAnsi="Arial"/>
                <w:sz w:val="18"/>
                <w:szCs w:val="18"/>
                <w:color w:val="auto"/>
              </w:rPr>
              <w:t>Construction in progress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2,225,610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6,789,098</w:t>
            </w:r>
          </w:p>
        </w:tc>
      </w:tr>
      <w:tr>
        <w:trPr>
          <w:trHeight w:val="229"/>
        </w:trPr>
        <w:tc>
          <w:tcPr>
            <w:tcW w:w="8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Right-of-use assets, net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9,830,461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10,844,116</w:t>
            </w:r>
          </w:p>
        </w:tc>
      </w:tr>
      <w:tr>
        <w:trPr>
          <w:trHeight w:val="210"/>
        </w:trPr>
        <w:tc>
          <w:tcPr>
            <w:tcW w:w="836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Total non-current assets</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86"/>
              </w:rPr>
              <w:t>22,152,932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21,203,950</w:t>
            </w:r>
          </w:p>
        </w:tc>
        <w:tc>
          <w:tcPr>
            <w:tcW w:w="100" w:type="dxa"/>
            <w:vAlign w:val="bottom"/>
            <w:tcBorders>
              <w:bottom w:val="single" w:sz="8" w:color="CCEEFF"/>
            </w:tcBorders>
          </w:tcPr>
          <w:p>
            <w:pPr>
              <w:spacing w:after="0"/>
              <w:rPr>
                <w:sz w:val="18"/>
                <w:szCs w:val="18"/>
                <w:color w:val="auto"/>
              </w:rPr>
            </w:pPr>
          </w:p>
        </w:tc>
      </w:tr>
      <w:tr>
        <w:trPr>
          <w:trHeight w:val="209"/>
        </w:trPr>
        <w:tc>
          <w:tcPr>
            <w:tcW w:w="8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83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68,135,134</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45,614,815</w:t>
            </w:r>
          </w:p>
        </w:tc>
      </w:tr>
      <w:tr>
        <w:trPr>
          <w:trHeight w:val="196"/>
        </w:trPr>
        <w:tc>
          <w:tcPr>
            <w:tcW w:w="8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payable and accrued liabilities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11,134,913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6,013,010</w:t>
            </w:r>
          </w:p>
        </w:tc>
      </w:tr>
      <w:tr>
        <w:trPr>
          <w:trHeight w:val="216"/>
        </w:trPr>
        <w:tc>
          <w:tcPr>
            <w:tcW w:w="8360" w:type="dxa"/>
            <w:vAlign w:val="bottom"/>
          </w:tcPr>
          <w:p>
            <w:pPr>
              <w:ind w:left="460"/>
              <w:spacing w:after="0"/>
              <w:rPr>
                <w:sz w:val="20"/>
                <w:szCs w:val="20"/>
                <w:color w:val="auto"/>
              </w:rPr>
            </w:pPr>
            <w:r>
              <w:rPr>
                <w:rFonts w:ascii="Arial" w:cs="Arial" w:eastAsia="Arial" w:hAnsi="Arial"/>
                <w:sz w:val="18"/>
                <w:szCs w:val="18"/>
                <w:color w:val="auto"/>
              </w:rPr>
              <w:t>Lease liability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620,490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388,792</w:t>
            </w:r>
          </w:p>
        </w:tc>
      </w:tr>
      <w:tr>
        <w:trPr>
          <w:trHeight w:val="229"/>
        </w:trPr>
        <w:tc>
          <w:tcPr>
            <w:tcW w:w="8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1,146,186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36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86"/>
              </w:rPr>
              <w:t>12,901,589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6,401,802</w:t>
            </w:r>
          </w:p>
        </w:tc>
        <w:tc>
          <w:tcPr>
            <w:tcW w:w="100" w:type="dxa"/>
            <w:vAlign w:val="bottom"/>
            <w:tcBorders>
              <w:bottom w:val="single" w:sz="8" w:color="CCEEFF"/>
            </w:tcBorders>
          </w:tcPr>
          <w:p>
            <w:pPr>
              <w:spacing w:after="0"/>
              <w:rPr>
                <w:sz w:val="18"/>
                <w:szCs w:val="18"/>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360" w:type="dxa"/>
            <w:vAlign w:val="bottom"/>
          </w:tcPr>
          <w:p>
            <w:pPr>
              <w:ind w:left="460"/>
              <w:spacing w:after="0"/>
              <w:rPr>
                <w:sz w:val="20"/>
                <w:szCs w:val="20"/>
                <w:color w:val="auto"/>
              </w:rPr>
            </w:pPr>
            <w:r>
              <w:rPr>
                <w:rFonts w:ascii="Arial" w:cs="Arial" w:eastAsia="Arial" w:hAnsi="Arial"/>
                <w:sz w:val="18"/>
                <w:szCs w:val="18"/>
                <w:color w:val="auto"/>
              </w:rPr>
              <w:t>Lease liability, net of current portion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11,247,950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11,868,440</w:t>
            </w:r>
          </w:p>
        </w:tc>
      </w:tr>
      <w:tr>
        <w:trPr>
          <w:trHeight w:val="209"/>
        </w:trPr>
        <w:tc>
          <w:tcPr>
            <w:tcW w:w="8360" w:type="dxa"/>
            <w:vAlign w:val="bottom"/>
            <w:tcBorders>
              <w:top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non-current liabilities</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6"/>
              </w:rPr>
              <w:t>11,247,950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11,868,440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24,149,539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18,270,242</w:t>
            </w:r>
          </w:p>
        </w:tc>
      </w:tr>
      <w:tr>
        <w:trPr>
          <w:trHeight w:val="210"/>
        </w:trPr>
        <w:tc>
          <w:tcPr>
            <w:tcW w:w="8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360" w:type="dxa"/>
            <w:vAlign w:val="bottom"/>
          </w:tcPr>
          <w:p>
            <w:pPr>
              <w:ind w:left="460"/>
              <w:spacing w:after="0" w:line="201" w:lineRule="exact"/>
              <w:rPr>
                <w:sz w:val="20"/>
                <w:szCs w:val="20"/>
                <w:color w:val="auto"/>
              </w:rPr>
            </w:pPr>
            <w:r>
              <w:rPr>
                <w:rFonts w:ascii="Arial" w:cs="Arial" w:eastAsia="Arial" w:hAnsi="Arial"/>
                <w:sz w:val="18"/>
                <w:szCs w:val="18"/>
                <w:color w:val="auto"/>
                <w:w w:val="96"/>
              </w:rPr>
              <w:t>Preferred stock - $0.001 par value, 5 million shares authorized and 0 shares issued and outstanding at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360" w:type="dxa"/>
            <w:vAlign w:val="bottom"/>
          </w:tcPr>
          <w:p>
            <w:pPr>
              <w:ind w:left="100"/>
              <w:spacing w:after="0"/>
              <w:rPr>
                <w:sz w:val="20"/>
                <w:szCs w:val="20"/>
                <w:color w:val="auto"/>
              </w:rPr>
            </w:pPr>
            <w:r>
              <w:rPr>
                <w:rFonts w:ascii="Arial" w:cs="Arial" w:eastAsia="Arial" w:hAnsi="Arial"/>
                <w:sz w:val="18"/>
                <w:szCs w:val="18"/>
                <w:color w:val="auto"/>
              </w:rPr>
              <w:t>December 31, 2021 and 2020, respectively</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36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w w:val="92"/>
              </w:rPr>
              <w:t>Common stock, $0.001 par value, 150 million shares authorized, 83.1 million and 50.7 million shares issued</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and outstanding as of December 31, 2021 and 2020, respectively</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83,079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50,731</w:t>
            </w:r>
          </w:p>
        </w:tc>
      </w:tr>
      <w:tr>
        <w:trPr>
          <w:trHeight w:val="216"/>
        </w:trPr>
        <w:tc>
          <w:tcPr>
            <w:tcW w:w="8360" w:type="dxa"/>
            <w:vAlign w:val="bottom"/>
          </w:tcPr>
          <w:p>
            <w:pPr>
              <w:ind w:left="46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442,020,871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383,533,326</w:t>
            </w:r>
          </w:p>
        </w:tc>
      </w:tr>
      <w:tr>
        <w:trPr>
          <w:trHeight w:val="230"/>
        </w:trPr>
        <w:tc>
          <w:tcPr>
            <w:tcW w:w="8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(398,118,355)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(356,239,484)</w:t>
            </w:r>
          </w:p>
        </w:tc>
      </w:tr>
      <w:tr>
        <w:trPr>
          <w:trHeight w:val="209"/>
        </w:trPr>
        <w:tc>
          <w:tcPr>
            <w:tcW w:w="8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86"/>
              </w:rPr>
              <w:t>43,985,595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27,344,573</w:t>
            </w:r>
          </w:p>
        </w:tc>
        <w:tc>
          <w:tcPr>
            <w:tcW w:w="100" w:type="dxa"/>
            <w:vAlign w:val="bottom"/>
            <w:tcBorders>
              <w:bottom w:val="single" w:sz="8" w:color="CCEEFF"/>
            </w:tcBorders>
          </w:tcPr>
          <w:p>
            <w:pPr>
              <w:spacing w:after="0"/>
              <w:rPr>
                <w:sz w:val="18"/>
                <w:szCs w:val="18"/>
                <w:color w:val="auto"/>
              </w:rPr>
            </w:pPr>
          </w:p>
        </w:tc>
      </w:tr>
      <w:tr>
        <w:trPr>
          <w:trHeight w:val="210"/>
        </w:trPr>
        <w:tc>
          <w:tcPr>
            <w:tcW w:w="8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836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68,135,134</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45,614,815</w:t>
            </w:r>
          </w:p>
        </w:tc>
      </w:tr>
      <w:tr>
        <w:trPr>
          <w:trHeight w:val="20"/>
        </w:trPr>
        <w:tc>
          <w:tcPr>
            <w:tcW w:w="8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8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6"/>
          </w:tcPr>
          <w:p>
            <w:pPr>
              <w:jc w:val="center"/>
              <w:ind w:right="261"/>
              <w:spacing w:after="0"/>
              <w:rPr>
                <w:sz w:val="20"/>
                <w:szCs w:val="20"/>
                <w:color w:val="auto"/>
              </w:rPr>
            </w:pPr>
            <w:r>
              <w:rPr>
                <w:rFonts w:ascii="Arial" w:cs="Arial" w:eastAsia="Arial" w:hAnsi="Arial"/>
                <w:sz w:val="18"/>
                <w:szCs w:val="18"/>
                <w:b w:val="1"/>
                <w:bCs w:val="1"/>
                <w:color w:val="auto"/>
                <w:w w:val="90"/>
              </w:rPr>
              <w:t>For the Years Ended</w:t>
            </w:r>
          </w:p>
        </w:tc>
        <w:tc>
          <w:tcPr>
            <w:tcW w:w="0" w:type="dxa"/>
            <w:vAlign w:val="bottom"/>
          </w:tcPr>
          <w:p>
            <w:pPr>
              <w:spacing w:after="0"/>
              <w:rPr>
                <w:sz w:val="1"/>
                <w:szCs w:val="1"/>
                <w:color w:val="auto"/>
              </w:rPr>
            </w:pPr>
          </w:p>
        </w:tc>
      </w:tr>
      <w:tr>
        <w:trPr>
          <w:trHeight w:val="234"/>
        </w:trPr>
        <w:tc>
          <w:tcPr>
            <w:tcW w:w="69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6"/>
          </w:tcPr>
          <w:p>
            <w:pPr>
              <w:jc w:val="center"/>
              <w:ind w:right="261"/>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3"/>
        </w:trPr>
        <w:tc>
          <w:tcPr>
            <w:tcW w:w="694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460"/>
              <w:spacing w:after="0"/>
              <w:rPr>
                <w:sz w:val="20"/>
                <w:szCs w:val="20"/>
                <w:color w:val="auto"/>
              </w:rPr>
            </w:pPr>
            <w:r>
              <w:rPr>
                <w:rFonts w:ascii="Arial" w:cs="Arial" w:eastAsia="Arial" w:hAnsi="Arial"/>
                <w:sz w:val="18"/>
                <w:szCs w:val="18"/>
                <w:color w:val="auto"/>
              </w:rPr>
              <w:t>Grant income</w:t>
            </w:r>
          </w:p>
        </w:tc>
        <w:tc>
          <w:tcPr>
            <w:tcW w:w="17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1,241,710</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466,785</w:t>
            </w:r>
          </w:p>
        </w:tc>
        <w:tc>
          <w:tcPr>
            <w:tcW w:w="0" w:type="dxa"/>
            <w:vAlign w:val="bottom"/>
          </w:tcPr>
          <w:p>
            <w:pPr>
              <w:spacing w:after="0"/>
              <w:rPr>
                <w:sz w:val="1"/>
                <w:szCs w:val="1"/>
                <w:color w:val="auto"/>
              </w:rPr>
            </w:pPr>
          </w:p>
        </w:tc>
      </w:tr>
      <w:tr>
        <w:trPr>
          <w:trHeight w:val="209"/>
        </w:trPr>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1,241,710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Research and development</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27,794,879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18,880,751</w:t>
            </w:r>
          </w:p>
        </w:tc>
        <w:tc>
          <w:tcPr>
            <w:tcW w:w="0" w:type="dxa"/>
            <w:vAlign w:val="bottom"/>
          </w:tcPr>
          <w:p>
            <w:pPr>
              <w:spacing w:after="0"/>
              <w:rPr>
                <w:sz w:val="1"/>
                <w:szCs w:val="1"/>
                <w:color w:val="auto"/>
              </w:rPr>
            </w:pPr>
          </w:p>
        </w:tc>
      </w:tr>
      <w:tr>
        <w:trPr>
          <w:trHeight w:val="229"/>
        </w:trPr>
        <w:tc>
          <w:tcPr>
            <w:tcW w:w="6940" w:type="dxa"/>
            <w:vAlign w:val="bottom"/>
          </w:tcPr>
          <w:p>
            <w:pPr>
              <w:ind w:left="460"/>
              <w:spacing w:after="0"/>
              <w:rPr>
                <w:sz w:val="20"/>
                <w:szCs w:val="20"/>
                <w:color w:val="auto"/>
              </w:rPr>
            </w:pPr>
            <w:r>
              <w:rPr>
                <w:rFonts w:ascii="Arial" w:cs="Arial" w:eastAsia="Arial" w:hAnsi="Arial"/>
                <w:sz w:val="18"/>
                <w:szCs w:val="18"/>
                <w:color w:val="auto"/>
              </w:rPr>
              <w:t>General and administrative</w:t>
            </w: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12,924,826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10,471,846</w:t>
            </w:r>
          </w:p>
        </w:tc>
        <w:tc>
          <w:tcPr>
            <w:tcW w:w="0" w:type="dxa"/>
            <w:vAlign w:val="bottom"/>
          </w:tcPr>
          <w:p>
            <w:pPr>
              <w:spacing w:after="0"/>
              <w:rPr>
                <w:sz w:val="1"/>
                <w:szCs w:val="1"/>
                <w:color w:val="auto"/>
              </w:rPr>
            </w:pPr>
          </w:p>
        </w:tc>
      </w:tr>
      <w:tr>
        <w:trPr>
          <w:trHeight w:val="209"/>
        </w:trPr>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40,719,705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29,352,597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8"/>
                <w:szCs w:val="18"/>
                <w:color w:val="auto"/>
              </w:rPr>
              <w:t>Loss from operations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(39,477,995)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(28,885,812)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460"/>
              <w:spacing w:after="0"/>
              <w:rPr>
                <w:sz w:val="20"/>
                <w:szCs w:val="20"/>
                <w:color w:val="auto"/>
              </w:rPr>
            </w:pPr>
            <w:r>
              <w:rPr>
                <w:rFonts w:ascii="Arial" w:cs="Arial" w:eastAsia="Arial" w:hAnsi="Arial"/>
                <w:sz w:val="18"/>
                <w:szCs w:val="18"/>
                <w:color w:val="auto"/>
              </w:rPr>
              <w:t>Change in fair value of warrant liabilities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Arbitration settlement</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(2,406,576)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40" w:type="dxa"/>
            <w:vAlign w:val="bottom"/>
          </w:tcPr>
          <w:p>
            <w:pPr>
              <w:ind w:left="460"/>
              <w:spacing w:after="0"/>
              <w:rPr>
                <w:sz w:val="20"/>
                <w:szCs w:val="20"/>
                <w:color w:val="auto"/>
              </w:rPr>
            </w:pPr>
            <w:r>
              <w:rPr>
                <w:rFonts w:ascii="Arial" w:cs="Arial" w:eastAsia="Arial" w:hAnsi="Arial"/>
                <w:sz w:val="18"/>
                <w:szCs w:val="18"/>
                <w:color w:val="auto"/>
              </w:rPr>
              <w:t>Interest income</w:t>
            </w: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5,700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148,742</w:t>
            </w:r>
          </w:p>
        </w:tc>
        <w:tc>
          <w:tcPr>
            <w:tcW w:w="0" w:type="dxa"/>
            <w:vAlign w:val="bottom"/>
          </w:tcPr>
          <w:p>
            <w:pPr>
              <w:spacing w:after="0"/>
              <w:rPr>
                <w:sz w:val="1"/>
                <w:szCs w:val="1"/>
                <w:color w:val="auto"/>
              </w:rPr>
            </w:pPr>
          </w:p>
        </w:tc>
      </w:tr>
      <w:tr>
        <w:trPr>
          <w:trHeight w:val="223"/>
        </w:trPr>
        <w:tc>
          <w:tcPr>
            <w:tcW w:w="6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5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(41,878,871</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(28,706,070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7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(0.55)</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Weighted average number of common shares outstanding, basic and diluted</w:t>
            </w:r>
          </w:p>
        </w:tc>
        <w:tc>
          <w:tcPr>
            <w:tcW w:w="1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76,505,675</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47,039,862</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b w:val="1"/>
                <w:bCs w:val="1"/>
                <w:color w:val="auto"/>
              </w:rPr>
              <w:t>Marker Therapeutics, Inc.</w:t>
            </w:r>
          </w:p>
        </w:tc>
        <w:tc>
          <w:tcPr>
            <w:tcW w:w="1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694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Cash Flows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40" w:type="dxa"/>
            <w:vAlign w:val="bottom"/>
          </w:tcPr>
          <w:p>
            <w:pPr>
              <w:spacing w:after="0"/>
              <w:rPr>
                <w:sz w:val="20"/>
                <w:szCs w:val="20"/>
                <w:color w:val="auto"/>
              </w:rPr>
            </w:pPr>
            <w:r>
              <w:rPr>
                <w:rFonts w:ascii="Arial" w:cs="Arial" w:eastAsia="Arial" w:hAnsi="Arial"/>
                <w:sz w:val="18"/>
                <w:szCs w:val="18"/>
                <w:b w:val="1"/>
                <w:bCs w:val="1"/>
                <w:color w:val="auto"/>
              </w:rPr>
              <w:t>(Audited)</w:t>
            </w: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6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gridSpan w:val="6"/>
          </w:tcPr>
          <w:p>
            <w:pPr>
              <w:jc w:val="center"/>
              <w:ind w:right="261"/>
              <w:spacing w:after="0"/>
              <w:rPr>
                <w:sz w:val="20"/>
                <w:szCs w:val="20"/>
                <w:color w:val="auto"/>
              </w:rPr>
            </w:pPr>
            <w:r>
              <w:rPr>
                <w:rFonts w:ascii="Arial" w:cs="Arial" w:eastAsia="Arial" w:hAnsi="Arial"/>
                <w:sz w:val="18"/>
                <w:szCs w:val="18"/>
                <w:b w:val="1"/>
                <w:bCs w:val="1"/>
                <w:color w:val="auto"/>
                <w:w w:val="90"/>
              </w:rPr>
              <w:t>For the Years Ended</w:t>
            </w:r>
          </w:p>
        </w:tc>
        <w:tc>
          <w:tcPr>
            <w:tcW w:w="0" w:type="dxa"/>
            <w:vAlign w:val="bottom"/>
          </w:tcPr>
          <w:p>
            <w:pPr>
              <w:spacing w:after="0"/>
              <w:rPr>
                <w:sz w:val="1"/>
                <w:szCs w:val="1"/>
                <w:color w:val="auto"/>
              </w:rPr>
            </w:pPr>
          </w:p>
        </w:tc>
      </w:tr>
      <w:tr>
        <w:trPr>
          <w:trHeight w:val="234"/>
        </w:trPr>
        <w:tc>
          <w:tcPr>
            <w:tcW w:w="69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6"/>
          </w:tcPr>
          <w:p>
            <w:pPr>
              <w:jc w:val="center"/>
              <w:ind w:right="261"/>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3"/>
        </w:trPr>
        <w:tc>
          <w:tcPr>
            <w:tcW w:w="694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80"/>
              <w:spacing w:after="0"/>
              <w:rPr>
                <w:sz w:val="20"/>
                <w:szCs w:val="20"/>
                <w:color w:val="auto"/>
              </w:rPr>
            </w:pPr>
            <w:r>
              <w:rPr>
                <w:rFonts w:ascii="Arial" w:cs="Arial" w:eastAsia="Arial" w:hAnsi="Arial"/>
                <w:sz w:val="18"/>
                <w:szCs w:val="18"/>
                <w:b w:val="1"/>
                <w:bCs w:val="1"/>
                <w:color w:val="auto"/>
              </w:rPr>
              <w:t>Net loss</w:t>
            </w:r>
          </w:p>
        </w:tc>
        <w:tc>
          <w:tcPr>
            <w:tcW w:w="17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(41,878,871)</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(28,706,070)</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Reconciliation of net loss to net cash used in operating activities: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2,148,983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485,641</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Changes in fair value of warrant liabilities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16"/>
        </w:trPr>
        <w:tc>
          <w:tcPr>
            <w:tcW w:w="6940" w:type="dxa"/>
            <w:vAlign w:val="bottom"/>
          </w:tcPr>
          <w:p>
            <w:pPr>
              <w:ind w:left="460"/>
              <w:spacing w:after="0"/>
              <w:rPr>
                <w:sz w:val="20"/>
                <w:szCs w:val="20"/>
                <w:color w:val="auto"/>
              </w:rPr>
            </w:pPr>
            <w:r>
              <w:rPr>
                <w:rFonts w:ascii="Arial" w:cs="Arial" w:eastAsia="Arial" w:hAnsi="Arial"/>
                <w:sz w:val="18"/>
                <w:szCs w:val="18"/>
                <w:color w:val="auto"/>
              </w:rPr>
              <w:t>Stock-based compensation</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5,964,048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5,228,409</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Amortization on right-of-use assets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1,013,655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590,039</w:t>
            </w:r>
          </w:p>
        </w:tc>
        <w:tc>
          <w:tcPr>
            <w:tcW w:w="0" w:type="dxa"/>
            <w:vAlign w:val="bottom"/>
          </w:tcPr>
          <w:p>
            <w:pPr>
              <w:spacing w:after="0"/>
              <w:rPr>
                <w:sz w:val="1"/>
                <w:szCs w:val="1"/>
                <w:color w:val="auto"/>
              </w:rPr>
            </w:pPr>
          </w:p>
        </w:tc>
      </w:tr>
      <w:tr>
        <w:trPr>
          <w:trHeight w:val="216"/>
        </w:trPr>
        <w:tc>
          <w:tcPr>
            <w:tcW w:w="6940" w:type="dxa"/>
            <w:vAlign w:val="bottom"/>
          </w:tcPr>
          <w:p>
            <w:pPr>
              <w:ind w:left="460"/>
              <w:spacing w:after="0"/>
              <w:rPr>
                <w:sz w:val="20"/>
                <w:szCs w:val="20"/>
                <w:color w:val="auto"/>
              </w:rPr>
            </w:pPr>
            <w:r>
              <w:rPr>
                <w:rFonts w:ascii="Arial" w:cs="Arial" w:eastAsia="Arial" w:hAnsi="Arial"/>
                <w:sz w:val="18"/>
                <w:szCs w:val="18"/>
                <w:b w:val="1"/>
                <w:bCs w:val="1"/>
                <w:color w:val="auto"/>
              </w:rPr>
              <w:t>Changes in operating assets and liabilities: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Prepaid expenses and deposits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(426,710)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(531,482)</w:t>
            </w:r>
          </w:p>
        </w:tc>
        <w:tc>
          <w:tcPr>
            <w:tcW w:w="0" w:type="dxa"/>
            <w:vAlign w:val="bottom"/>
          </w:tcPr>
          <w:p>
            <w:pPr>
              <w:spacing w:after="0"/>
              <w:rPr>
                <w:sz w:val="1"/>
                <w:szCs w:val="1"/>
                <w:color w:val="auto"/>
              </w:rPr>
            </w:pPr>
          </w:p>
        </w:tc>
      </w:tr>
      <w:tr>
        <w:trPr>
          <w:trHeight w:val="216"/>
        </w:trPr>
        <w:tc>
          <w:tcPr>
            <w:tcW w:w="6940" w:type="dxa"/>
            <w:vAlign w:val="bottom"/>
          </w:tcPr>
          <w:p>
            <w:pPr>
              <w:ind w:left="640"/>
              <w:spacing w:after="0"/>
              <w:rPr>
                <w:sz w:val="20"/>
                <w:szCs w:val="20"/>
                <w:color w:val="auto"/>
              </w:rPr>
            </w:pPr>
            <w:r>
              <w:rPr>
                <w:rFonts w:ascii="Arial" w:cs="Arial" w:eastAsia="Arial" w:hAnsi="Arial"/>
                <w:sz w:val="18"/>
                <w:szCs w:val="18"/>
                <w:color w:val="auto"/>
              </w:rPr>
              <w:t>Other receivables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1,000,322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55,630</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payable and accrued expenses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4,141,414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3,047,410</w:t>
            </w:r>
          </w:p>
        </w:tc>
        <w:tc>
          <w:tcPr>
            <w:tcW w:w="0" w:type="dxa"/>
            <w:vAlign w:val="bottom"/>
          </w:tcPr>
          <w:p>
            <w:pPr>
              <w:spacing w:after="0"/>
              <w:rPr>
                <w:sz w:val="1"/>
                <w:szCs w:val="1"/>
                <w:color w:val="auto"/>
              </w:rPr>
            </w:pPr>
          </w:p>
        </w:tc>
      </w:tr>
      <w:tr>
        <w:trPr>
          <w:trHeight w:val="216"/>
        </w:trPr>
        <w:tc>
          <w:tcPr>
            <w:tcW w:w="6940" w:type="dxa"/>
            <w:vAlign w:val="bottom"/>
          </w:tcPr>
          <w:p>
            <w:pPr>
              <w:ind w:left="640"/>
              <w:spacing w:after="0"/>
              <w:rPr>
                <w:sz w:val="20"/>
                <w:szCs w:val="20"/>
                <w:color w:val="auto"/>
              </w:rPr>
            </w:pPr>
            <w:r>
              <w:rPr>
                <w:rFonts w:ascii="Arial" w:cs="Arial" w:eastAsia="Arial" w:hAnsi="Arial"/>
                <w:sz w:val="18"/>
                <w:szCs w:val="18"/>
                <w:color w:val="auto"/>
              </w:rPr>
              <w:t>Deferred revenue</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1,146,186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Lease liability</w:t>
            </w: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(388,792)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(173,268)</w:t>
            </w:r>
          </w:p>
        </w:tc>
        <w:tc>
          <w:tcPr>
            <w:tcW w:w="0" w:type="dxa"/>
            <w:vAlign w:val="bottom"/>
          </w:tcPr>
          <w:p>
            <w:pPr>
              <w:spacing w:after="0"/>
              <w:rPr>
                <w:sz w:val="1"/>
                <w:szCs w:val="1"/>
                <w:color w:val="auto"/>
              </w:rPr>
            </w:pPr>
          </w:p>
        </w:tc>
      </w:tr>
      <w:tr>
        <w:trPr>
          <w:trHeight w:val="210"/>
        </w:trPr>
        <w:tc>
          <w:tcPr>
            <w:tcW w:w="694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Net cash used in operating activities</w:t>
            </w:r>
          </w:p>
        </w:tc>
        <w:tc>
          <w:tcPr>
            <w:tcW w:w="15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(27,279,765</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(20,034,691</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460"/>
              <w:spacing w:after="0"/>
              <w:rPr>
                <w:sz w:val="20"/>
                <w:szCs w:val="20"/>
                <w:color w:val="auto"/>
              </w:rPr>
            </w:pPr>
            <w:r>
              <w:rPr>
                <w:rFonts w:ascii="Arial" w:cs="Arial" w:eastAsia="Arial" w:hAnsi="Arial"/>
                <w:sz w:val="18"/>
                <w:szCs w:val="18"/>
                <w:color w:val="auto"/>
              </w:rPr>
              <w:t>Purchase of property and equipment</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(1,572,161)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(3,422,754)</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Purchase of construction in progress</w:t>
            </w: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(1,558,970)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(5,830,133)</w:t>
            </w:r>
          </w:p>
        </w:tc>
        <w:tc>
          <w:tcPr>
            <w:tcW w:w="0" w:type="dxa"/>
            <w:vAlign w:val="bottom"/>
          </w:tcPr>
          <w:p>
            <w:pPr>
              <w:spacing w:after="0"/>
              <w:rPr>
                <w:sz w:val="1"/>
                <w:szCs w:val="1"/>
                <w:color w:val="auto"/>
              </w:rPr>
            </w:pPr>
          </w:p>
        </w:tc>
      </w:tr>
      <w:tr>
        <w:trPr>
          <w:trHeight w:val="210"/>
        </w:trPr>
        <w:tc>
          <w:tcPr>
            <w:tcW w:w="694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Net cash used in investing activities</w:t>
            </w:r>
          </w:p>
        </w:tc>
        <w:tc>
          <w:tcPr>
            <w:tcW w:w="15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(3,131,131</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(9,252,887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460"/>
              <w:spacing w:after="0"/>
              <w:rPr>
                <w:sz w:val="20"/>
                <w:szCs w:val="20"/>
                <w:color w:val="auto"/>
              </w:rPr>
            </w:pPr>
            <w:r>
              <w:rPr>
                <w:rFonts w:ascii="Arial" w:cs="Arial" w:eastAsia="Arial" w:hAnsi="Arial"/>
                <w:sz w:val="18"/>
                <w:szCs w:val="18"/>
                <w:color w:val="auto"/>
              </w:rPr>
              <w:t>Proceeds from issuance of common stock, net</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52,552,758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6,186,011</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Proceeds from exercise of warrants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29"/>
        </w:trPr>
        <w:tc>
          <w:tcPr>
            <w:tcW w:w="6940" w:type="dxa"/>
            <w:vAlign w:val="bottom"/>
          </w:tcPr>
          <w:p>
            <w:pPr>
              <w:ind w:left="460"/>
              <w:spacing w:after="0"/>
              <w:rPr>
                <w:sz w:val="20"/>
                <w:szCs w:val="20"/>
                <w:color w:val="auto"/>
              </w:rPr>
            </w:pPr>
            <w:r>
              <w:rPr>
                <w:rFonts w:ascii="Arial" w:cs="Arial" w:eastAsia="Arial" w:hAnsi="Arial"/>
                <w:sz w:val="18"/>
                <w:szCs w:val="18"/>
                <w:color w:val="auto"/>
              </w:rPr>
              <w:t>Proceeds from exercise of stock options</w:t>
            </w: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3,087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1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52,555,845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6,736,011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tcPr>
          <w:p>
            <w:pPr>
              <w:spacing w:after="0"/>
              <w:rPr>
                <w:sz w:val="20"/>
                <w:szCs w:val="20"/>
                <w:color w:val="auto"/>
              </w:rPr>
            </w:pPr>
            <w:r>
              <w:rPr>
                <w:rFonts w:ascii="Arial" w:cs="Arial" w:eastAsia="Arial" w:hAnsi="Arial"/>
                <w:sz w:val="18"/>
                <w:szCs w:val="18"/>
                <w:color w:val="auto"/>
              </w:rPr>
              <w:t>Net increase (decrease) in cash, cash equivlants and restricted cash</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22,144,949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(22,551,567)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4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the year</w:t>
            </w: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21,352,382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43,903,949</w:t>
            </w:r>
          </w:p>
        </w:tc>
        <w:tc>
          <w:tcPr>
            <w:tcW w:w="0" w:type="dxa"/>
            <w:vAlign w:val="bottom"/>
          </w:tcPr>
          <w:p>
            <w:pPr>
              <w:spacing w:after="0"/>
              <w:rPr>
                <w:sz w:val="1"/>
                <w:szCs w:val="1"/>
                <w:color w:val="auto"/>
              </w:rPr>
            </w:pPr>
          </w:p>
        </w:tc>
      </w:tr>
      <w:tr>
        <w:trPr>
          <w:trHeight w:val="223"/>
        </w:trPr>
        <w:tc>
          <w:tcPr>
            <w:tcW w:w="6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at end of the year</w:t>
            </w:r>
          </w:p>
        </w:tc>
        <w:tc>
          <w:tcPr>
            <w:tcW w:w="15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43,497,331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21,352,382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9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 and Media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Marker Therapeutics: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Neda Safarzadeh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President/Head of Investor Relations, PR &amp; Marketing</w:t>
      </w:r>
    </w:p>
    <w:p>
      <w:pPr>
        <w:spacing w:after="0" w:line="9" w:lineRule="exact"/>
        <w:rPr>
          <w:sz w:val="20"/>
          <w:szCs w:val="20"/>
          <w:color w:val="auto"/>
        </w:rPr>
      </w:pPr>
    </w:p>
    <w:p>
      <w:pPr>
        <w:ind w:right="8020" w:firstLine="8"/>
        <w:spacing w:after="0" w:line="323" w:lineRule="auto"/>
        <w:tabs>
          <w:tab w:leader="none" w:pos="435"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400-6451 </w:t>
      </w:r>
      <w:r>
        <w:rPr>
          <w:rFonts w:ascii="Arial" w:cs="Arial" w:eastAsia="Arial" w:hAnsi="Arial"/>
          <w:sz w:val="16"/>
          <w:szCs w:val="16"/>
          <w:u w:val="single" w:color="auto"/>
          <w:color w:val="auto"/>
        </w:rPr>
        <w:t>Investor.Relations@markertherapeutics.com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Solebury Trout: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Amy Bonanno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Abonanno@soleburytrout.com</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71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2022-03-18T05:19:33Z</dcterms:created>
  <dcterms:modified xsi:type="dcterms:W3CDTF">2022-03-18T05:19:33Z</dcterms:modified>
</cp:coreProperties>
</file>