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1856105</wp:posOffset>
            </wp:positionH>
            <wp:positionV relativeFrom="page">
              <wp:posOffset>3446145</wp:posOffset>
            </wp:positionV>
            <wp:extent cx="3836035"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8360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6"/>
          <w:szCs w:val="46"/>
          <w:b w:val="1"/>
          <w:bCs w:val="1"/>
          <w:color w:val="auto"/>
        </w:rPr>
        <w:t>Marker Therapeutics, Inc.</w:t>
      </w:r>
    </w:p>
    <w:p>
      <w:pPr>
        <w:jc w:val="center"/>
        <w:spacing w:after="0"/>
        <w:rPr>
          <w:sz w:val="20"/>
          <w:szCs w:val="20"/>
          <w:color w:val="auto"/>
        </w:rPr>
      </w:pPr>
      <w:r>
        <w:rPr>
          <w:rFonts w:ascii="Times New Roman" w:cs="Times New Roman" w:eastAsia="Times New Roman" w:hAnsi="Times New Roman"/>
          <w:sz w:val="48"/>
          <w:szCs w:val="48"/>
          <w:b w:val="1"/>
          <w:bCs w:val="1"/>
          <w:color w:val="auto"/>
        </w:rPr>
        <w:t>2023 Annual Report</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341630</wp:posOffset>
                </wp:positionH>
                <wp:positionV relativeFrom="page">
                  <wp:posOffset>454025</wp:posOffset>
                </wp:positionV>
                <wp:extent cx="685990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25349">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pt,35.75pt" to="567.05pt,35.75pt" o:allowincell="f" strokecolor="#000000" strokeweight="1.996pt">
                <w10:wrap anchorx="page" anchory="page"/>
              </v:line>
            </w:pict>
          </mc:Fallback>
        </mc:AlternateContent>
        <mc:AlternateContent>
          <mc:Choice Requires="wps">
            <w:drawing>
              <wp:anchor simplePos="0" relativeHeight="251657728" behindDoc="1" locked="0" layoutInCell="0" allowOverlap="1">
                <wp:simplePos x="0" y="0"/>
                <wp:positionH relativeFrom="page">
                  <wp:posOffset>341630</wp:posOffset>
                </wp:positionH>
                <wp:positionV relativeFrom="page">
                  <wp:posOffset>492125</wp:posOffset>
                </wp:positionV>
                <wp:extent cx="68599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1267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pt,38.75pt" to="567.05pt,38.75pt" o:allowincell="f" strokecolor="#000000" strokeweight="0.998pt">
                <w10:wrap anchorx="page" anchory="page"/>
              </v:line>
            </w:pict>
          </mc:Fallback>
        </mc:AlternateContent>
        <w:t>UNITED STATES</w:t>
      </w:r>
    </w:p>
    <w:p>
      <w:pPr>
        <w:jc w:val="center"/>
        <w:spacing w:after="0" w:line="215" w:lineRule="auto"/>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color w:val="auto"/>
        </w:rPr>
        <w:t xml:space="preserve"> ANNUAL REPORT PURSUANT TO SECTION 13 OR 15(d) OF THE SECURITIES EXCHANGE ACT OF 1934</w:t>
      </w:r>
    </w:p>
    <w:p>
      <w:pPr>
        <w:spacing w:after="0" w:line="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32"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p>
      <w:pPr>
        <w:jc w:val="center"/>
        <w:spacing w:after="0"/>
        <w:tabs>
          <w:tab w:leader="none" w:pos="1460" w:val="left"/>
          <w:tab w:leader="none" w:pos="14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41910</wp:posOffset>
            </wp:positionV>
            <wp:extent cx="2157730"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2157730"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MARKER THERAPEUTICS, INC.</w:t>
      </w: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bl>
      <w:tblPr>
        <w:tblLayout w:type="fixed"/>
        <w:tblInd w:w="1140" w:type="dxa"/>
        <w:tblCellMar>
          <w:top w:w="0" w:type="dxa"/>
          <w:left w:w="0" w:type="dxa"/>
          <w:bottom w:w="0" w:type="dxa"/>
          <w:right w:w="0" w:type="dxa"/>
        </w:tblCellMar>
      </w:tblPr>
      <w:tr>
        <w:trPr>
          <w:trHeight w:val="201"/>
        </w:trPr>
        <w:tc>
          <w:tcPr>
            <w:tcW w:w="3280" w:type="dxa"/>
            <w:vAlign w:val="bottom"/>
          </w:tcPr>
          <w:p>
            <w:pPr>
              <w:jc w:val="center"/>
              <w:ind w:right="194"/>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right"/>
              <w:ind w:right="635"/>
              <w:spacing w:after="0" w:line="201" w:lineRule="exact"/>
              <w:rPr>
                <w:sz w:val="20"/>
                <w:szCs w:val="20"/>
                <w:color w:val="auto"/>
              </w:rPr>
            </w:pPr>
            <w:r>
              <w:rPr>
                <w:rFonts w:ascii="Times New Roman" w:cs="Times New Roman" w:eastAsia="Times New Roman" w:hAnsi="Times New Roman"/>
                <w:sz w:val="18"/>
                <w:szCs w:val="18"/>
                <w:b w:val="1"/>
                <w:bCs w:val="1"/>
                <w:color w:val="auto"/>
              </w:rPr>
              <w:t>45-4497941</w:t>
            </w:r>
          </w:p>
        </w:tc>
        <w:tc>
          <w:tcPr>
            <w:tcW w:w="0" w:type="dxa"/>
            <w:vAlign w:val="bottom"/>
          </w:tcPr>
          <w:p>
            <w:pPr>
              <w:spacing w:after="0"/>
              <w:rPr>
                <w:sz w:val="1"/>
                <w:szCs w:val="1"/>
                <w:color w:val="auto"/>
              </w:rPr>
            </w:pPr>
          </w:p>
        </w:tc>
      </w:tr>
      <w:tr>
        <w:trPr>
          <w:trHeight w:val="211"/>
        </w:trPr>
        <w:tc>
          <w:tcPr>
            <w:tcW w:w="3280" w:type="dxa"/>
            <w:vAlign w:val="bottom"/>
          </w:tcPr>
          <w:p>
            <w:pPr>
              <w:jc w:val="center"/>
              <w:ind w:right="194"/>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4900" w:type="dxa"/>
            <w:vAlign w:val="bottom"/>
          </w:tcPr>
          <w:p>
            <w:pPr>
              <w:jc w:val="center"/>
              <w:ind w:left="2495"/>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18"/>
        </w:trPr>
        <w:tc>
          <w:tcPr>
            <w:tcW w:w="328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4"/>
              </w:rPr>
              <w:t>4551 Kennedy Commerce Drive</w:t>
            </w:r>
          </w:p>
        </w:tc>
        <w:tc>
          <w:tcPr>
            <w:tcW w:w="4900" w:type="dxa"/>
            <w:vAlign w:val="bottom"/>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rPr>
              <w:t>77032</w:t>
            </w:r>
          </w:p>
        </w:tc>
        <w:tc>
          <w:tcPr>
            <w:tcW w:w="0" w:type="dxa"/>
            <w:vAlign w:val="bottom"/>
          </w:tcPr>
          <w:p>
            <w:pPr>
              <w:spacing w:after="0"/>
              <w:rPr>
                <w:sz w:val="1"/>
                <w:szCs w:val="1"/>
                <w:color w:val="auto"/>
              </w:rPr>
            </w:pPr>
          </w:p>
        </w:tc>
      </w:tr>
      <w:tr>
        <w:trPr>
          <w:trHeight w:val="181"/>
        </w:trPr>
        <w:tc>
          <w:tcPr>
            <w:tcW w:w="32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4900" w:type="dxa"/>
            <w:vAlign w:val="bottom"/>
          </w:tcPr>
          <w:p>
            <w:pPr>
              <w:jc w:val="center"/>
              <w:ind w:left="2515"/>
              <w:spacing w:after="0" w:line="181" w:lineRule="exact"/>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11"/>
        </w:trPr>
        <w:tc>
          <w:tcPr>
            <w:tcW w:w="3280" w:type="dxa"/>
            <w:vAlign w:val="bottom"/>
          </w:tcPr>
          <w:p>
            <w:pPr>
              <w:jc w:val="center"/>
              <w:ind w:right="19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900" w:type="dxa"/>
            <w:vAlign w:val="bottom"/>
            <w:vMerge w:val="restart"/>
          </w:tcPr>
          <w:p>
            <w:pPr>
              <w:jc w:val="right"/>
              <w:ind w:right="3275"/>
              <w:spacing w:after="0"/>
              <w:rPr>
                <w:sz w:val="20"/>
                <w:szCs w:val="20"/>
                <w:color w:val="auto"/>
              </w:rPr>
            </w:pPr>
            <w:r>
              <w:rPr>
                <w:rFonts w:ascii="Times New Roman" w:cs="Times New Roman" w:eastAsia="Times New Roman" w:hAnsi="Times New Roman"/>
                <w:sz w:val="18"/>
                <w:szCs w:val="18"/>
                <w:b w:val="1"/>
                <w:bCs w:val="1"/>
                <w:color w:val="auto"/>
              </w:rPr>
              <w:t>(713) 400-6400</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4900" w:type="dxa"/>
            <w:vAlign w:val="bottom"/>
          </w:tcPr>
          <w:p>
            <w:pPr>
              <w:jc w:val="center"/>
              <w:ind w:right="2855"/>
              <w:spacing w:after="0"/>
              <w:rPr>
                <w:sz w:val="20"/>
                <w:szCs w:val="20"/>
                <w:color w:val="auto"/>
              </w:rPr>
            </w:pPr>
            <w:r>
              <w:rPr>
                <w:rFonts w:ascii="Times New Roman" w:cs="Times New Roman" w:eastAsia="Times New Roman" w:hAnsi="Times New Roman"/>
                <w:sz w:val="16"/>
                <w:szCs w:val="16"/>
                <w:color w:val="auto"/>
              </w:rPr>
              <w:t>(Telephone Number)</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3200 Southwest Freeway, Suite 2500, Houston, Texas, 77027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252095</wp:posOffset>
                </wp:positionH>
                <wp:positionV relativeFrom="paragraph">
                  <wp:posOffset>28575</wp:posOffset>
                </wp:positionV>
                <wp:extent cx="63531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317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2.25pt" to="520.1pt,2.25pt" o:allowincell="f" strokecolor="#000000" strokeweight="0.499pt"/>
            </w:pict>
          </mc:Fallback>
        </mc:AlternateContent>
      </w:r>
    </w:p>
    <w:p>
      <w:pPr>
        <w:spacing w:after="0" w:line="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24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Name of each exchange on which registered</w:t>
            </w:r>
          </w:p>
        </w:tc>
      </w:tr>
      <w:tr>
        <w:trPr>
          <w:trHeight w:val="24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MRKR</w:t>
            </w:r>
          </w:p>
        </w:tc>
        <w:tc>
          <w:tcPr>
            <w:tcW w:w="240" w:type="dxa"/>
            <w:vAlign w:val="bottom"/>
          </w:tcPr>
          <w:p>
            <w:pPr>
              <w:spacing w:after="0"/>
              <w:rPr>
                <w:sz w:val="21"/>
                <w:szCs w:val="21"/>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9" w:lineRule="exact"/>
        <w:rPr>
          <w:sz w:val="20"/>
          <w:szCs w:val="20"/>
          <w:color w:val="auto"/>
        </w:rPr>
      </w:pPr>
    </w:p>
    <w:p>
      <w:pPr>
        <w:ind w:left="400" w:right="120"/>
        <w:spacing w:after="0" w:line="21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of Section 15(d)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 w:lineRule="exact"/>
        <w:rPr>
          <w:sz w:val="20"/>
          <w:szCs w:val="20"/>
          <w:color w:val="auto"/>
        </w:rPr>
      </w:pPr>
    </w:p>
    <w:p>
      <w:pPr>
        <w:jc w:val="both"/>
        <w:ind w:firstLine="399"/>
        <w:spacing w:after="0" w:line="1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 w:lineRule="exact"/>
        <w:rPr>
          <w:sz w:val="20"/>
          <w:szCs w:val="20"/>
          <w:color w:val="auto"/>
        </w:rPr>
      </w:pPr>
    </w:p>
    <w:p>
      <w:pPr>
        <w:ind w:right="40" w:firstLine="399"/>
        <w:spacing w:after="0" w:line="1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 w:lineRule="exact"/>
        <w:rPr>
          <w:sz w:val="20"/>
          <w:szCs w:val="20"/>
          <w:color w:val="auto"/>
        </w:rPr>
      </w:pPr>
    </w:p>
    <w:p>
      <w:pPr>
        <w:jc w:val="both"/>
        <w:ind w:right="20" w:firstLine="399"/>
        <w:spacing w:after="0" w:line="228"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Layout w:type="fixed"/>
        <w:tblInd w:w="40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60"/>
              <w:spacing w:after="0" w:line="208" w:lineRule="exact"/>
              <w:rPr>
                <w:sz w:val="20"/>
                <w:szCs w:val="20"/>
                <w:color w:val="auto"/>
              </w:rPr>
            </w:pPr>
            <w:r>
              <w:rPr>
                <w:rFonts w:ascii="Arial Unicode MS" w:cs="Arial Unicode MS" w:eastAsia="Arial Unicode MS" w:hAnsi="Arial Unicode MS"/>
                <w:sz w:val="18"/>
                <w:szCs w:val="18"/>
                <w:color w:val="auto"/>
              </w:rPr>
              <w:t>☐</w:t>
            </w:r>
          </w:p>
        </w:tc>
        <w:tc>
          <w:tcPr>
            <w:tcW w:w="43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60"/>
              <w:spacing w:after="0" w:line="208" w:lineRule="exact"/>
              <w:rPr>
                <w:sz w:val="20"/>
                <w:szCs w:val="20"/>
                <w:color w:val="auto"/>
              </w:rPr>
            </w:pPr>
            <w:r>
              <w:rPr>
                <w:rFonts w:ascii="Arial Unicode MS" w:cs="Arial Unicode MS" w:eastAsia="Arial Unicode MS" w:hAnsi="Arial Unicode MS"/>
                <w:sz w:val="18"/>
                <w:szCs w:val="18"/>
                <w:color w:val="auto"/>
              </w:rPr>
              <w:t>☐</w:t>
            </w:r>
          </w:p>
        </w:tc>
      </w:tr>
      <w:tr>
        <w:trPr>
          <w:trHeight w:val="205"/>
        </w:trPr>
        <w:tc>
          <w:tcPr>
            <w:tcW w:w="20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60"/>
              <w:spacing w:after="0" w:line="205" w:lineRule="exact"/>
              <w:rPr>
                <w:sz w:val="20"/>
                <w:szCs w:val="20"/>
                <w:color w:val="auto"/>
              </w:rPr>
            </w:pPr>
            <w:r>
              <w:rPr>
                <w:rFonts w:ascii="Arial Unicode MS" w:cs="Arial Unicode MS" w:eastAsia="Arial Unicode MS" w:hAnsi="Arial Unicode MS"/>
                <w:sz w:val="18"/>
                <w:szCs w:val="18"/>
                <w:color w:val="auto"/>
              </w:rPr>
              <w:t>☒</w:t>
            </w:r>
          </w:p>
        </w:tc>
        <w:tc>
          <w:tcPr>
            <w:tcW w:w="4300" w:type="dxa"/>
            <w:vAlign w:val="bottom"/>
          </w:tcPr>
          <w:p>
            <w:pPr>
              <w:ind w:left="2060"/>
              <w:spacing w:after="0" w:line="206" w:lineRule="exact"/>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60"/>
              <w:spacing w:after="0" w:line="205" w:lineRule="exact"/>
              <w:rPr>
                <w:sz w:val="20"/>
                <w:szCs w:val="20"/>
                <w:color w:val="auto"/>
              </w:rPr>
            </w:pPr>
            <w:r>
              <w:rPr>
                <w:rFonts w:ascii="Arial Unicode MS" w:cs="Arial Unicode MS" w:eastAsia="Arial Unicode MS" w:hAnsi="Arial Unicode MS"/>
                <w:sz w:val="18"/>
                <w:szCs w:val="18"/>
                <w:color w:val="auto"/>
              </w:rPr>
              <w:t>☒</w:t>
            </w:r>
          </w:p>
        </w:tc>
      </w:tr>
      <w:tr>
        <w:trPr>
          <w:trHeight w:val="236"/>
        </w:trPr>
        <w:tc>
          <w:tcPr>
            <w:tcW w:w="2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3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60"/>
              <w:spacing w:after="0" w:line="210" w:lineRule="exact"/>
              <w:rPr>
                <w:sz w:val="20"/>
                <w:szCs w:val="20"/>
                <w:color w:val="auto"/>
              </w:rPr>
            </w:pPr>
            <w:r>
              <w:rPr>
                <w:rFonts w:ascii="Arial Unicode MS" w:cs="Arial Unicode MS" w:eastAsia="Arial Unicode MS" w:hAnsi="Arial Unicode MS"/>
                <w:sz w:val="18"/>
                <w:szCs w:val="18"/>
                <w:color w:val="auto"/>
              </w:rPr>
              <w:t>☐</w:t>
            </w:r>
          </w:p>
        </w:tc>
      </w:tr>
    </w:tbl>
    <w:p>
      <w:pPr>
        <w:spacing w:after="0" w:line="37" w:lineRule="exact"/>
        <w:rPr>
          <w:sz w:val="20"/>
          <w:szCs w:val="20"/>
          <w:color w:val="auto"/>
        </w:rPr>
      </w:pPr>
    </w:p>
    <w:p>
      <w:pPr>
        <w:ind w:right="640" w:firstLine="399"/>
        <w:spacing w:after="0" w:line="19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 w:lineRule="exact"/>
        <w:rPr>
          <w:sz w:val="20"/>
          <w:szCs w:val="20"/>
          <w:color w:val="auto"/>
        </w:rPr>
      </w:pPr>
    </w:p>
    <w:p>
      <w:pPr>
        <w:ind w:right="40" w:firstLine="399"/>
        <w:spacing w:after="0" w:line="1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2" w:lineRule="exact"/>
        <w:rPr>
          <w:sz w:val="20"/>
          <w:szCs w:val="20"/>
          <w:color w:val="auto"/>
        </w:rPr>
      </w:pPr>
    </w:p>
    <w:p>
      <w:pPr>
        <w:ind w:right="20" w:firstLine="399"/>
        <w:spacing w:after="0" w:line="230"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ind w:right="460" w:firstLine="399"/>
        <w:spacing w:after="0" w:line="230"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 ]</w:t>
      </w:r>
    </w:p>
    <w:p>
      <w:pPr>
        <w:ind w:left="400"/>
        <w:spacing w:after="0" w:line="214"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 w:lineRule="exact"/>
        <w:rPr>
          <w:sz w:val="20"/>
          <w:szCs w:val="20"/>
          <w:color w:val="auto"/>
        </w:rPr>
      </w:pPr>
    </w:p>
    <w:p>
      <w:pPr>
        <w:ind w:right="60" w:firstLine="399"/>
        <w:spacing w:after="0" w:line="224"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2022 (the last day of the registrant’s most recently completed second fiscal quarter) based on the closing sale price of $3.30 as reported on the Nasdaq Capital Market as of that date was approximately $22,800,000.</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registrant had 8,798,829 shares of common stock outstanding as of March 17, 2023.</w:t>
      </w:r>
    </w:p>
    <w:p>
      <w:pPr>
        <w:spacing w:after="0" w:line="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 w:lineRule="exact"/>
        <w:rPr>
          <w:sz w:val="20"/>
          <w:szCs w:val="20"/>
          <w:color w:val="auto"/>
        </w:rPr>
      </w:pPr>
    </w:p>
    <w:p>
      <w:pPr>
        <w:ind w:right="160" w:firstLine="399"/>
        <w:spacing w:after="0"/>
        <w:rPr>
          <w:sz w:val="20"/>
          <w:szCs w:val="20"/>
          <w:color w:val="auto"/>
        </w:rPr>
      </w:pPr>
      <w:r>
        <w:rPr>
          <w:rFonts w:ascii="Times New Roman" w:cs="Times New Roman" w:eastAsia="Times New Roman" w:hAnsi="Times New Roman"/>
          <w:sz w:val="18"/>
          <w:szCs w:val="18"/>
          <w:color w:val="auto"/>
        </w:rPr>
        <w:t>Portions of the registrant’s proxy statement relating to registrant’s 2023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108585</wp:posOffset>
                </wp:positionV>
                <wp:extent cx="68592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67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55pt" to="540.05pt,8.55pt" o:allowincell="f" strokecolor="#000000" strokeweight="0.99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144145</wp:posOffset>
                </wp:positionV>
                <wp:extent cx="685927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25349">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35pt" to="540.05pt,11.35pt" o:allowincell="f" strokecolor="#000000" strokeweight="1.996pt"/>
            </w:pict>
          </mc:Fallback>
        </mc:AlternateContent>
      </w:r>
    </w:p>
    <w:p>
      <w:pPr>
        <w:sectPr>
          <w:pgSz w:w="11880" w:h="15480" w:orient="portrait"/>
          <w:cols w:equalWidth="0" w:num="1">
            <w:col w:w="10800"/>
          </w:cols>
          <w:pgMar w:left="540" w:top="779" w:right="540" w:bottom="464" w:gutter="0" w:footer="0" w:header="0"/>
        </w:sectPr>
      </w:pPr>
    </w:p>
    <w:bookmarkStart w:id="2" w:name="page3"/>
    <w:bookmarkEnd w:id="2"/>
    <w:p>
      <w:pPr>
        <w:ind w:left="344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171" w:lineRule="exact"/>
        <w:rPr>
          <w:sz w:val="20"/>
          <w:szCs w:val="20"/>
          <w:color w:val="auto"/>
        </w:rPr>
      </w:pPr>
    </w:p>
    <w:p>
      <w:pPr>
        <w:ind w:left="900"/>
        <w:spacing w:after="0"/>
        <w:tabs>
          <w:tab w:leader="none" w:pos="8820" w:val="left"/>
        </w:tabs>
        <w:rPr>
          <w:sz w:val="20"/>
          <w:szCs w:val="20"/>
          <w:color w:val="auto"/>
        </w:rPr>
      </w:pPr>
      <w:r>
        <w:rPr>
          <w:rFonts w:ascii="Times New Roman" w:cs="Times New Roman" w:eastAsia="Times New Roman" w:hAnsi="Times New Roman"/>
          <w:sz w:val="20"/>
          <w:szCs w:val="20"/>
          <w:color w:val="auto"/>
        </w:rPr>
        <w:t>FORWARD LOOKING STATEMENTS  . . . . . . . . . . . . . . . . . . . . . . . . . . . . . . . .</w:t>
      </w:r>
      <w:r>
        <w:rPr>
          <w:sz w:val="20"/>
          <w:szCs w:val="20"/>
          <w:color w:val="auto"/>
        </w:rPr>
        <w:tab/>
      </w:r>
      <w:r>
        <w:rPr>
          <w:rFonts w:ascii="Times New Roman" w:cs="Times New Roman" w:eastAsia="Times New Roman" w:hAnsi="Times New Roman"/>
          <w:sz w:val="17"/>
          <w:szCs w:val="17"/>
          <w:color w:val="auto"/>
        </w:rPr>
        <w:t>ii</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72" w:lineRule="exact"/>
        <w:rPr>
          <w:sz w:val="20"/>
          <w:szCs w:val="20"/>
          <w:color w:val="auto"/>
        </w:rPr>
      </w:pPr>
    </w:p>
    <w:p>
      <w:pPr>
        <w:spacing w:after="0"/>
        <w:tabs>
          <w:tab w:leader="none" w:pos="880" w:val="left"/>
          <w:tab w:leader="none" w:pos="8820" w:val="left"/>
        </w:tabs>
        <w:rPr>
          <w:sz w:val="20"/>
          <w:szCs w:val="20"/>
          <w:color w:val="auto"/>
        </w:rPr>
      </w:pPr>
      <w:r>
        <w:rPr>
          <w:rFonts w:ascii="Times New Roman" w:cs="Times New Roman" w:eastAsia="Times New Roman" w:hAnsi="Times New Roman"/>
          <w:sz w:val="20"/>
          <w:szCs w:val="20"/>
          <w:color w:val="auto"/>
        </w:rPr>
        <w:t>Item 1.</w:t>
        <w:tab/>
        <w:t>Business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2.</w:t>
        <w:tab/>
        <w:t>Properties . . . . . .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3.</w:t>
        <w:tab/>
        <w:t>Legal Proceedings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69" w:lineRule="exact"/>
        <w:rPr>
          <w:sz w:val="20"/>
          <w:szCs w:val="20"/>
          <w:color w:val="auto"/>
        </w:rPr>
      </w:pPr>
    </w:p>
    <w:p>
      <w:pPr>
        <w:spacing w:after="0"/>
        <w:tabs>
          <w:tab w:leader="none" w:pos="880" w:val="left"/>
          <w:tab w:leader="none" w:pos="3040" w:val="left"/>
          <w:tab w:leader="none" w:pos="8720" w:val="left"/>
        </w:tabs>
        <w:rPr>
          <w:sz w:val="20"/>
          <w:szCs w:val="20"/>
          <w:color w:val="auto"/>
        </w:rPr>
      </w:pPr>
      <w:r>
        <w:rPr>
          <w:rFonts w:ascii="Times New Roman" w:cs="Times New Roman" w:eastAsia="Times New Roman" w:hAnsi="Times New Roman"/>
          <w:sz w:val="20"/>
          <w:szCs w:val="20"/>
          <w:color w:val="auto"/>
        </w:rPr>
        <w:t>Item 4.</w:t>
        <w:tab/>
        <w:t>Mine Safety Disclosure</w:t>
        <w:tab/>
        <w:t>.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w:t>
      </w:r>
    </w:p>
    <w:p>
      <w:pPr>
        <w:spacing w:after="0" w:line="9" w:lineRule="exact"/>
        <w:rPr>
          <w:sz w:val="20"/>
          <w:szCs w:val="20"/>
          <w:color w:val="auto"/>
        </w:rPr>
      </w:pPr>
    </w:p>
    <w:p>
      <w:pPr>
        <w:ind w:left="900"/>
        <w:spacing w:after="0"/>
        <w:tabs>
          <w:tab w:leader="none" w:pos="872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6.</w:t>
        <w:tab/>
        <w:t>[Reserved] . . . . . . . . . . . . . .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w:t>
      </w:r>
    </w:p>
    <w:p>
      <w:pPr>
        <w:spacing w:after="0" w:line="9" w:lineRule="exact"/>
        <w:rPr>
          <w:sz w:val="20"/>
          <w:szCs w:val="20"/>
          <w:color w:val="auto"/>
        </w:rPr>
      </w:pPr>
    </w:p>
    <w:p>
      <w:pPr>
        <w:ind w:left="900"/>
        <w:spacing w:after="0"/>
        <w:tabs>
          <w:tab w:leader="none" w:pos="872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69" w:lineRule="exact"/>
        <w:rPr>
          <w:sz w:val="20"/>
          <w:szCs w:val="20"/>
          <w:color w:val="auto"/>
        </w:rPr>
      </w:pPr>
    </w:p>
    <w:p>
      <w:pPr>
        <w:spacing w:after="0"/>
        <w:tabs>
          <w:tab w:leader="none" w:pos="880" w:val="left"/>
          <w:tab w:leader="none" w:pos="874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w:t>
      </w:r>
      <w:r>
        <w:rPr>
          <w:sz w:val="20"/>
          <w:szCs w:val="20"/>
          <w:color w:val="auto"/>
        </w:rPr>
        <w:tab/>
      </w:r>
      <w:r>
        <w:rPr>
          <w:rFonts w:ascii="Times New Roman" w:cs="Times New Roman" w:eastAsia="Times New Roman" w:hAnsi="Times New Roman"/>
          <w:sz w:val="18"/>
          <w:szCs w:val="18"/>
          <w:color w:val="auto"/>
        </w:rPr>
        <w:t>88</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8.</w:t>
        <w:tab/>
        <w:t>Financial Statements . . .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pacing w:after="0" w:line="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w:t>
      </w:r>
    </w:p>
    <w:p>
      <w:pPr>
        <w:spacing w:after="0" w:line="9" w:lineRule="exact"/>
        <w:rPr>
          <w:sz w:val="20"/>
          <w:szCs w:val="20"/>
          <w:color w:val="auto"/>
        </w:rPr>
      </w:pPr>
    </w:p>
    <w:p>
      <w:pPr>
        <w:ind w:left="900"/>
        <w:spacing w:after="0"/>
        <w:tabs>
          <w:tab w:leader="none" w:pos="1960" w:val="left"/>
          <w:tab w:leader="none" w:pos="8720" w:val="left"/>
        </w:tabs>
        <w:rPr>
          <w:sz w:val="20"/>
          <w:szCs w:val="20"/>
          <w:color w:val="auto"/>
        </w:rPr>
      </w:pPr>
      <w:r>
        <w:rPr>
          <w:rFonts w:ascii="Times New Roman" w:cs="Times New Roman" w:eastAsia="Times New Roman" w:hAnsi="Times New Roman"/>
          <w:sz w:val="20"/>
          <w:szCs w:val="20"/>
          <w:color w:val="auto"/>
        </w:rPr>
        <w:t>Disclosure</w:t>
        <w:tab/>
        <w:t>. . . . . . . . . .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w:t>
      </w:r>
      <w:r>
        <w:rPr>
          <w:sz w:val="20"/>
          <w:szCs w:val="20"/>
          <w:color w:val="auto"/>
        </w:rPr>
        <w:tab/>
      </w:r>
      <w:r>
        <w:rPr>
          <w:rFonts w:ascii="Times New Roman" w:cs="Times New Roman" w:eastAsia="Times New Roman" w:hAnsi="Times New Roman"/>
          <w:sz w:val="20"/>
          <w:szCs w:val="20"/>
          <w:color w:val="auto"/>
        </w:rPr>
        <w:t>89</w:t>
      </w:r>
    </w:p>
    <w:p>
      <w:pPr>
        <w:spacing w:after="0" w:line="69" w:lineRule="exact"/>
        <w:rPr>
          <w:sz w:val="20"/>
          <w:szCs w:val="20"/>
          <w:color w:val="auto"/>
        </w:rPr>
      </w:pPr>
    </w:p>
    <w:p>
      <w:pPr>
        <w:spacing w:after="0"/>
        <w:tabs>
          <w:tab w:leader="none" w:pos="880" w:val="left"/>
          <w:tab w:leader="none" w:pos="874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w:t>
      </w:r>
      <w:r>
        <w:rPr>
          <w:sz w:val="20"/>
          <w:szCs w:val="20"/>
          <w:color w:val="auto"/>
        </w:rPr>
        <w:tab/>
      </w:r>
      <w:r>
        <w:rPr>
          <w:rFonts w:ascii="Times New Roman" w:cs="Times New Roman" w:eastAsia="Times New Roman" w:hAnsi="Times New Roman"/>
          <w:sz w:val="18"/>
          <w:szCs w:val="18"/>
          <w:color w:val="auto"/>
        </w:rPr>
        <w:t>89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72" w:lineRule="exact"/>
        <w:rPr>
          <w:sz w:val="20"/>
          <w:szCs w:val="20"/>
          <w:color w:val="auto"/>
        </w:rPr>
      </w:pPr>
    </w:p>
    <w:p>
      <w:pPr>
        <w:spacing w:after="0"/>
        <w:tabs>
          <w:tab w:leader="none" w:pos="880" w:val="left"/>
          <w:tab w:leader="none" w:pos="5900" w:val="left"/>
          <w:tab w:leader="none" w:pos="874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tab/>
        <w:t>. . . . . . . . . . . . . . . . . . . . .</w:t>
      </w:r>
      <w:r>
        <w:rPr>
          <w:sz w:val="20"/>
          <w:szCs w:val="20"/>
          <w:color w:val="auto"/>
        </w:rPr>
        <w:tab/>
      </w:r>
      <w:r>
        <w:rPr>
          <w:rFonts w:ascii="Times New Roman" w:cs="Times New Roman" w:eastAsia="Times New Roman" w:hAnsi="Times New Roman"/>
          <w:sz w:val="18"/>
          <w:szCs w:val="18"/>
          <w:color w:val="auto"/>
        </w:rPr>
        <w:t>90</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w:t>
      </w:r>
    </w:p>
    <w:p>
      <w:pPr>
        <w:spacing w:after="0" w:line="9" w:lineRule="exact"/>
        <w:rPr>
          <w:sz w:val="20"/>
          <w:szCs w:val="20"/>
          <w:color w:val="auto"/>
        </w:rPr>
      </w:pPr>
    </w:p>
    <w:p>
      <w:pPr>
        <w:ind w:left="900"/>
        <w:spacing w:after="0"/>
        <w:tabs>
          <w:tab w:leader="none" w:pos="872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69" w:lineRule="exact"/>
        <w:rPr>
          <w:sz w:val="20"/>
          <w:szCs w:val="20"/>
          <w:color w:val="auto"/>
        </w:rPr>
      </w:pPr>
    </w:p>
    <w:p>
      <w:pPr>
        <w:spacing w:after="0"/>
        <w:tabs>
          <w:tab w:leader="none" w:pos="880" w:val="left"/>
          <w:tab w:leader="none" w:pos="874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w:t>
      </w:r>
      <w:r>
        <w:rPr>
          <w:sz w:val="20"/>
          <w:szCs w:val="20"/>
          <w:color w:val="auto"/>
        </w:rPr>
        <w:tab/>
      </w:r>
      <w:r>
        <w:rPr>
          <w:rFonts w:ascii="Times New Roman" w:cs="Times New Roman" w:eastAsia="Times New Roman" w:hAnsi="Times New Roman"/>
          <w:sz w:val="20"/>
          <w:szCs w:val="20"/>
          <w:color w:val="auto"/>
        </w:rPr>
        <w:t>90</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14.</w:t>
        <w:tab/>
        <w:t>Principal Accounting Fees And Services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72"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15.</w:t>
        <w:tab/>
        <w:t>Exhibits, Financial Statement Schedules . . . . . . . . . . . . . . . . . . . . . . . . . . . . . . . . . .</w:t>
      </w:r>
      <w:r>
        <w:rPr>
          <w:sz w:val="20"/>
          <w:szCs w:val="20"/>
          <w:color w:val="auto"/>
        </w:rPr>
        <w:tab/>
      </w:r>
      <w:r>
        <w:rPr>
          <w:rFonts w:ascii="Times New Roman" w:cs="Times New Roman" w:eastAsia="Times New Roman" w:hAnsi="Times New Roman"/>
          <w:sz w:val="20"/>
          <w:szCs w:val="20"/>
          <w:color w:val="auto"/>
        </w:rPr>
        <w:t>91</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w:t>
      </w:r>
      <w:r>
        <w:rPr>
          <w:sz w:val="20"/>
          <w:szCs w:val="20"/>
          <w:color w:val="auto"/>
        </w:rPr>
        <w:tab/>
      </w:r>
      <w:r>
        <w:rPr>
          <w:rFonts w:ascii="Times New Roman" w:cs="Times New Roman" w:eastAsia="Times New Roman" w:hAnsi="Times New Roman"/>
          <w:sz w:val="20"/>
          <w:szCs w:val="20"/>
          <w:color w:val="auto"/>
        </w:rPr>
        <w:t>94</w:t>
      </w:r>
    </w:p>
    <w:p>
      <w:pPr>
        <w:sectPr>
          <w:pgSz w:w="11880" w:h="15480" w:orient="portrait"/>
          <w:cols w:equalWidth="0" w:num="1">
            <w:col w:w="9040"/>
          </w:cols>
          <w:pgMar w:left="1400" w:top="1023" w:right="144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9040"/>
          </w:cols>
          <w:pgMar w:left="1400" w:top="1023" w:right="1440" w:bottom="139"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FORWARD LOOKING STATEMENTS</w:t>
      </w:r>
    </w:p>
    <w:p>
      <w:pPr>
        <w:spacing w:after="0" w:line="165" w:lineRule="exact"/>
        <w:rPr>
          <w:sz w:val="20"/>
          <w:szCs w:val="20"/>
          <w:color w:val="auto"/>
        </w:rPr>
      </w:pPr>
    </w:p>
    <w:p>
      <w:pPr>
        <w:ind w:firstLine="399"/>
        <w:spacing w:after="0" w:line="246" w:lineRule="auto"/>
        <w:rPr>
          <w:sz w:val="20"/>
          <w:szCs w:val="20"/>
          <w:color w:val="auto"/>
        </w:rPr>
      </w:pPr>
      <w:r>
        <w:rPr>
          <w:rFonts w:ascii="Times New Roman" w:cs="Times New Roman" w:eastAsia="Times New Roman" w:hAnsi="Times New Roman"/>
          <w:sz w:val="20"/>
          <w:szCs w:val="20"/>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322" w:lineRule="exact"/>
        <w:rPr>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123" w:lineRule="exact"/>
        <w:rPr>
          <w:rFonts w:ascii="Times New Roman" w:cs="Times New Roman" w:eastAsia="Times New Roman" w:hAnsi="Times New Roman"/>
          <w:sz w:val="20"/>
          <w:szCs w:val="20"/>
          <w:color w:val="auto"/>
        </w:rPr>
      </w:pPr>
    </w:p>
    <w:p>
      <w:pPr>
        <w:ind w:left="580" w:right="60" w:hanging="191"/>
        <w:spacing w:after="0" w:line="254"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progress and results of clinical trials of multi tumor associated antigen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321" w:lineRule="exact"/>
        <w:rPr>
          <w:rFonts w:ascii="Times New Roman" w:cs="Times New Roman" w:eastAsia="Times New Roman" w:hAnsi="Times New Roman"/>
          <w:sz w:val="20"/>
          <w:szCs w:val="20"/>
          <w:color w:val="auto"/>
        </w:rPr>
      </w:pPr>
    </w:p>
    <w:p>
      <w:pPr>
        <w:ind w:left="580" w:right="4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any submission of filings for regulatory approval of product candidates and our ability to obtain and maintain regulatory approvals for product candidates for any indication;</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commercialize product candidates;</w:t>
      </w:r>
    </w:p>
    <w:p>
      <w:pPr>
        <w:spacing w:after="0" w:line="125" w:lineRule="exact"/>
        <w:rPr>
          <w:rFonts w:ascii="Times New Roman" w:cs="Times New Roman" w:eastAsia="Times New Roman" w:hAnsi="Times New Roman"/>
          <w:sz w:val="20"/>
          <w:szCs w:val="20"/>
          <w:color w:val="auto"/>
        </w:rPr>
      </w:pPr>
    </w:p>
    <w:p>
      <w:pPr>
        <w:ind w:left="580" w:right="36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potential benefits, activity, effectiveness and safety of our product candidates;</w:t>
      </w:r>
    </w:p>
    <w:p>
      <w:pPr>
        <w:spacing w:after="0" w:line="55" w:lineRule="exact"/>
        <w:rPr>
          <w:rFonts w:ascii="Times New Roman" w:cs="Times New Roman" w:eastAsia="Times New Roman" w:hAnsi="Times New Roman"/>
          <w:sz w:val="20"/>
          <w:szCs w:val="20"/>
          <w:color w:val="auto"/>
        </w:rPr>
      </w:pPr>
    </w:p>
    <w:p>
      <w:pPr>
        <w:ind w:left="580" w:right="22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size of the patient populations, market acceptance and opportunity for and clinical utility of product candidates, if approved for commercial use;</w:t>
      </w:r>
    </w:p>
    <w:p>
      <w:pPr>
        <w:spacing w:after="0" w:line="55" w:lineRule="exact"/>
        <w:rPr>
          <w:rFonts w:ascii="Times New Roman" w:cs="Times New Roman" w:eastAsia="Times New Roman" w:hAnsi="Times New Roman"/>
          <w:sz w:val="20"/>
          <w:szCs w:val="20"/>
          <w:color w:val="auto"/>
        </w:rPr>
      </w:pPr>
    </w:p>
    <w:p>
      <w:pPr>
        <w:ind w:left="580" w:right="18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manufacturing capabilities and strategy, including the ease, scalability and commercial viability of our manufacturing methods and processes;</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scope of any approved indications for product candidates;</w:t>
      </w:r>
    </w:p>
    <w:p>
      <w:pPr>
        <w:spacing w:after="0" w:line="125" w:lineRule="exact"/>
        <w:rPr>
          <w:rFonts w:ascii="Times New Roman" w:cs="Times New Roman" w:eastAsia="Times New Roman" w:hAnsi="Times New Roman"/>
          <w:sz w:val="20"/>
          <w:szCs w:val="20"/>
          <w:color w:val="auto"/>
        </w:rPr>
      </w:pPr>
    </w:p>
    <w:p>
      <w:pPr>
        <w:ind w:left="580" w:right="32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of and our ability to maintain our relationships and collaborations with the Baylor College of Medicine and other potential collaboration or strategic relationships;</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the multiTAA-specific T cell platform to develop future product candidates;</w:t>
      </w:r>
    </w:p>
    <w:p>
      <w:pPr>
        <w:spacing w:after="0" w:line="125" w:lineRule="exact"/>
        <w:rPr>
          <w:rFonts w:ascii="Times New Roman" w:cs="Times New Roman" w:eastAsia="Times New Roman" w:hAnsi="Times New Roman"/>
          <w:sz w:val="20"/>
          <w:szCs w:val="20"/>
          <w:color w:val="auto"/>
        </w:rPr>
      </w:pPr>
    </w:p>
    <w:p>
      <w:pPr>
        <w:ind w:left="580" w:right="6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our expenses, ongoing losses, future revenue, capital requirements and our needs for or ability to obtain additional funding;</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recruit and retain key personnel;</w:t>
      </w:r>
    </w:p>
    <w:p>
      <w:pPr>
        <w:spacing w:after="0" w:line="125" w:lineRule="exact"/>
        <w:rPr>
          <w:rFonts w:ascii="Times New Roman" w:cs="Times New Roman" w:eastAsia="Times New Roman" w:hAnsi="Times New Roman"/>
          <w:sz w:val="20"/>
          <w:szCs w:val="20"/>
          <w:color w:val="auto"/>
        </w:rPr>
      </w:pPr>
    </w:p>
    <w:p>
      <w:pPr>
        <w:ind w:left="580" w:right="16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and enforce our intellectual property position for our product candidates, and the scope of such protection;</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performance;</w:t>
      </w:r>
    </w:p>
    <w:p>
      <w:pPr>
        <w:spacing w:after="0" w:line="125" w:lineRule="exact"/>
        <w:rPr>
          <w:rFonts w:ascii="Times New Roman" w:cs="Times New Roman" w:eastAsia="Times New Roman" w:hAnsi="Times New Roman"/>
          <w:sz w:val="20"/>
          <w:szCs w:val="20"/>
          <w:color w:val="auto"/>
        </w:rPr>
      </w:pPr>
    </w:p>
    <w:p>
      <w:pPr>
        <w:ind w:left="580" w:right="120" w:hanging="191"/>
        <w:spacing w:after="0" w:line="27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competitive position and the development of and projections relating to our competitors or our industry; and</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laws and regulations.</w:t>
      </w:r>
    </w:p>
    <w:p>
      <w:pPr>
        <w:spacing w:after="0" w:line="165" w:lineRule="exact"/>
        <w:rPr>
          <w:sz w:val="20"/>
          <w:szCs w:val="20"/>
          <w:color w:val="auto"/>
        </w:rPr>
      </w:pPr>
    </w:p>
    <w:p>
      <w:pPr>
        <w:ind w:right="40" w:firstLine="399"/>
        <w:spacing w:after="0" w:line="262" w:lineRule="auto"/>
        <w:rPr>
          <w:sz w:val="20"/>
          <w:szCs w:val="20"/>
          <w:color w:val="auto"/>
        </w:rPr>
      </w:pPr>
      <w:r>
        <w:rPr>
          <w:rFonts w:ascii="Times New Roman" w:cs="Times New Roman" w:eastAsia="Times New Roman" w:hAnsi="Times New Roman"/>
          <w:sz w:val="20"/>
          <w:szCs w:val="20"/>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1880" w:h="15480" w:orient="portrait"/>
          <w:cols w:equalWidth="0" w:num="1">
            <w:col w:w="9100"/>
          </w:cols>
          <w:pgMar w:left="1400" w:top="1023" w:right="1380" w:bottom="71"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20"/>
          <w:szCs w:val="20"/>
          <w:color w:val="auto"/>
        </w:rPr>
        <w:t>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30"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20"/>
          <w:szCs w:val="20"/>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17"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Times New Roman" w:cs="Times New Roman" w:eastAsia="Times New Roman" w:hAnsi="Times New Roman"/>
          <w:sz w:val="20"/>
          <w:szCs w:val="20"/>
          <w:i w:val="1"/>
          <w:iCs w:val="1"/>
          <w:color w:val="auto"/>
        </w:rPr>
        <w:t>Securities Act of 1933</w:t>
      </w:r>
      <w:r>
        <w:rPr>
          <w:rFonts w:ascii="Times New Roman" w:cs="Times New Roman" w:eastAsia="Times New Roman" w:hAnsi="Times New Roman"/>
          <w:sz w:val="20"/>
          <w:szCs w:val="20"/>
          <w:color w:val="auto"/>
        </w:rPr>
        <w:t xml:space="preserve">, as amended; (iv) “Exchange Act” refers to the United States </w:t>
      </w:r>
      <w:r>
        <w:rPr>
          <w:rFonts w:ascii="Times New Roman" w:cs="Times New Roman" w:eastAsia="Times New Roman" w:hAnsi="Times New Roman"/>
          <w:sz w:val="20"/>
          <w:szCs w:val="20"/>
          <w:i w:val="1"/>
          <w:iCs w:val="1"/>
          <w:color w:val="auto"/>
        </w:rPr>
        <w:t>Securities Exchange Act of 1934</w:t>
      </w:r>
      <w:r>
        <w:rPr>
          <w:rFonts w:ascii="Times New Roman" w:cs="Times New Roman" w:eastAsia="Times New Roman" w:hAnsi="Times New Roman"/>
          <w:sz w:val="20"/>
          <w:szCs w:val="20"/>
          <w:color w:val="auto"/>
        </w:rPr>
        <w:t>, as amended; and (v) all dollar amounts refer to United States dollars unless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indicated.</w:t>
      </w:r>
    </w:p>
    <w:p>
      <w:pPr>
        <w:sectPr>
          <w:pgSz w:w="11880" w:h="15480" w:orient="portrait"/>
          <w:cols w:equalWidth="0" w:num="1">
            <w:col w:w="9100"/>
          </w:cols>
          <w:pgMar w:left="1400" w:top="1025" w:right="1380" w:bottom="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iii</w:t>
      </w:r>
    </w:p>
    <w:p>
      <w:pPr>
        <w:sectPr>
          <w:pgSz w:w="11880" w:h="15480" w:orient="portrait"/>
          <w:cols w:equalWidth="0" w:num="1">
            <w:col w:w="9100"/>
          </w:cols>
          <w:pgMar w:left="1400" w:top="1025" w:right="1380" w:bottom="81"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16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w:t>
        <w:tab/>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4" w:lineRule="exact"/>
        <w:rPr>
          <w:sz w:val="20"/>
          <w:szCs w:val="20"/>
          <w:color w:val="auto"/>
        </w:rPr>
      </w:pPr>
    </w:p>
    <w:p>
      <w:pPr>
        <w:ind w:firstLine="399"/>
        <w:spacing w:after="0" w:line="244" w:lineRule="auto"/>
        <w:rPr>
          <w:sz w:val="20"/>
          <w:szCs w:val="20"/>
          <w:color w:val="auto"/>
        </w:rPr>
      </w:pPr>
      <w:r>
        <w:rPr>
          <w:rFonts w:ascii="Times New Roman" w:cs="Times New Roman" w:eastAsia="Times New Roman" w:hAnsi="Times New Roman"/>
          <w:sz w:val="20"/>
          <w:szCs w:val="20"/>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 associated antigens, or TAAs. MultiTAA-specific T cells are able to recognize multiple tumor targets to produce broad spectrum anti-tumor activity. When infused into a cancer patient, the multiTAA-specific T cells are designed to kill cancer cells expressing the TAA and potentially recruit the patient’s immune system to participate in the cancer killing process.</w:t>
      </w:r>
    </w:p>
    <w:p>
      <w:pPr>
        <w:spacing w:after="0" w:line="125" w:lineRule="exact"/>
        <w:rPr>
          <w:sz w:val="20"/>
          <w:szCs w:val="20"/>
          <w:color w:val="auto"/>
        </w:rPr>
      </w:pPr>
    </w:p>
    <w:p>
      <w:pPr>
        <w:ind w:firstLine="399"/>
        <w:spacing w:after="0" w:line="246" w:lineRule="auto"/>
        <w:rPr>
          <w:sz w:val="20"/>
          <w:szCs w:val="20"/>
          <w:color w:val="auto"/>
        </w:rPr>
      </w:pPr>
      <w:r>
        <w:rPr>
          <w:rFonts w:ascii="Times New Roman" w:cs="Times New Roman" w:eastAsia="Times New Roman" w:hAnsi="Times New Roman"/>
          <w:sz w:val="20"/>
          <w:szCs w:val="20"/>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epitope spreading, and decreased toxicity compared to other cellular therapies.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are advancing three product candidates as part of our multiTAA-specific T cell program for:</w:t>
      </w:r>
    </w:p>
    <w:p>
      <w:pPr>
        <w:spacing w:after="0" w:line="159" w:lineRule="exact"/>
        <w:rPr>
          <w:sz w:val="20"/>
          <w:szCs w:val="20"/>
          <w:color w:val="auto"/>
        </w:rPr>
      </w:pPr>
    </w:p>
    <w:p>
      <w:pPr>
        <w:ind w:left="780" w:hanging="391"/>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autologous treatment of lymphoma, and selected solid tumors</w:t>
      </w:r>
    </w:p>
    <w:p>
      <w:pPr>
        <w:spacing w:after="0" w:line="159"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allogeneic T cells for the treatment of AML</w:t>
      </w:r>
    </w:p>
    <w:p>
      <w:pPr>
        <w:spacing w:after="0" w:line="159"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off-the-shelf products in various indications</w:t>
      </w:r>
    </w:p>
    <w:p>
      <w:pPr>
        <w:spacing w:after="0" w:line="159" w:lineRule="exact"/>
        <w:rPr>
          <w:sz w:val="20"/>
          <w:szCs w:val="20"/>
          <w:color w:val="auto"/>
        </w:rPr>
      </w:pPr>
    </w:p>
    <w:p>
      <w:pPr>
        <w:jc w:val="both"/>
        <w:ind w:right="60" w:firstLine="399"/>
        <w:spacing w:after="0" w:line="256" w:lineRule="auto"/>
        <w:rPr>
          <w:sz w:val="20"/>
          <w:szCs w:val="20"/>
          <w:color w:val="auto"/>
        </w:rPr>
      </w:pPr>
      <w:r>
        <w:rPr>
          <w:rFonts w:ascii="Times New Roman" w:cs="Times New Roman" w:eastAsia="Times New Roman" w:hAnsi="Times New Roman"/>
          <w:sz w:val="20"/>
          <w:szCs w:val="20"/>
          <w:color w:val="auto"/>
        </w:rPr>
        <w:t>We do not genetically engineer our multiTAA-specific T cell therapies and we believe that our product candidates are superior to T cells engineered with chimeric antigen receptors, or CAR-T, for several reasons including:</w:t>
      </w:r>
    </w:p>
    <w:p>
      <w:pPr>
        <w:spacing w:after="0" w:line="72" w:lineRule="exact"/>
        <w:rPr>
          <w:sz w:val="20"/>
          <w:szCs w:val="20"/>
          <w:color w:val="auto"/>
        </w:rPr>
      </w:pPr>
    </w:p>
    <w:p>
      <w:pPr>
        <w:ind w:left="580" w:hanging="191"/>
        <w:spacing w:after="0"/>
        <w:tabs>
          <w:tab w:leader="none" w:pos="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Multiple targets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enhanced tumoricidal effect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minimized tumor immune escape</w:t>
      </w:r>
    </w:p>
    <w:p>
      <w:pPr>
        <w:spacing w:after="0" w:line="84" w:lineRule="exact"/>
        <w:rPr>
          <w:rFonts w:ascii="Times New Roman" w:cs="Times New Roman" w:eastAsia="Times New Roman" w:hAnsi="Times New Roman"/>
          <w:sz w:val="20"/>
          <w:szCs w:val="20"/>
          <w:color w:val="auto"/>
        </w:rPr>
      </w:pPr>
    </w:p>
    <w:p>
      <w:pPr>
        <w:ind w:left="580" w:right="540" w:hanging="191"/>
        <w:spacing w:after="0" w:line="272" w:lineRule="auto"/>
        <w:tabs>
          <w:tab w:leader="none" w:pos="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Epitope spreading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broad patient T cell expansion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durable endogenous antitumor immune response</w:t>
      </w:r>
    </w:p>
    <w:p>
      <w:pPr>
        <w:spacing w:after="0" w:line="22" w:lineRule="exact"/>
        <w:rPr>
          <w:rFonts w:ascii="Times New Roman" w:cs="Times New Roman" w:eastAsia="Times New Roman" w:hAnsi="Times New Roman"/>
          <w:sz w:val="20"/>
          <w:szCs w:val="20"/>
          <w:color w:val="auto"/>
        </w:rPr>
      </w:pPr>
    </w:p>
    <w:p>
      <w:pPr>
        <w:ind w:left="580" w:right="640" w:hanging="191"/>
        <w:spacing w:after="0" w:line="272" w:lineRule="auto"/>
        <w:tabs>
          <w:tab w:leader="none" w:pos="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Clinical safety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no reported cytokine release syndrome (CRS) or other severe adverse effects (SAEs) in our clinical trials to date</w:t>
      </w:r>
    </w:p>
    <w:p>
      <w:pPr>
        <w:spacing w:after="0" w:line="2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Standard IV administration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outpatient treatment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enhanced accessibility</w:t>
      </w:r>
    </w:p>
    <w:p>
      <w:pPr>
        <w:spacing w:after="0" w:line="8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Non-engineered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reduced manufacturing complexity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93980</wp:posOffset>
            </wp:positionV>
            <wp:extent cx="4608830" cy="2618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4608830" cy="2618740"/>
                    </a:xfrm>
                    <a:prstGeom prst="rect">
                      <a:avLst/>
                    </a:prstGeom>
                    <a:noFill/>
                  </pic:spPr>
                </pic:pic>
              </a:graphicData>
            </a:graphic>
          </wp:anchor>
        </w:drawing>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100"/>
          </w:cols>
          <w:pgMar w:left="1400" w:top="1023" w:right="1380" w:bottom="70" w:gutter="0" w:footer="0" w:header="0"/>
          <w:type w:val="continuous"/>
        </w:sectPr>
      </w:pPr>
    </w:p>
    <w:bookmarkStart w:id="6" w:name="page7"/>
    <w:bookmarkEnd w:id="6"/>
    <w:p>
      <w:pPr>
        <w:ind w:right="180" w:firstLine="399"/>
        <w:spacing w:after="0" w:line="279" w:lineRule="auto"/>
        <w:rPr>
          <w:sz w:val="20"/>
          <w:szCs w:val="20"/>
          <w:color w:val="auto"/>
        </w:rPr>
      </w:pPr>
      <w:r>
        <w:rPr>
          <w:rFonts w:ascii="Times New Roman" w:cs="Times New Roman" w:eastAsia="Times New Roman" w:hAnsi="Times New Roman"/>
          <w:sz w:val="20"/>
          <w:szCs w:val="20"/>
          <w:color w:val="auto"/>
        </w:rPr>
        <w:t>For these reasons, we believe our endogenous T cell receptor-based therapies may provide meaningful clinical benefit and safety to patients with both liquid and solid tumors.</w:t>
      </w:r>
    </w:p>
    <w:p>
      <w:pPr>
        <w:spacing w:after="0" w:line="96"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We are also assessing the potential of combining multiTAA-specific T cell products with other products.</w:t>
      </w:r>
    </w:p>
    <w:p>
      <w:pPr>
        <w:spacing w:after="0" w:line="116"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Company-Sponsored Clinical Development of Multi-TAA Specific T Cell Therapies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MT-401 for the Treatment of Post-Transplant AML</w:t>
      </w:r>
    </w:p>
    <w:p>
      <w:pPr>
        <w:spacing w:after="0" w:line="161"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 are pursuing post-transplant AML as the lead indication for our first company-sponsored multiTAA-specific T cell program in the ARTEMIS study. We submitted an investigational new drug, or IND, application to the FDA, to conduct a Phase 2 clinical trial of multiTAA-specific T cell therapy, which we refer to as MT-401 (zedenoleucel), in post-allogeneic HSCT patients with AML in both the adjuvant and active disease setting. The dose administered in this multicenter trial is currently 200 million cells every two weeks for three doses. In the adjuvant setting, patients will be randomized to either multiTAA-specific T cell therapy or standard of care (observation) at approximately 90 days post-transplant, while the active disease patients will receive MT-401 following relapse post-transplant as part of a single-arm group.</w:t>
      </w:r>
    </w:p>
    <w:p>
      <w:pPr>
        <w:spacing w:after="0" w:line="87" w:lineRule="exact"/>
        <w:rPr>
          <w:sz w:val="20"/>
          <w:szCs w:val="20"/>
          <w:color w:val="auto"/>
        </w:rPr>
      </w:pPr>
    </w:p>
    <w:p>
      <w:pPr>
        <w:ind w:left="580" w:hanging="191"/>
        <w:spacing w:after="0" w:line="262"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2020, the Orphan Product Development Office of the United States Food and Drug Administration, or the FDA, granted orphan drug designation to MT-401 (zedenoleucel), a multiTAA-specific T cell therapy that targets four TAAs, for the treatment of AML.</w:t>
      </w:r>
    </w:p>
    <w:p>
      <w:pPr>
        <w:spacing w:after="0" w:line="73" w:lineRule="exact"/>
        <w:rPr>
          <w:rFonts w:ascii="Times New Roman" w:cs="Times New Roman" w:eastAsia="Times New Roman" w:hAnsi="Times New Roman"/>
          <w:sz w:val="20"/>
          <w:szCs w:val="20"/>
          <w:color w:val="auto"/>
        </w:rPr>
      </w:pPr>
    </w:p>
    <w:p>
      <w:pPr>
        <w:ind w:left="580" w:right="260" w:hanging="191"/>
        <w:spacing w:after="0" w:line="262"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multiTAA-specific T cell therapy has been well tolerated in an ongoing Phase 1 clinical trial in AML and myelodysplastic syndrome, or MDS, conducted by our strategic partner Baylor College of Medicine, or BCM.</w:t>
      </w:r>
    </w:p>
    <w:p>
      <w:pPr>
        <w:spacing w:after="0" w:line="73" w:lineRule="exact"/>
        <w:rPr>
          <w:rFonts w:ascii="Times New Roman" w:cs="Times New Roman" w:eastAsia="Times New Roman" w:hAnsi="Times New Roman"/>
          <w:sz w:val="20"/>
          <w:szCs w:val="20"/>
          <w:color w:val="auto"/>
        </w:rPr>
      </w:pPr>
    </w:p>
    <w:p>
      <w:pPr>
        <w:ind w:left="580" w:hanging="191"/>
        <w:spacing w:after="0" w:line="250"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reported in a 2021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 MDS patients post-HSCT [median LFS of nine to 15 months and two-year survival probability of 42%].</w:t>
      </w:r>
    </w:p>
    <w:p>
      <w:pPr>
        <w:spacing w:after="0" w:line="326" w:lineRule="exact"/>
        <w:rPr>
          <w:rFonts w:ascii="Times New Roman" w:cs="Times New Roman" w:eastAsia="Times New Roman" w:hAnsi="Times New Roman"/>
          <w:sz w:val="20"/>
          <w:szCs w:val="20"/>
          <w:color w:val="auto"/>
        </w:rPr>
      </w:pPr>
    </w:p>
    <w:p>
      <w:pPr>
        <w:ind w:left="580" w:right="600" w:hanging="191"/>
        <w:spacing w:after="0" w:line="279"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eight patients were treated for active disease that was resistant to salvage therapy post-HSCT with a median of five prior lines of therapy (range: four to 10).</w:t>
      </w:r>
    </w:p>
    <w:p>
      <w:pPr>
        <w:spacing w:after="0" w:line="55" w:lineRule="exact"/>
        <w:rPr>
          <w:rFonts w:ascii="Times New Roman" w:cs="Times New Roman" w:eastAsia="Times New Roman" w:hAnsi="Times New Roman"/>
          <w:sz w:val="20"/>
          <w:szCs w:val="20"/>
          <w:color w:val="auto"/>
        </w:rPr>
      </w:pPr>
    </w:p>
    <w:p>
      <w:pPr>
        <w:ind w:left="980" w:hanging="192"/>
        <w:spacing w:after="0" w:line="262" w:lineRule="auto"/>
        <w:tabs>
          <w:tab w:leader="none" w:pos="9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of the eight patients crossed over from the adjuvant group, while two patients enrolled twice, but all three patients had active AML that failed another line of salvage therapy after their first multiTAA-specific T cell infusion.</w:t>
      </w:r>
    </w:p>
    <w:p>
      <w:pPr>
        <w:spacing w:after="0" w:line="73" w:lineRule="exact"/>
        <w:rPr>
          <w:rFonts w:ascii="Times New Roman" w:cs="Times New Roman" w:eastAsia="Times New Roman" w:hAnsi="Times New Roman"/>
          <w:sz w:val="20"/>
          <w:szCs w:val="20"/>
          <w:color w:val="auto"/>
        </w:rPr>
      </w:pPr>
    </w:p>
    <w:p>
      <w:pPr>
        <w:ind w:left="980" w:right="420" w:hanging="192"/>
        <w:spacing w:after="0" w:line="279" w:lineRule="auto"/>
        <w:tabs>
          <w:tab w:leader="none" w:pos="9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of the eight patients achieved objective responses, with one complete response and one partial response, with six patients continuing with stable disease.</w:t>
      </w:r>
    </w:p>
    <w:p>
      <w:pPr>
        <w:spacing w:after="0" w:line="55" w:lineRule="exact"/>
        <w:rPr>
          <w:rFonts w:ascii="Times New Roman" w:cs="Times New Roman" w:eastAsia="Times New Roman" w:hAnsi="Times New Roman"/>
          <w:sz w:val="20"/>
          <w:szCs w:val="20"/>
          <w:color w:val="auto"/>
        </w:rPr>
      </w:pPr>
    </w:p>
    <w:p>
      <w:pPr>
        <w:ind w:left="980" w:right="160" w:hanging="192"/>
        <w:spacing w:after="0" w:line="279" w:lineRule="auto"/>
        <w:tabs>
          <w:tab w:leader="none" w:pos="9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observed evidence of a patient’s natural immune system participating in cancer killing (epitope spreading) after infusion of our multiTAA-specific T cell therapy.</w:t>
      </w:r>
    </w:p>
    <w:p>
      <w:pPr>
        <w:spacing w:after="0" w:line="98" w:lineRule="exact"/>
        <w:rPr>
          <w:sz w:val="20"/>
          <w:szCs w:val="20"/>
          <w:color w:val="auto"/>
        </w:rPr>
      </w:pPr>
    </w:p>
    <w:p>
      <w:pPr>
        <w:ind w:right="260" w:firstLine="399"/>
        <w:spacing w:after="0" w:line="259" w:lineRule="auto"/>
        <w:rPr>
          <w:sz w:val="20"/>
          <w:szCs w:val="20"/>
          <w:color w:val="auto"/>
        </w:rPr>
      </w:pPr>
      <w:r>
        <w:rPr>
          <w:rFonts w:ascii="Times New Roman" w:cs="Times New Roman" w:eastAsia="Times New Roman" w:hAnsi="Times New Roman"/>
          <w:sz w:val="20"/>
          <w:szCs w:val="20"/>
          <w:color w:val="auto"/>
        </w:rPr>
        <w:t>The ARTEMIS trial conducted by Marker has completed in June 2021 the safety lead-in portion, which tested the comparability of MT-401 or zedenoleucel, the multiTAA-specific T cell product manufactured using peptides from two different vendors and enrolled six patients with active disease: one measurable residual disease (MRD) positive patient and five frank relapse patients.</w:t>
      </w:r>
    </w:p>
    <w:p>
      <w:pPr>
        <w:sectPr>
          <w:pgSz w:w="11880" w:h="15480" w:orient="portrait"/>
          <w:cols w:equalWidth="0" w:num="1">
            <w:col w:w="9100"/>
          </w:cols>
          <w:pgMar w:left="1400" w:top="1025" w:right="1380" w:bottom="71"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100"/>
          </w:cols>
          <w:pgMar w:left="1400" w:top="1025" w:right="1380" w:bottom="71" w:gutter="0" w:footer="0" w:header="0"/>
          <w:type w:val="continuous"/>
        </w:sectPr>
      </w:pPr>
    </w:p>
    <w:bookmarkStart w:id="7" w:name="page8"/>
    <w:bookmarkEnd w:id="7"/>
    <w:p>
      <w:pPr>
        <w:ind w:left="580" w:right="80" w:hanging="191"/>
        <w:spacing w:after="0" w:line="250"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Consistent with the results of the BCM Phase 1 trial, there were no dose-limiting toxicities, cytokine release syndrome or neurotoxicity observed in this stage of the trial, and one MRD+ patient became MRD- after infusion of MT-401. Correlative studies showed that the patient saw significant expansion of infused multiTAA-specific T cells in addition to extensive epitope spreading. There were no objective responses from the frank relapse patients. By November 2022, all six patients had completed dose-limiting toxicity (DLT) periods with no DLTs reported.</w:t>
      </w:r>
    </w:p>
    <w:p>
      <w:pPr>
        <w:spacing w:after="0" w:line="83" w:lineRule="exact"/>
        <w:rPr>
          <w:rFonts w:ascii="Times New Roman" w:cs="Times New Roman" w:eastAsia="Times New Roman" w:hAnsi="Times New Roman"/>
          <w:sz w:val="20"/>
          <w:szCs w:val="20"/>
          <w:color w:val="auto"/>
        </w:rPr>
      </w:pPr>
    </w:p>
    <w:p>
      <w:pPr>
        <w:ind w:left="580" w:hanging="191"/>
        <w:spacing w:after="0" w:line="246"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fourth quarter of 2021, the manufacturing of MT-401 for the Phase 2 trial started at the Marker Cell Therapy cGMP manufacturing facility, named MCTF01. The Company transitioned to treating patients using MT-401 manufactured with Marker’s new T cell manufacturing process. Specifically, the new process involves an improved T cell manufacturing process for MT-401 that reduces production time to 9 days (compared to the original process of &gt;30 days). This new process enabled a &gt;90% reduction in the number of operator interventions during production and an improved final T cell product candidate compared to the original product candidate used in the ARTEMIS trial. These process improvements have yielded an MT-401 product candidate that has five times the measurable specificity and four times the potency in terms of tumor killing as compared to the prior manufacturing process. We have now treated 12 patients with MT-401 manufactured using our improved manufacturing process, with 16 patients treated with MT-401 manufactured using the original process, for a total of 28 patients.</w:t>
      </w:r>
    </w:p>
    <w:p>
      <w:pPr>
        <w:spacing w:after="0" w:line="328"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completing the safety lead-in portion, we initiated the remainder of the Phase 2 trial in</w:t>
      </w:r>
    </w:p>
    <w:p>
      <w:pPr>
        <w:spacing w:after="0" w:line="3" w:lineRule="exact"/>
        <w:rPr>
          <w:rFonts w:ascii="Times New Roman" w:cs="Times New Roman" w:eastAsia="Times New Roman" w:hAnsi="Times New Roman"/>
          <w:sz w:val="20"/>
          <w:szCs w:val="20"/>
          <w:color w:val="auto"/>
        </w:rPr>
      </w:pPr>
    </w:p>
    <w:p>
      <w:pPr>
        <w:ind w:left="58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July 2021, in which we intend to enroll 210 patients at approximately 20 transplant centers. Group 1 will comprise of 150 adjuvant (disease-free) patients, with the primary endpoint of relapse-free survival of patients randomized to receive MT-401 versus a control group. Group 2 will comprise of 60 active disease patients in a single arm, with primary endpoints of complete remission and duration of complete remission.</w:t>
      </w:r>
    </w:p>
    <w:p>
      <w:pPr>
        <w:spacing w:after="0" w:line="120" w:lineRule="exact"/>
        <w:rPr>
          <w:sz w:val="20"/>
          <w:szCs w:val="20"/>
          <w:color w:val="auto"/>
        </w:rPr>
      </w:pPr>
    </w:p>
    <w:p>
      <w:pPr>
        <w:ind w:right="20" w:firstLine="399"/>
        <w:spacing w:after="0" w:line="255" w:lineRule="auto"/>
        <w:rPr>
          <w:sz w:val="20"/>
          <w:szCs w:val="20"/>
          <w:color w:val="auto"/>
        </w:rPr>
      </w:pPr>
      <w:r>
        <w:rPr>
          <w:rFonts w:ascii="Times New Roman" w:cs="Times New Roman" w:eastAsia="Times New Roman" w:hAnsi="Times New Roman"/>
          <w:sz w:val="20"/>
          <w:szCs w:val="20"/>
          <w:color w:val="auto"/>
        </w:rPr>
        <w:t>To date, a total of 11 patients in the adjuvant arm of the ARTEMIS study have been randomized to treatment with MT-401 using a new manufacturing process or to standard-of-care. All patients are too early for evaluation, but the Data Monitoring Committee has reviewed the existing safety data and has not identified any concerns.</w:t>
      </w:r>
    </w:p>
    <w:p>
      <w:pPr>
        <w:spacing w:after="0" w:line="116" w:lineRule="exact"/>
        <w:rPr>
          <w:sz w:val="20"/>
          <w:szCs w:val="20"/>
          <w:color w:val="auto"/>
        </w:rPr>
      </w:pPr>
    </w:p>
    <w:p>
      <w:pPr>
        <w:ind w:right="60" w:firstLine="399"/>
        <w:spacing w:after="0" w:line="255" w:lineRule="auto"/>
        <w:rPr>
          <w:sz w:val="20"/>
          <w:szCs w:val="20"/>
          <w:color w:val="auto"/>
        </w:rPr>
      </w:pPr>
      <w:r>
        <w:rPr>
          <w:rFonts w:ascii="Times New Roman" w:cs="Times New Roman" w:eastAsia="Times New Roman" w:hAnsi="Times New Roman"/>
          <w:sz w:val="20"/>
          <w:szCs w:val="20"/>
          <w:color w:val="auto"/>
        </w:rPr>
        <w:t>A total of four MRD+ patients have been treated and are currently evaluable. Two MRD+ patients were treated with MT-401 manufactured using the original manufacturing process and showed elimination of detectable disease. Two additional MRD+ patients were treated with MT-401 manufactured used in the improved process.</w:t>
      </w:r>
    </w:p>
    <w:p>
      <w:pPr>
        <w:spacing w:after="0" w:line="80" w:lineRule="exact"/>
        <w:rPr>
          <w:sz w:val="20"/>
          <w:szCs w:val="20"/>
          <w:color w:val="auto"/>
        </w:rPr>
      </w:pPr>
    </w:p>
    <w:p>
      <w:pPr>
        <w:ind w:left="580" w:right="1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MRD+ patient was treated at 100 x 106 cells per infusion and was able to remain in stable disease for six months, allowing the patient to bridge to a second allogeneic transplant.</w:t>
      </w:r>
    </w:p>
    <w:p>
      <w:pPr>
        <w:spacing w:after="0" w:line="55" w:lineRule="exact"/>
        <w:rPr>
          <w:rFonts w:ascii="Times New Roman" w:cs="Times New Roman" w:eastAsia="Times New Roman" w:hAnsi="Times New Roman"/>
          <w:sz w:val="20"/>
          <w:szCs w:val="20"/>
          <w:color w:val="auto"/>
        </w:rPr>
      </w:pPr>
    </w:p>
    <w:p>
      <w:pPr>
        <w:ind w:left="580" w:right="100" w:hanging="191"/>
        <w:spacing w:after="0" w:line="262"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MRD+ patient was dosed at 200 x 106 cells per infusion and the PCR value, which proved to be a valuable tool for detecting MRD, has decreased by 70% only four weeks after the last infusion. This patient’s disease status will continue to be closely monitored and evaluated.</w:t>
      </w:r>
    </w:p>
    <w:p>
      <w:pPr>
        <w:spacing w:after="0" w:line="73" w:lineRule="exact"/>
        <w:rPr>
          <w:rFonts w:ascii="Times New Roman" w:cs="Times New Roman" w:eastAsia="Times New Roman" w:hAnsi="Times New Roman"/>
          <w:sz w:val="20"/>
          <w:szCs w:val="20"/>
          <w:color w:val="auto"/>
        </w:rPr>
      </w:pPr>
    </w:p>
    <w:p>
      <w:pPr>
        <w:ind w:left="580" w:right="220" w:hanging="191"/>
        <w:spacing w:after="0" w:line="270"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fifth MRD+ patient has been treated with MT-401 manufactured used in the improved process but is too early for evaluation. Additional MRD+ patients have been enrolled and are awaiting treatment.</w:t>
      </w:r>
    </w:p>
    <w:p>
      <w:pPr>
        <w:spacing w:after="0" w:line="308"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anticipate reporting a data readout of the MRD+ patient subset in the second half of 2023.</w:t>
      </w:r>
    </w:p>
    <w:p>
      <w:pPr>
        <w:spacing w:after="0" w:line="165" w:lineRule="exact"/>
        <w:rPr>
          <w:sz w:val="20"/>
          <w:szCs w:val="20"/>
          <w:color w:val="auto"/>
        </w:rPr>
      </w:pPr>
    </w:p>
    <w:p>
      <w:pPr>
        <w:ind w:firstLine="399"/>
        <w:spacing w:after="0" w:line="262" w:lineRule="auto"/>
        <w:rPr>
          <w:sz w:val="20"/>
          <w:szCs w:val="20"/>
          <w:color w:val="auto"/>
        </w:rPr>
      </w:pPr>
      <w:r>
        <w:rPr>
          <w:rFonts w:ascii="Times New Roman" w:cs="Times New Roman" w:eastAsia="Times New Roman" w:hAnsi="Times New Roman"/>
          <w:sz w:val="20"/>
          <w:szCs w:val="20"/>
          <w:color w:val="auto"/>
        </w:rPr>
        <w:t>To date, a total of 15 frank relapse patients have been treated. In addition to the 11 patients previously reported, who were treated with MT-401 manufactured using the original manufacturing process, four additional patients have been treated with MT-401 manufactured using the improved manufacturing process.</w:t>
      </w:r>
    </w:p>
    <w:p>
      <w:pPr>
        <w:spacing w:after="0" w:line="73" w:lineRule="exact"/>
        <w:rPr>
          <w:sz w:val="20"/>
          <w:szCs w:val="20"/>
          <w:color w:val="auto"/>
        </w:rPr>
      </w:pPr>
    </w:p>
    <w:p>
      <w:pPr>
        <w:ind w:left="580" w:right="80" w:hanging="191"/>
        <w:spacing w:after="0" w:line="262"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four patients treated with the improved manufacturing process, one of these patients received a dose of 100 x 106 cells per infusion, while the other three patients were dosed at 200 x 106 cells per infusion.</w:t>
      </w:r>
    </w:p>
    <w:p>
      <w:pPr>
        <w:spacing w:after="0" w:line="7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frank relapse patients showed an objective response to therapy.</w:t>
      </w:r>
    </w:p>
    <w:p>
      <w:pPr>
        <w:spacing w:after="0" w:line="123" w:lineRule="exact"/>
        <w:rPr>
          <w:rFonts w:ascii="Times New Roman" w:cs="Times New Roman" w:eastAsia="Times New Roman" w:hAnsi="Times New Roman"/>
          <w:sz w:val="20"/>
          <w:szCs w:val="20"/>
          <w:color w:val="auto"/>
        </w:rPr>
      </w:pPr>
    </w:p>
    <w:p>
      <w:pPr>
        <w:ind w:left="580" w:right="640" w:hanging="191"/>
        <w:spacing w:after="0" w:line="279"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suspended further enrollment of frank relapse patients while re-evaluating additional modifications for this patient cohort, including potentially higher cell doses.</w:t>
      </w:r>
    </w:p>
    <w:p>
      <w:pPr>
        <w:sectPr>
          <w:pgSz w:w="11880" w:h="15480" w:orient="portrait"/>
          <w:cols w:equalWidth="0" w:num="1">
            <w:col w:w="9100"/>
          </w:cols>
          <w:pgMar w:left="1400" w:top="1025" w:right="1380" w:bottom="71"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100"/>
          </w:cols>
          <w:pgMar w:left="1400" w:top="1025" w:right="1380" w:bottom="71" w:gutter="0" w:footer="0" w:header="0"/>
          <w:type w:val="continuous"/>
        </w:sectPr>
      </w:pPr>
    </w:p>
    <w:bookmarkStart w:id="8" w:name="page9"/>
    <w:bookmarkEnd w:id="8"/>
    <w:p>
      <w:pPr>
        <w:ind w:right="520" w:firstLine="399"/>
        <w:spacing w:after="0" w:line="273" w:lineRule="auto"/>
        <w:rPr>
          <w:sz w:val="20"/>
          <w:szCs w:val="20"/>
          <w:color w:val="auto"/>
        </w:rPr>
      </w:pPr>
      <w:r>
        <w:rPr>
          <w:rFonts w:ascii="Times New Roman" w:cs="Times New Roman" w:eastAsia="Times New Roman" w:hAnsi="Times New Roman"/>
          <w:sz w:val="20"/>
          <w:szCs w:val="20"/>
          <w:color w:val="auto"/>
        </w:rPr>
        <w:t>In September 2022, we announced that we had been awarded a $2.0 million grant from the FDA’s Orphan Products Grant program to support the Company’s Phase 2 clinical trial of MT-401 for the treatment of minimal residual disease in post-transplant AML after allogeneic stem cell transplant.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Off-the-shelf MT-401 (MT-401-OTS) for the Treatment of AML</w:t>
      </w:r>
    </w:p>
    <w:p>
      <w:pPr>
        <w:spacing w:after="0" w:line="171"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We intend to expand our AML program with the development of MT-401-OTS, a scalable, off-the-shelf product candidate with the potential to provide treatment to patients in under three days. We intend to dose patients using “banked” products based on human leukocyte antigen matching. We believe our off-the-shelf platform has high scalability, where one donor has the potential to provide more than 100 patient products. Our open IND for MT-401 for the treatment of AML includes clearance of the protocol that will test the safety and efficacy of the off the shelf product in patients with AML/MDS who cannot access their HSCT donor. We are in the process of developing our patient cell bank inventory and expect to dose the first patient in 2023. We expect to expand our off-the-shelf platform into clinical trials for other hematological malignancies and solid tumors.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MT-601 for the Treatment of Pancreatic Cancer</w:t>
      </w:r>
    </w:p>
    <w:p>
      <w:pPr>
        <w:spacing w:after="0" w:line="171"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We reported interim data for an ongoing Phase 1/2 clinical trial (TACTOPS) of the multiTAA-specific T cell therapy targeting five TAAs for the treatment of pancreatic adenocarcinoma being conducted by BCM. In this trial, we have observed a clinical benefit with 4 of 13 patients (31%) showing objective responses in front-line unresectable or metastatic pancreatic cancer which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23"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recently began developing multiTAA-specific T cells in pancreatic cancer with product manufactured with two additional antigens when compared to MT-401, to which we refer as MT-601, starting at a similar dose level used in the TACTOPS study. MT-601 is a multiTAA-specific T cell product targeting six tumor-associated antigens which are highly expressed in pancreatic cancer. In January 2022, the FDA granted orphan drug designation to MT-601 for the treatment of patients with pancreatic cancer. The FDA cleared the Company’s IND application for MT-601 in November 2022 to initiate the PANACEA study, a Phase 1 multicenter clinical trial in locally advanced, unresectable or metastatic pancreatic cancer to assess the safety and efficacy of MT-601 in combination with front-line chemotherapy. We expect to initiate the PANACEA study by the fourth quarter of 2023 and to enroll a total of approximately 40 patients. The PANACEA trial will include a dose escalation portion followed by a dose expansion portion, with a dose of 200 – 400 million cells every four weeks for up to six doses.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MT-601 for the Treatment of Lymphoma</w:t>
      </w:r>
    </w:p>
    <w:p>
      <w:pPr>
        <w:spacing w:after="0" w:line="171" w:lineRule="exact"/>
        <w:rPr>
          <w:sz w:val="20"/>
          <w:szCs w:val="20"/>
          <w:color w:val="auto"/>
        </w:rPr>
      </w:pPr>
    </w:p>
    <w:p>
      <w:pPr>
        <w:ind w:right="80" w:firstLine="399"/>
        <w:spacing w:after="0" w:line="264" w:lineRule="auto"/>
        <w:rPr>
          <w:sz w:val="20"/>
          <w:szCs w:val="20"/>
          <w:color w:val="auto"/>
        </w:rPr>
      </w:pPr>
      <w:r>
        <w:rPr>
          <w:rFonts w:ascii="Times New Roman" w:cs="Times New Roman" w:eastAsia="Times New Roman" w:hAnsi="Times New Roman"/>
          <w:sz w:val="20"/>
          <w:szCs w:val="20"/>
          <w:color w:val="auto"/>
        </w:rPr>
        <w:t>We are also pursuing the development of MT-601 for the treatment of lymphoma. In August 2022, the FDA cleared the Company’s IND application for MT-601 for the treatment of patients with relapsed/ refractory non-Hodgkin lymphoma who have failed or are ineligible to receive anti-CD19 CAR T cell treatment. The Phase 1 clinical trial, named APOLLO study, was initiated in the first quarter of 2023, and we anticipate reporting a clinical readout in the first quarter of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Clinical Development of multiTAA-Specific T Cell Therapies</w:t>
      </w:r>
    </w:p>
    <w:p>
      <w:pPr>
        <w:spacing w:after="0" w:line="169"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are also evaluating the multiTAA-specific T cell therapies in a Phase 2 clinical trial for the treatment of breast cancer and in Phase 1 clinical trials for the treatment of ALL, lymphoma, multiple myeloma, or MM, and sarcoma, all of which are being conducted by BCM. As of June 2021, the multiTAA-specific T cell therapies were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and the emergence of any new variant strains of COVID-19. Based on our observations in clinical</w:t>
      </w:r>
    </w:p>
    <w:p>
      <w:pPr>
        <w:sectPr>
          <w:pgSz w:w="11880" w:h="15480" w:orient="portrait"/>
          <w:cols w:equalWidth="0" w:num="1">
            <w:col w:w="9100"/>
          </w:cols>
          <w:pgMar w:left="1400" w:top="1025" w:right="1380" w:bottom="69"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100"/>
          </w:cols>
          <w:pgMar w:left="1400" w:top="1025" w:right="1380" w:bottom="69" w:gutter="0" w:footer="0" w:header="0"/>
          <w:type w:val="continuous"/>
        </w:sectPr>
      </w:pPr>
    </w:p>
    <w:bookmarkStart w:id="9" w:name="page10"/>
    <w:bookmarkEnd w:id="9"/>
    <w:p>
      <w:pPr>
        <w:ind w:left="10"/>
        <w:spacing w:after="0" w:line="267" w:lineRule="auto"/>
        <w:rPr>
          <w:sz w:val="20"/>
          <w:szCs w:val="20"/>
          <w:color w:val="auto"/>
        </w:rPr>
      </w:pPr>
      <w:r>
        <w:rPr>
          <w:rFonts w:ascii="Times New Roman" w:cs="Times New Roman" w:eastAsia="Times New Roman" w:hAnsi="Times New Roman"/>
          <w:sz w:val="20"/>
          <w:szCs w:val="20"/>
          <w:color w:val="auto"/>
        </w:rPr>
        <w:t>trials in AML, pancreatic cancer, lymphoma, ALL and MM, we believe that the multiTAA-specific T cell therapies have the potential to mediate a meaningful anti-tumor effect, as well as significant in vivo expansion of T cells.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Pipeline</w:t>
      </w:r>
    </w:p>
    <w:p>
      <w:pPr>
        <w:spacing w:after="0" w:line="171" w:lineRule="exact"/>
        <w:rPr>
          <w:sz w:val="20"/>
          <w:szCs w:val="20"/>
          <w:color w:val="auto"/>
        </w:rPr>
      </w:pPr>
    </w:p>
    <w:p>
      <w:pPr>
        <w:ind w:left="10" w:right="180" w:firstLine="399"/>
        <w:spacing w:after="0" w:line="284" w:lineRule="auto"/>
        <w:rPr>
          <w:sz w:val="20"/>
          <w:szCs w:val="20"/>
          <w:color w:val="auto"/>
        </w:rPr>
      </w:pPr>
      <w:r>
        <w:rPr>
          <w:rFonts w:ascii="Times New Roman" w:cs="Times New Roman" w:eastAsia="Times New Roman" w:hAnsi="Times New Roman"/>
          <w:sz w:val="20"/>
          <w:szCs w:val="20"/>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85090</wp:posOffset>
            </wp:positionV>
            <wp:extent cx="5439410" cy="2816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5439410" cy="281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71" w:lineRule="exact"/>
        <w:rPr>
          <w:sz w:val="20"/>
          <w:szCs w:val="20"/>
          <w:color w:val="auto"/>
        </w:rPr>
      </w:pPr>
    </w:p>
    <w:p>
      <w:pPr>
        <w:jc w:val="both"/>
        <w:ind w:left="10" w:right="220" w:firstLine="399"/>
        <w:spacing w:after="0" w:line="267" w:lineRule="auto"/>
        <w:rPr>
          <w:sz w:val="20"/>
          <w:szCs w:val="20"/>
          <w:color w:val="auto"/>
        </w:rPr>
      </w:pPr>
      <w:r>
        <w:rPr>
          <w:rFonts w:ascii="Times New Roman" w:cs="Times New Roman" w:eastAsia="Times New Roman" w:hAnsi="Times New Roman"/>
          <w:sz w:val="20"/>
          <w:szCs w:val="20"/>
          <w:color w:val="auto"/>
        </w:rPr>
        <w:t>Our multiTAA-specific T cells are designed to enhance the capacity of non-engineered T cells to find and kill cancer by increasing the diversity and quantity of naturally occurring cancer killing T cells within the patient.</w:t>
      </w:r>
    </w:p>
    <w:p>
      <w:pPr>
        <w:spacing w:after="0" w:line="111" w:lineRule="exact"/>
        <w:rPr>
          <w:sz w:val="20"/>
          <w:szCs w:val="20"/>
          <w:color w:val="auto"/>
        </w:rPr>
      </w:pPr>
    </w:p>
    <w:p>
      <w:pPr>
        <w:ind w:left="10" w:right="180" w:firstLine="399"/>
        <w:spacing w:after="0" w:line="258" w:lineRule="auto"/>
        <w:rPr>
          <w:sz w:val="20"/>
          <w:szCs w:val="20"/>
          <w:color w:val="auto"/>
        </w:rPr>
      </w:pPr>
      <w:r>
        <w:rPr>
          <w:rFonts w:ascii="Times New Roman" w:cs="Times New Roman" w:eastAsia="Times New Roman" w:hAnsi="Times New Roman"/>
          <w:sz w:val="20"/>
          <w:szCs w:val="20"/>
          <w:color w:val="auto"/>
        </w:rPr>
        <w:t>Our goal is to be the leader in the development and commercialization of transformative immunotherapies for the treatment of hematological malignancies and solid tumors. We are developing a portfolio of highly differentiated T cell therapies utilizing the multiTAA-specific T cell platform that we believe has the potential to significantly disrupt the current cell therapy landscape, while substantially improving survival and quality of life for patients with cancers.</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key elements of our strategy include:</w:t>
      </w:r>
    </w:p>
    <w:p>
      <w:pPr>
        <w:spacing w:after="0" w:line="130" w:lineRule="exact"/>
        <w:rPr>
          <w:sz w:val="20"/>
          <w:szCs w:val="20"/>
          <w:color w:val="auto"/>
        </w:rPr>
      </w:pPr>
    </w:p>
    <w:p>
      <w:pPr>
        <w:ind w:left="190" w:hanging="190"/>
        <w:spacing w:after="0"/>
        <w:tabs>
          <w:tab w:leader="none" w:pos="1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Expedite clinical development, regulatory approval, and commercialization of our lead product candidates.</w:t>
      </w:r>
    </w:p>
    <w:p>
      <w:pPr>
        <w:spacing w:after="0" w:line="168"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Based on the results of the Phase 1 clinical trials of the multiTAA-specific T cell therapies conducted at BCM, we plan to advance our lead product candidates into Phase 2 clinical trials and facilitate the initiation of company-sponsored clinical trials. We are pursuing post-transplant AML as the lead indication for the multiTAA-specific T cell program. We completed the safety lead-in portion of our Phase 2 trial of MT-401 in post-transplant AML in June 2021 and initiated the remainder of the Phase 2 trial in July 2021. We initiated a Phase 1 trial of MT-601 in non-Hodgkin lymphoma in the first quarter of 2023.</w:t>
      </w:r>
    </w:p>
    <w:p>
      <w:pPr>
        <w:spacing w:after="0" w:line="125" w:lineRule="exact"/>
        <w:rPr>
          <w:sz w:val="20"/>
          <w:szCs w:val="20"/>
          <w:color w:val="auto"/>
        </w:rPr>
      </w:pPr>
    </w:p>
    <w:p>
      <w:pPr>
        <w:ind w:left="10" w:right="100" w:firstLine="399"/>
        <w:spacing w:after="0" w:line="261" w:lineRule="auto"/>
        <w:rPr>
          <w:sz w:val="20"/>
          <w:szCs w:val="20"/>
          <w:color w:val="auto"/>
        </w:rPr>
      </w:pPr>
      <w:r>
        <w:rPr>
          <w:rFonts w:ascii="Times New Roman" w:cs="Times New Roman" w:eastAsia="Times New Roman" w:hAnsi="Times New Roman"/>
          <w:sz w:val="20"/>
          <w:szCs w:val="20"/>
          <w:color w:val="auto"/>
        </w:rPr>
        <w:t>We plan to initiate future additional clinical trials in other tumor types based on emerging data. Our current Good Manufacturing Practices, or cGMP, manufacturing facility in Houston, Texas is fully operational to support our clinical manufacturing. Before our new facility was operational, clinical product manufacturing was conducted at BCM’s GMP cell manufacturing facility.</w:t>
      </w:r>
    </w:p>
    <w:p>
      <w:pPr>
        <w:sectPr>
          <w:pgSz w:w="11880" w:h="15480" w:orient="portrait"/>
          <w:cols w:equalWidth="0" w:num="1">
            <w:col w:w="9110"/>
          </w:cols>
          <w:pgMar w:left="139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110"/>
          </w:cols>
          <w:pgMar w:left="1390" w:top="1025" w:right="1380" w:bottom="70" w:gutter="0" w:footer="0" w:header="0"/>
          <w:type w:val="continuous"/>
        </w:sectPr>
      </w:pPr>
    </w:p>
    <w:bookmarkStart w:id="10" w:name="page11"/>
    <w:bookmarkEnd w:id="10"/>
    <w:p>
      <w:pPr>
        <w:ind w:left="190" w:right="280" w:hanging="190"/>
        <w:spacing w:after="0" w:line="279" w:lineRule="auto"/>
        <w:tabs>
          <w:tab w:leader="none" w:pos="19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Continue to collaborate with our partners and increase our internal research and development activities to improve and develop adoptive cell therapy technologies.</w:t>
      </w:r>
    </w:p>
    <w:p>
      <w:pPr>
        <w:spacing w:after="0" w:line="99"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We are party to a strategic alliance with BCM, pursuant to which we will sponsor selected research at BCM in support of our technology. In conjunction with this strategic alliance, BCM will conduct selected Phase 1 and Phase 2 clinical trials of our product candidates. If data from these early clinical trials are positive, we will consider the therapeutic and commercial potential for such therapies to be advanced as new product candidates for us.</w:t>
      </w:r>
    </w:p>
    <w:p>
      <w:pPr>
        <w:spacing w:after="0" w:line="120" w:lineRule="exact"/>
        <w:rPr>
          <w:sz w:val="20"/>
          <w:szCs w:val="20"/>
          <w:color w:val="auto"/>
        </w:rPr>
      </w:pPr>
    </w:p>
    <w:p>
      <w:pPr>
        <w:ind w:left="10" w:firstLine="399"/>
        <w:spacing w:after="0" w:line="251" w:lineRule="auto"/>
        <w:rPr>
          <w:sz w:val="20"/>
          <w:szCs w:val="20"/>
          <w:color w:val="auto"/>
        </w:rPr>
      </w:pPr>
      <w:r>
        <w:rPr>
          <w:rFonts w:ascii="Times New Roman" w:cs="Times New Roman" w:eastAsia="Times New Roman" w:hAnsi="Times New Roman"/>
          <w:sz w:val="20"/>
          <w:szCs w:val="20"/>
          <w:color w:val="auto"/>
        </w:rPr>
        <w:t>In addition, we plan to use our company laboratories to enable the process development required to support the Phase 2 clinical trials of our product candidates. We have invested, and plan to continue to invest in our own research and development and chemistry, manufacturing and controls, or CMC, capabilities to enhance our ability to conduct process development to optimize our manufacturing process, product quality and commercial scalability. For instance, we optimized the multiTAA-specific T cell manufacturing process by closing the system and reducing the total manufacturing time from the original 36 days (BCM) to nine days. The improved manufacturing process has been implemented to supply all of the clinical products used in our current company-sponsored Phase 1 and Phase 2 trials. The improved manufacturing process enables products with increased antigen specificity and diversity, both of which have a strong linear correlation to anti-tumor activity and four-fold increase in potency in vitro.</w:t>
      </w:r>
    </w:p>
    <w:p>
      <w:pPr>
        <w:spacing w:after="0" w:line="90" w:lineRule="exact"/>
        <w:rPr>
          <w:sz w:val="20"/>
          <w:szCs w:val="20"/>
          <w:color w:val="auto"/>
        </w:rPr>
      </w:pPr>
    </w:p>
    <w:p>
      <w:pPr>
        <w:ind w:left="190" w:hanging="190"/>
        <w:spacing w:after="0"/>
        <w:tabs>
          <w:tab w:leader="none" w:pos="1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Invest in our platform to maximize the beneficial outcomes for cancer patients.</w:t>
      </w:r>
    </w:p>
    <w:p>
      <w:pPr>
        <w:spacing w:after="0" w:line="166" w:lineRule="exact"/>
        <w:rPr>
          <w:sz w:val="20"/>
          <w:szCs w:val="20"/>
          <w:color w:val="auto"/>
        </w:rPr>
      </w:pPr>
    </w:p>
    <w:p>
      <w:pPr>
        <w:ind w:left="10" w:right="80" w:firstLine="399"/>
        <w:spacing w:after="0" w:line="256" w:lineRule="auto"/>
        <w:rPr>
          <w:sz w:val="20"/>
          <w:szCs w:val="20"/>
          <w:color w:val="auto"/>
        </w:rPr>
      </w:pPr>
      <w:r>
        <w:rPr>
          <w:rFonts w:ascii="Times New Roman" w:cs="Times New Roman" w:eastAsia="Times New Roman" w:hAnsi="Times New Roman"/>
          <w:sz w:val="20"/>
          <w:szCs w:val="20"/>
          <w:color w:val="auto"/>
        </w:rPr>
        <w:t>We plan to explore new product opportunities by increasing and/or customizing the antigens we target to expand the indications in which the multiTAA-specific 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81" w:lineRule="exact"/>
        <w:rPr>
          <w:sz w:val="20"/>
          <w:szCs w:val="20"/>
          <w:color w:val="auto"/>
        </w:rPr>
      </w:pPr>
    </w:p>
    <w:p>
      <w:pPr>
        <w:ind w:left="190" w:hanging="190"/>
        <w:spacing w:after="0"/>
        <w:tabs>
          <w:tab w:leader="none" w:pos="1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Leverage our relationships with our founding institutions, scientific founders and other scientific advisors.</w:t>
      </w:r>
    </w:p>
    <w:p>
      <w:pPr>
        <w:spacing w:after="0" w:line="166"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Background and History of Cancer Immunotherapies</w:t>
      </w:r>
    </w:p>
    <w:p>
      <w:pPr>
        <w:spacing w:after="0" w:line="169"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28" w:lineRule="exact"/>
        <w:rPr>
          <w:sz w:val="20"/>
          <w:szCs w:val="20"/>
          <w:color w:val="auto"/>
        </w:rPr>
      </w:pPr>
    </w:p>
    <w:p>
      <w:pPr>
        <w:ind w:left="10" w:firstLine="399"/>
        <w:spacing w:after="0" w:line="255" w:lineRule="auto"/>
        <w:rPr>
          <w:sz w:val="20"/>
          <w:szCs w:val="20"/>
          <w:color w:val="auto"/>
        </w:rPr>
      </w:pPr>
      <w:r>
        <w:rPr>
          <w:rFonts w:ascii="Times New Roman" w:cs="Times New Roman" w:eastAsia="Times New Roman" w:hAnsi="Times New Roman"/>
          <w:sz w:val="20"/>
          <w:szCs w:val="20"/>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365" w:lineRule="exact"/>
        <w:rPr>
          <w:sz w:val="20"/>
          <w:szCs w:val="20"/>
          <w:color w:val="auto"/>
        </w:rPr>
      </w:pPr>
    </w:p>
    <w:p>
      <w:pPr>
        <w:ind w:left="10" w:right="80" w:firstLine="399"/>
        <w:spacing w:after="0" w:line="267" w:lineRule="auto"/>
        <w:rPr>
          <w:sz w:val="20"/>
          <w:szCs w:val="20"/>
          <w:color w:val="auto"/>
        </w:rPr>
      </w:pPr>
      <w:r>
        <w:rPr>
          <w:rFonts w:ascii="Times New Roman" w:cs="Times New Roman" w:eastAsia="Times New Roman" w:hAnsi="Times New Roman"/>
          <w:sz w:val="20"/>
          <w:szCs w:val="20"/>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w:t>
      </w:r>
    </w:p>
    <w:p>
      <w:pPr>
        <w:sectPr>
          <w:pgSz w:w="11880" w:h="15480" w:orient="portrait"/>
          <w:cols w:equalWidth="0" w:num="1">
            <w:col w:w="9110"/>
          </w:cols>
          <w:pgMar w:left="1390" w:top="1026" w:right="1380" w:bottom="70" w:gutter="0" w:footer="0" w:header="0"/>
        </w:sectPr>
      </w:pPr>
    </w:p>
    <w:p>
      <w:pPr>
        <w:spacing w:after="0" w:line="2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110"/>
          </w:cols>
          <w:pgMar w:left="1390" w:top="1026" w:right="1380" w:bottom="70" w:gutter="0" w:footer="0" w:header="0"/>
          <w:type w:val="continuous"/>
        </w:sectPr>
      </w:pPr>
    </w:p>
    <w:bookmarkStart w:id="11" w:name="page12"/>
    <w:bookmarkEnd w:id="11"/>
    <w:p>
      <w:pPr>
        <w:ind w:right="420"/>
        <w:spacing w:after="0" w:line="279" w:lineRule="auto"/>
        <w:rPr>
          <w:sz w:val="20"/>
          <w:szCs w:val="20"/>
          <w:color w:val="auto"/>
        </w:rPr>
      </w:pPr>
      <w:r>
        <w:rPr>
          <w:rFonts w:ascii="Times New Roman" w:cs="Times New Roman" w:eastAsia="Times New Roman" w:hAnsi="Times New Roman"/>
          <w:sz w:val="20"/>
          <w:szCs w:val="20"/>
          <w:color w:val="auto"/>
        </w:rPr>
        <w:t>effects associated with current treatments and have the potential to be effective regardless of the type of previous treatments patients have experienced.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 Cell Therapy Overview</w:t>
      </w:r>
    </w:p>
    <w:p>
      <w:pPr>
        <w:spacing w:after="0" w:line="166"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The field of adoptive cell transfer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35"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spacing w:after="0" w:line="125"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(helper) and CD8</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374"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have observed evidence of “epitope spreading” in our clinical trials, suggesting that the multiTAA-specific T cell therapy is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MultiTAA-Specific T Cell Therapies</w:t>
      </w:r>
    </w:p>
    <w:p>
      <w:pPr>
        <w:spacing w:after="0" w:line="169" w:lineRule="exact"/>
        <w:rPr>
          <w:sz w:val="20"/>
          <w:szCs w:val="20"/>
          <w:color w:val="auto"/>
        </w:rPr>
      </w:pPr>
    </w:p>
    <w:p>
      <w:pPr>
        <w:ind w:right="60" w:firstLine="399"/>
        <w:spacing w:after="0" w:line="282" w:lineRule="auto"/>
        <w:rPr>
          <w:sz w:val="20"/>
          <w:szCs w:val="20"/>
          <w:color w:val="auto"/>
        </w:rPr>
      </w:pPr>
      <w:r>
        <w:rPr>
          <w:rFonts w:ascii="Times New Roman" w:cs="Times New Roman" w:eastAsia="Times New Roman" w:hAnsi="Times New Roman"/>
          <w:sz w:val="20"/>
          <w:szCs w:val="20"/>
          <w:color w:val="auto"/>
        </w:rPr>
        <w:t>In collaboration with BCM, we are advancing three multiTAA-specific T cell therapies through clinical development:</w:t>
      </w:r>
    </w:p>
    <w:p>
      <w:pPr>
        <w:spacing w:after="0" w:line="54" w:lineRule="exact"/>
        <w:rPr>
          <w:sz w:val="20"/>
          <w:szCs w:val="20"/>
          <w:color w:val="auto"/>
        </w:rPr>
      </w:pPr>
    </w:p>
    <w:p>
      <w:pPr>
        <w:ind w:left="580" w:right="40" w:hanging="191"/>
        <w:spacing w:after="0" w:line="264" w:lineRule="auto"/>
        <w:tabs>
          <w:tab w:leader="none" w:pos="5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Autologous multiTAA-specific T cell therapies </w:t>
      </w:r>
      <w:r>
        <w:rPr>
          <w:rFonts w:ascii="Times New Roman" w:cs="Times New Roman" w:eastAsia="Times New Roman" w:hAnsi="Times New Roman"/>
          <w:sz w:val="20"/>
          <w:szCs w:val="20"/>
          <w:color w:val="auto"/>
        </w:rPr>
        <w:t>target the NY-ESO-1, PRAME, MAGE-A4, Survivin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SSX2 antigens. We recently reported updated clinical data from BCM’s Phase 1/2 clinical trial of the autologous multiTAA therapy for the treatment of patients with pancreatic cancer, and we are</w:t>
      </w:r>
    </w:p>
    <w:p>
      <w:pPr>
        <w:sectPr>
          <w:pgSz w:w="11880" w:h="15480" w:orient="portrait"/>
          <w:cols w:equalWidth="0" w:num="1">
            <w:col w:w="9100"/>
          </w:cols>
          <w:pgMar w:left="1400" w:top="1025" w:right="1380" w:bottom="70" w:gutter="0" w:footer="0" w:header="0"/>
        </w:sect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100"/>
          </w:cols>
          <w:pgMar w:left="1400" w:top="1025" w:right="1380" w:bottom="70" w:gutter="0" w:footer="0" w:header="0"/>
          <w:type w:val="continuous"/>
        </w:sectPr>
      </w:pPr>
    </w:p>
    <w:bookmarkStart w:id="12" w:name="page13"/>
    <w:bookmarkEnd w:id="12"/>
    <w:p>
      <w:pPr>
        <w:ind w:left="580" w:right="380"/>
        <w:spacing w:after="0" w:line="294" w:lineRule="auto"/>
        <w:rPr>
          <w:sz w:val="20"/>
          <w:szCs w:val="20"/>
          <w:color w:val="auto"/>
        </w:rPr>
      </w:pPr>
      <w:r>
        <w:rPr>
          <w:rFonts w:ascii="Times New Roman" w:cs="Times New Roman" w:eastAsia="Times New Roman" w:hAnsi="Times New Roman"/>
          <w:sz w:val="20"/>
          <w:szCs w:val="20"/>
          <w:color w:val="auto"/>
        </w:rPr>
        <w:t>currently evaluating these therapies for the treatment of patients with lymphoma, pancreatic and other selected solid tumors in Phase 1 trials.</w:t>
      </w:r>
    </w:p>
    <w:p>
      <w:pPr>
        <w:spacing w:after="0" w:line="69" w:lineRule="exact"/>
        <w:rPr>
          <w:sz w:val="20"/>
          <w:szCs w:val="20"/>
          <w:color w:val="auto"/>
        </w:rPr>
      </w:pPr>
    </w:p>
    <w:p>
      <w:pPr>
        <w:ind w:left="580" w:right="80" w:hanging="191"/>
        <w:spacing w:after="0" w:line="271" w:lineRule="auto"/>
        <w:tabs>
          <w:tab w:leader="none" w:pos="5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Allogeneic multiTAA-specific T cell therapies </w:t>
      </w:r>
      <w:r>
        <w:rPr>
          <w:rFonts w:ascii="Times New Roman" w:cs="Times New Roman" w:eastAsia="Times New Roman" w:hAnsi="Times New Roman"/>
          <w:sz w:val="20"/>
          <w:szCs w:val="20"/>
          <w:color w:val="auto"/>
        </w:rPr>
        <w:t>target the WT1, NY-ESO-1, PRAME, and Survivin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antigens. The stem cell transplant donor is used as the source of the cells manufactured for our allogeneic therapies. We are pursuing post-transplant AML as the lead indication for the multiTAA-specific T cell program using our allogeneic therapies.</w:t>
      </w:r>
    </w:p>
    <w:p>
      <w:pPr>
        <w:spacing w:after="0" w:line="92" w:lineRule="exact"/>
        <w:rPr>
          <w:rFonts w:ascii="Times New Roman" w:cs="Times New Roman" w:eastAsia="Times New Roman" w:hAnsi="Times New Roman"/>
          <w:sz w:val="20"/>
          <w:szCs w:val="20"/>
          <w:color w:val="auto"/>
        </w:rPr>
      </w:pPr>
    </w:p>
    <w:p>
      <w:pPr>
        <w:ind w:left="580" w:hanging="191"/>
        <w:spacing w:after="0" w:line="271" w:lineRule="auto"/>
        <w:tabs>
          <w:tab w:leader="none" w:pos="5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Off-the-shelf multiTAA-specific T cell therapies </w:t>
      </w:r>
      <w:r>
        <w:rPr>
          <w:rFonts w:ascii="Times New Roman" w:cs="Times New Roman" w:eastAsia="Times New Roman" w:hAnsi="Times New Roman"/>
          <w:sz w:val="20"/>
          <w:szCs w:val="20"/>
          <w:color w:val="auto"/>
        </w:rPr>
        <w:t>— We plan to enroll patients that will be matched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pre-manufactured inventory of MT-401-OTS products based on their human leukocyte antigen, or HLA. Because the MT-401-OTS product inventory is pre-manufactured, the T cell product is delivered to the patient in a significantly shorter amount of time than a patient-specific T cell product.</w:t>
      </w:r>
    </w:p>
    <w:p>
      <w:pPr>
        <w:spacing w:after="0" w:line="132" w:lineRule="exact"/>
        <w:rPr>
          <w:sz w:val="20"/>
          <w:szCs w:val="20"/>
          <w:color w:val="auto"/>
        </w:rPr>
      </w:pPr>
    </w:p>
    <w:p>
      <w:pPr>
        <w:ind w:firstLine="399"/>
        <w:spacing w:after="0" w:line="294" w:lineRule="auto"/>
        <w:rPr>
          <w:sz w:val="20"/>
          <w:szCs w:val="20"/>
          <w:color w:val="auto"/>
        </w:rPr>
      </w:pPr>
      <w:r>
        <w:rPr>
          <w:rFonts w:ascii="Times New Roman" w:cs="Times New Roman" w:eastAsia="Times New Roman" w:hAnsi="Times New Roman"/>
          <w:sz w:val="20"/>
          <w:szCs w:val="20"/>
          <w:color w:val="auto"/>
        </w:rPr>
        <w:t>While the blood source and the antigens for stimulation differ between the autologous, allogeneic and off-the-shelf therapies, the manufacturing process for each product is identical.</w:t>
      </w:r>
    </w:p>
    <w:p>
      <w:pPr>
        <w:spacing w:after="0" w:line="109" w:lineRule="exact"/>
        <w:rPr>
          <w:sz w:val="20"/>
          <w:szCs w:val="20"/>
          <w:color w:val="auto"/>
        </w:rPr>
      </w:pPr>
    </w:p>
    <w:p>
      <w:pPr>
        <w:ind w:right="160" w:firstLine="399"/>
        <w:spacing w:after="0" w:line="275" w:lineRule="auto"/>
        <w:rPr>
          <w:sz w:val="20"/>
          <w:szCs w:val="20"/>
          <w:color w:val="auto"/>
        </w:rPr>
      </w:pPr>
      <w:r>
        <w:rPr>
          <w:rFonts w:ascii="Times New Roman" w:cs="Times New Roman" w:eastAsia="Times New Roman" w:hAnsi="Times New Roman"/>
          <w:sz w:val="20"/>
          <w:szCs w:val="20"/>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265430</wp:posOffset>
            </wp:positionV>
            <wp:extent cx="2894965" cy="2123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2894965" cy="212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60" w:firstLine="399"/>
        <w:spacing w:after="0" w:line="268" w:lineRule="auto"/>
        <w:rPr>
          <w:sz w:val="20"/>
          <w:szCs w:val="20"/>
          <w:color w:val="auto"/>
        </w:rPr>
      </w:pPr>
      <w:r>
        <w:rPr>
          <w:rFonts w:ascii="Times New Roman" w:cs="Times New Roman" w:eastAsia="Times New Roman" w:hAnsi="Times New Roman"/>
          <w:sz w:val="20"/>
          <w:szCs w:val="20"/>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37"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Our solution to the problem of tumor heterogeneity is the development of T cell products that simultaneously attack multiple tumor-expressed antigens and thereby enable more complete initial tumor targeting, thus minimizing the subsequent opportunity for the cancer to engage escape mechanisms. Of note, data suggest that this strategy may be responsible for recruitment and activation of unique cancer-killing cells from the patient’s own immune repertoire to participate in cancer eradication, further minimizing the possibility for tumor cell escape.</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100"/>
          </w:cols>
          <w:pgMar w:left="1400" w:top="1025" w:right="1380" w:bottom="7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2403475</wp:posOffset>
            </wp:positionH>
            <wp:positionV relativeFrom="page">
              <wp:posOffset>678180</wp:posOffset>
            </wp:positionV>
            <wp:extent cx="2742565" cy="2022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42565" cy="202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firstLine="399"/>
        <w:spacing w:after="0" w:line="260" w:lineRule="auto"/>
        <w:rPr>
          <w:sz w:val="20"/>
          <w:szCs w:val="20"/>
          <w:color w:val="auto"/>
        </w:rPr>
      </w:pPr>
      <w:r>
        <w:rPr>
          <w:rFonts w:ascii="Times New Roman" w:cs="Times New Roman" w:eastAsia="Times New Roman" w:hAnsi="Times New Roman"/>
          <w:sz w:val="20"/>
          <w:szCs w:val="20"/>
          <w:color w:val="auto"/>
        </w:rPr>
        <w:t>We believe our proprietary multiTAA-specific T cell platform may have meaningful advantages over current CAR and TCR-engineered cell therapy approaches. Compared to current gene-modified T cell therapies, the multiTAA-specific T cell product candidates are characterized by the following: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Clinical benefits observed in early-stage clinical trials in multiple cancer indications.</w:t>
      </w:r>
    </w:p>
    <w:p>
      <w:pPr>
        <w:spacing w:after="0" w:line="165"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Based on our observations in clinical trials in AML, pancreatic cancer, lymphoma, ALL and MM, we believe that the multiTAA-specific T cell therapies have the potential to mediate a meaningful anti-tumor effect, as well as significant in vivo expansion of T cells. For example, in BCM’s Phase 1 clinical trial in lymphoma, there were complete responses, or CRs, in six of the fifteen evaluable patients with active disease. Significantly, no patient with a CR has subsequently relapsed with disease, whereas typically 30% or more of patients with CR in reported CAR-T studies relapse within one year. In patient results to date in this trial, observed therapeutic responses appear to be highly durable, with some patients being relapse-free beyond five years.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Non-gene modified.</w:t>
      </w:r>
    </w:p>
    <w:p>
      <w:pPr>
        <w:spacing w:after="0" w:line="165"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Unlike CAR and TCR-based approaches, the multiTAA-specific T cell therapy does not require genetic modification of T cells, a costly and complex process that significantly complicates the manufacturing of a patient product. We believe our multiTAA-specific T cell therapy can be manufactured at a fraction of the cost of a gene-modified T cell product, with substantially reduced complexity of manufacturing.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No need for lymphodepletion before infusion.</w:t>
      </w:r>
    </w:p>
    <w:p>
      <w:pPr>
        <w:spacing w:after="0" w:line="167" w:lineRule="exact"/>
        <w:rPr>
          <w:sz w:val="20"/>
          <w:szCs w:val="20"/>
          <w:color w:val="auto"/>
        </w:rPr>
      </w:pPr>
    </w:p>
    <w:p>
      <w:pPr>
        <w:jc w:val="both"/>
        <w:ind w:right="20" w:firstLine="399"/>
        <w:spacing w:after="0" w:line="262" w:lineRule="auto"/>
        <w:rPr>
          <w:sz w:val="20"/>
          <w:szCs w:val="20"/>
          <w:color w:val="auto"/>
        </w:rPr>
      </w:pPr>
      <w:r>
        <w:rPr>
          <w:rFonts w:ascii="Times New Roman" w:cs="Times New Roman" w:eastAsia="Times New Roman" w:hAnsi="Times New Roman"/>
          <w:sz w:val="20"/>
          <w:szCs w:val="20"/>
          <w:color w:val="auto"/>
        </w:rPr>
        <w:t>Unlike CAR-T therapies, which require lymphodepletion of a patient’s existing T cells so that they will not compete with the infused therapy, the multiTAA-specific T cell therapies work with the natural capabilities of T cells to target cancer and do not require lymphodepletion prior to infusion.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Low incidence rate of adverse events.</w:t>
      </w:r>
    </w:p>
    <w:p>
      <w:pPr>
        <w:spacing w:after="0" w:line="167"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As of January 2022, the multiTAA-specific T cell therapy was generally well tolerated by all of the patients enrolled in clinical trials in hematological and solid tumor indications with no incidences of cytokine release syndrome or neurotoxicity. This appears to compare favorably with published CD19 CAR-T studies that have been associated with substantial tolerability concerns, including one Phase 1 trial in which 95% of patients had Grade 3 or higher adverse events during treatment.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Appears to drive endogenous immune responses.</w:t>
      </w:r>
    </w:p>
    <w:p>
      <w:pPr>
        <w:spacing w:after="0" w:line="167"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In our clinical trials, we have observed evidence of “epitope spreading” in the treated patients, meaning that the multiTAA-specific T cell therapy is potentially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ectPr>
          <w:pgSz w:w="11880" w:h="15480" w:orient="portrait"/>
          <w:cols w:equalWidth="0" w:num="1">
            <w:col w:w="9100"/>
          </w:cols>
          <w:pgMar w:left="1400" w:top="1440" w:right="1380" w:bottom="71" w:gutter="0" w:footer="0" w:header="0"/>
        </w:sect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100"/>
          </w:cols>
          <w:pgMar w:left="1400" w:top="1440" w:right="1380" w:bottom="71" w:gutter="0" w:footer="0" w:header="0"/>
          <w:type w:val="continuous"/>
        </w:sectPr>
      </w:pPr>
    </w:p>
    <w:bookmarkStart w:id="14" w:name="page15"/>
    <w:bookmarkEnd w:id="14"/>
    <w:p>
      <w:pPr>
        <w:ind w:left="10"/>
        <w:spacing w:after="0"/>
        <w:rPr>
          <w:sz w:val="20"/>
          <w:szCs w:val="20"/>
          <w:color w:val="auto"/>
        </w:rPr>
      </w:pPr>
      <w:r>
        <w:rPr>
          <w:rFonts w:ascii="Times New Roman" w:cs="Times New Roman" w:eastAsia="Times New Roman" w:hAnsi="Times New Roman"/>
          <w:sz w:val="20"/>
          <w:szCs w:val="20"/>
          <w:b w:val="1"/>
          <w:bCs w:val="1"/>
          <w:color w:val="auto"/>
        </w:rPr>
        <w:t>•  Capable of addressing a broad repertoire of cancer cells.</w:t>
      </w:r>
    </w:p>
    <w:p>
      <w:pPr>
        <w:spacing w:after="0" w:line="161"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five different tumor-associated antigens. The five antigen targets can be recognized by a very wide range of T cells, which we believe facilitates robust killing of targeted cancer cells.</w:t>
      </w:r>
    </w:p>
    <w:p>
      <w:pPr>
        <w:spacing w:after="0" w:line="200" w:lineRule="exact"/>
        <w:rPr>
          <w:sz w:val="20"/>
          <w:szCs w:val="20"/>
          <w:color w:val="auto"/>
        </w:rPr>
      </w:pP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of Our multiTAA-Specific T Cell Therapies by BCM</w:t>
      </w:r>
    </w:p>
    <w:p>
      <w:pPr>
        <w:spacing w:after="0" w:line="162" w:lineRule="exact"/>
        <w:rPr>
          <w:sz w:val="20"/>
          <w:szCs w:val="20"/>
          <w:color w:val="auto"/>
        </w:rPr>
      </w:pPr>
    </w:p>
    <w:p>
      <w:pPr>
        <w:ind w:left="10" w:right="60" w:firstLine="399"/>
        <w:spacing w:after="0" w:line="250" w:lineRule="auto"/>
        <w:rPr>
          <w:sz w:val="20"/>
          <w:szCs w:val="20"/>
          <w:color w:val="auto"/>
        </w:rPr>
      </w:pPr>
      <w:r>
        <w:rPr>
          <w:rFonts w:ascii="Times New Roman" w:cs="Times New Roman" w:eastAsia="Times New Roman" w:hAnsi="Times New Roman"/>
          <w:sz w:val="20"/>
          <w:szCs w:val="20"/>
          <w:color w:val="auto"/>
        </w:rPr>
        <w:t>The following clinical trials are being conducted by BCM pursuant to our strategic alliance. If data from these early clinical trials are positive, we will consider the therapeutic and commercial potential for such therapies to be advanced as new product candidates for us. In each trial, correlative studies showed significant expansion of multiTAA-specific T cells, as well as significant evidence of epitope spreading with expansion of endogenous T cells specific for tumor-associated antigens that were not targeted by the multiTAA-specific T cell therapy.</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Acute Myeloid Leukemia</w:t>
      </w:r>
    </w:p>
    <w:p>
      <w:pPr>
        <w:spacing w:after="0" w:line="162" w:lineRule="exact"/>
        <w:rPr>
          <w:sz w:val="20"/>
          <w:szCs w:val="20"/>
          <w:color w:val="auto"/>
        </w:rPr>
      </w:pPr>
    </w:p>
    <w:p>
      <w:pPr>
        <w:ind w:left="10" w:right="100" w:firstLine="399"/>
        <w:spacing w:after="0" w:line="250" w:lineRule="auto"/>
        <w:rPr>
          <w:sz w:val="20"/>
          <w:szCs w:val="20"/>
          <w:color w:val="auto"/>
        </w:rPr>
      </w:pPr>
      <w:r>
        <w:rPr>
          <w:rFonts w:ascii="Times New Roman" w:cs="Times New Roman" w:eastAsia="Times New Roman" w:hAnsi="Times New Roman"/>
          <w:sz w:val="20"/>
          <w:szCs w:val="20"/>
          <w:color w:val="auto"/>
        </w:rPr>
        <w:t>We are pursuing the development of MT-401 for the treatment of post-transplant AML as the lead indication for the multiTAA-specific T cell program. Currently,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123" w:lineRule="exact"/>
        <w:rPr>
          <w:sz w:val="20"/>
          <w:szCs w:val="20"/>
          <w:color w:val="auto"/>
        </w:rPr>
      </w:pPr>
    </w:p>
    <w:p>
      <w:pPr>
        <w:ind w:left="10" w:firstLine="399"/>
        <w:spacing w:after="0" w:line="247" w:lineRule="auto"/>
        <w:rPr>
          <w:sz w:val="20"/>
          <w:szCs w:val="20"/>
          <w:color w:val="auto"/>
        </w:rPr>
      </w:pPr>
      <w:r>
        <w:rPr>
          <w:rFonts w:ascii="Times New Roman" w:cs="Times New Roman" w:eastAsia="Times New Roman" w:hAnsi="Times New Roman"/>
          <w:sz w:val="20"/>
          <w:szCs w:val="20"/>
          <w:color w:val="auto"/>
        </w:rPr>
        <w:t>BCM recently completed a Phase 1 AML/MDS clinical trial of the multiTAA-specific T cell therapy for the treatment of patients with post-transplant AML. In this trial, we treated patients in remission and with active disease post-transplant. As reported in a 2021 publication by Lulla et al. and illustrated below, 11 of the 17 patients in the adjuvant disease setting dosed with the multiTAA-specific T cell therapy after receiving an allogeneic HSCT never relapsed [median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113030</wp:posOffset>
            </wp:positionV>
            <wp:extent cx="4856480" cy="2637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4856480" cy="263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u w:val="single" w:color="auto"/>
          <w:color w:val="auto"/>
        </w:rPr>
        <w:t>References</w:t>
      </w:r>
    </w:p>
    <w:p>
      <w:pPr>
        <w:spacing w:after="0" w:line="10" w:lineRule="exact"/>
        <w:rPr>
          <w:sz w:val="20"/>
          <w:szCs w:val="20"/>
          <w:color w:val="auto"/>
        </w:rPr>
      </w:pPr>
    </w:p>
    <w:p>
      <w:pPr>
        <w:ind w:left="390" w:right="160" w:hanging="390"/>
        <w:spacing w:after="0" w:line="292" w:lineRule="auto"/>
        <w:tabs>
          <w:tab w:leader="none" w:pos="39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Lulla P. Clinical effects of administering leukemia-specific donor T cells to patients with </w:t>
      </w:r>
      <w:r>
        <w:rPr>
          <w:rFonts w:ascii="Times New Roman" w:cs="Times New Roman" w:eastAsia="Times New Roman" w:hAnsi="Times New Roman"/>
          <w:sz w:val="16"/>
          <w:szCs w:val="16"/>
          <w:b w:val="1"/>
          <w:bCs w:val="1"/>
          <w:color w:val="auto"/>
        </w:rPr>
        <w:t>AML/MDS</w:t>
      </w:r>
      <w:r>
        <w:rPr>
          <w:rFonts w:ascii="Times New Roman" w:cs="Times New Roman" w:eastAsia="Times New Roman" w:hAnsi="Times New Roman"/>
          <w:sz w:val="16"/>
          <w:szCs w:val="16"/>
          <w:color w:val="auto"/>
        </w:rPr>
        <w:t xml:space="preserve"> post-allogeneic transplant Blood. 2020 Dec 3: blood, 2020009471. PMID: 33270816.</w:t>
      </w:r>
    </w:p>
    <w:p>
      <w:pPr>
        <w:sectPr>
          <w:pgSz w:w="11880" w:h="15480" w:orient="portrait"/>
          <w:cols w:equalWidth="0" w:num="1">
            <w:col w:w="9110"/>
          </w:cols>
          <w:pgMar w:left="1390" w:top="1023" w:right="1380" w:bottom="70" w:gutter="0" w:footer="0" w:header="0"/>
        </w:sectPr>
      </w:pPr>
    </w:p>
    <w:p>
      <w:pPr>
        <w:spacing w:after="0" w:line="27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110"/>
          </w:cols>
          <w:pgMar w:left="1390" w:top="1023" w:right="1380" w:bottom="70" w:gutter="0" w:footer="0" w:header="0"/>
          <w:type w:val="continuous"/>
        </w:sectPr>
      </w:pPr>
    </w:p>
    <w:bookmarkStart w:id="15" w:name="page16"/>
    <w:bookmarkEnd w:id="15"/>
    <w:p>
      <w:pPr>
        <w:ind w:left="390" w:right="460" w:hanging="390"/>
        <w:spacing w:after="0" w:line="265" w:lineRule="auto"/>
        <w:tabs>
          <w:tab w:leader="none" w:pos="3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Vasileiou S et al, T-Cell Therapy for </w:t>
      </w:r>
      <w:r>
        <w:rPr>
          <w:rFonts w:ascii="Times New Roman" w:cs="Times New Roman" w:eastAsia="Times New Roman" w:hAnsi="Times New Roman"/>
          <w:sz w:val="16"/>
          <w:szCs w:val="16"/>
          <w:b w:val="1"/>
          <w:bCs w:val="1"/>
          <w:color w:val="auto"/>
        </w:rPr>
        <w:t>Lymphoma</w:t>
      </w:r>
      <w:r>
        <w:rPr>
          <w:rFonts w:ascii="Times New Roman" w:cs="Times New Roman" w:eastAsia="Times New Roman" w:hAnsi="Times New Roman"/>
          <w:sz w:val="16"/>
          <w:szCs w:val="16"/>
          <w:color w:val="auto"/>
        </w:rPr>
        <w:t xml:space="preserve"> Using Nonengineered Multiantigen-Targeted T Cells is Safe and Produces Durable Clinical Effects, J Clin Oncol, 2021 Jan 28. PMID: 33507803.</w:t>
      </w:r>
    </w:p>
    <w:p>
      <w:pPr>
        <w:ind w:left="390" w:right="600" w:hanging="390"/>
        <w:spacing w:after="0" w:line="303" w:lineRule="auto"/>
        <w:tabs>
          <w:tab w:leader="none" w:pos="3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Lulla PD. The safety and clinical effects of administering a multiantigen-targeted T cell therapy to patients with </w:t>
      </w:r>
      <w:r>
        <w:rPr>
          <w:rFonts w:ascii="Times New Roman" w:cs="Times New Roman" w:eastAsia="Times New Roman" w:hAnsi="Times New Roman"/>
          <w:sz w:val="16"/>
          <w:szCs w:val="16"/>
          <w:b w:val="1"/>
          <w:bCs w:val="1"/>
          <w:color w:val="auto"/>
        </w:rPr>
        <w:t>multiple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myeloma</w:t>
      </w:r>
      <w:r>
        <w:rPr>
          <w:rFonts w:ascii="Times New Roman" w:cs="Times New Roman" w:eastAsia="Times New Roman" w:hAnsi="Times New Roman"/>
          <w:sz w:val="16"/>
          <w:szCs w:val="16"/>
          <w:color w:val="auto"/>
        </w:rPr>
        <w:t>. Sci Transl Med. 2020 Jul 29;12(554). PMID: 32727914.</w:t>
      </w:r>
    </w:p>
    <w:p>
      <w:pPr>
        <w:spacing w:after="0" w:line="106" w:lineRule="exact"/>
        <w:rPr>
          <w:sz w:val="20"/>
          <w:szCs w:val="20"/>
          <w:color w:val="auto"/>
        </w:rPr>
      </w:pPr>
    </w:p>
    <w:p>
      <w:pPr>
        <w:ind w:left="10" w:firstLine="399"/>
        <w:spacing w:after="0" w:line="260" w:lineRule="auto"/>
        <w:rPr>
          <w:sz w:val="20"/>
          <w:szCs w:val="20"/>
          <w:color w:val="auto"/>
        </w:rPr>
      </w:pPr>
      <w:r>
        <w:rPr>
          <w:rFonts w:ascii="Times New Roman" w:cs="Times New Roman" w:eastAsia="Times New Roman" w:hAnsi="Times New Roman"/>
          <w:sz w:val="20"/>
          <w:szCs w:val="20"/>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multiTAA-specific T cell infusion. As shown below, two of the eight patients achieved objective responses with one complete response and one partial response, with six patients continuing with stable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101600</wp:posOffset>
            </wp:positionV>
            <wp:extent cx="5648325" cy="304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564832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 w:firstLine="399"/>
        <w:spacing w:after="0" w:line="259" w:lineRule="auto"/>
        <w:rPr>
          <w:sz w:val="20"/>
          <w:szCs w:val="20"/>
          <w:color w:val="auto"/>
        </w:rPr>
      </w:pPr>
      <w:r>
        <w:rPr>
          <w:rFonts w:ascii="Times New Roman" w:cs="Times New Roman" w:eastAsia="Times New Roman" w:hAnsi="Times New Roman"/>
          <w:sz w:val="20"/>
          <w:szCs w:val="20"/>
          <w:color w:val="auto"/>
        </w:rPr>
        <w:t>In this trial, the multiTAA-specific T cell therapy was well tolerated, with no drug-related serious adverse events and no instances of greater than Grade 2 graft-versus-host disease.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Pancreatic Cancer</w:t>
      </w:r>
    </w:p>
    <w:p>
      <w:pPr>
        <w:spacing w:after="0" w:line="172"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We are developing MT-601 for the treatment of advanced unresectable pancreatic cancer. In May 2020, we reported interim data from an ongoing Phase 1/2 clinical trial of the multiTAA-specific T cell therapy for the treatment of pancreatic adenocarcinoma being conducted by BCM. In this trial, BCM plans to enroll approximately 45 patients with advanced or borderline resectable pancreatic adenocarcinoma in three arms: Arm A, which includes patients with unresectable/metastatic disease who are responding to standard first-line chemotherapy; Arm B, which includes patients with progressive disease or therapy intolerance; and Arm C, which includes patients with surgically resectable disease. A total of 31 patients were administered the multiTAA-specific T cell therapy: 13 patients in Arm A, 10 patients in Arm B and eight patients in Arm C.</w:t>
      </w:r>
    </w:p>
    <w:p>
      <w:pPr>
        <w:spacing w:after="0" w:line="370" w:lineRule="exact"/>
        <w:rPr>
          <w:sz w:val="20"/>
          <w:szCs w:val="20"/>
          <w:color w:val="auto"/>
        </w:rPr>
      </w:pPr>
    </w:p>
    <w:p>
      <w:pPr>
        <w:ind w:left="10" w:right="300" w:firstLine="399"/>
        <w:spacing w:after="0" w:line="251" w:lineRule="auto"/>
        <w:rPr>
          <w:sz w:val="20"/>
          <w:szCs w:val="20"/>
          <w:color w:val="auto"/>
        </w:rPr>
      </w:pPr>
      <w:r>
        <w:rPr>
          <w:rFonts w:ascii="Times New Roman" w:cs="Times New Roman" w:eastAsia="Times New Roman" w:hAnsi="Times New Roman"/>
          <w:sz w:val="20"/>
          <w:szCs w:val="20"/>
          <w:color w:val="auto"/>
        </w:rPr>
        <w:t>Overall, we have observed a clinical benefit correlated with the detection of tumor-reactive T cells in patient peripheral blood (Arms A, B and C) and within tumor biopsy samples (Arm C) post-infusion.</w:t>
      </w:r>
    </w:p>
    <w:p>
      <w:pPr>
        <w:spacing w:after="0" w:line="2" w:lineRule="exact"/>
        <w:rPr>
          <w:sz w:val="20"/>
          <w:szCs w:val="20"/>
          <w:color w:val="auto"/>
        </w:rPr>
      </w:pPr>
    </w:p>
    <w:p>
      <w:pPr>
        <w:jc w:val="both"/>
        <w:ind w:left="10"/>
        <w:spacing w:after="0" w:line="269" w:lineRule="auto"/>
        <w:rPr>
          <w:sz w:val="20"/>
          <w:szCs w:val="20"/>
          <w:color w:val="auto"/>
        </w:rPr>
      </w:pPr>
      <w:r>
        <w:rPr>
          <w:rFonts w:ascii="Times New Roman" w:cs="Times New Roman" w:eastAsia="Times New Roman" w:hAnsi="Times New Roman"/>
          <w:sz w:val="20"/>
          <w:szCs w:val="20"/>
          <w:color w:val="auto"/>
        </w:rPr>
        <w:t>T cells exhibited activity against both targeted antigens as well as non-targeted TAAs, including MAGE-A2B and AFP, indicating induction of antigen/epitope spreading. No cytokine release syndrome or neurotoxicity has been observed in any arm of the trial to date.</w:t>
      </w:r>
    </w:p>
    <w:p>
      <w:pPr>
        <w:sectPr>
          <w:pgSz w:w="11880" w:h="15480" w:orient="portrait"/>
          <w:cols w:equalWidth="0" w:num="1">
            <w:col w:w="9110"/>
          </w:cols>
          <w:pgMar w:left="1390" w:top="1021" w:right="1380" w:bottom="70" w:gutter="0" w:footer="0" w:header="0"/>
        </w:sectPr>
      </w:pPr>
    </w:p>
    <w:p>
      <w:pPr>
        <w:spacing w:after="0" w:line="2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110"/>
          </w:cols>
          <w:pgMar w:left="1390" w:top="1021" w:right="1380" w:bottom="7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auto"/>
        </w:rPr>
        <w:t>Arm A</w:t>
      </w:r>
    </w:p>
    <w:p>
      <w:pPr>
        <w:spacing w:after="0" w:line="193" w:lineRule="exact"/>
        <w:rPr>
          <w:sz w:val="20"/>
          <w:szCs w:val="20"/>
          <w:color w:val="auto"/>
        </w:rPr>
      </w:pPr>
    </w:p>
    <w:p>
      <w:pPr>
        <w:ind w:right="60" w:firstLine="399"/>
        <w:spacing w:after="0" w:line="267" w:lineRule="auto"/>
        <w:rPr>
          <w:sz w:val="20"/>
          <w:szCs w:val="20"/>
          <w:color w:val="auto"/>
        </w:rPr>
      </w:pPr>
      <w:r>
        <w:rPr>
          <w:rFonts w:ascii="Times New Roman" w:cs="Times New Roman" w:eastAsia="Times New Roman" w:hAnsi="Times New Roman"/>
          <w:sz w:val="20"/>
          <w:szCs w:val="20"/>
          <w:color w:val="auto"/>
        </w:rPr>
        <w:t>Arm A is designed to evaluate the safety and potential efficacy of using multiTAA-specific T cell therapy as part of first-line treatment for patients with pancreatic cancer. These patients in the chemo-responsive arm have completed or will complete at least three months of standard-of-care chemotherapy (gemcitabine/nab-paclitaxel or FOLFIRINOX), which is the period during which a response to chemotherapy would typically occur, before receiving up to six administrations of multiTAA-specific T cell therapy in conjunction with chemotherapy.</w:t>
      </w:r>
    </w:p>
    <w:p>
      <w:pPr>
        <w:spacing w:after="0" w:line="135" w:lineRule="exact"/>
        <w:rPr>
          <w:sz w:val="20"/>
          <w:szCs w:val="20"/>
          <w:color w:val="auto"/>
        </w:rPr>
      </w:pPr>
    </w:p>
    <w:p>
      <w:pPr>
        <w:ind w:right="620" w:firstLine="399"/>
        <w:spacing w:after="0" w:line="294" w:lineRule="auto"/>
        <w:rPr>
          <w:sz w:val="20"/>
          <w:szCs w:val="20"/>
          <w:color w:val="auto"/>
        </w:rPr>
      </w:pPr>
      <w:r>
        <w:rPr>
          <w:rFonts w:ascii="Times New Roman" w:cs="Times New Roman" w:eastAsia="Times New Roman" w:hAnsi="Times New Roman"/>
          <w:sz w:val="20"/>
          <w:szCs w:val="20"/>
          <w:color w:val="auto"/>
        </w:rPr>
        <w:t>For 12 of the 13 patients, sufficient cells for all six planned doses were generated; two doses were available for the remaining patient.</w:t>
      </w:r>
    </w:p>
    <w:p>
      <w:pPr>
        <w:spacing w:after="0" w:line="69" w:lineRule="exact"/>
        <w:rPr>
          <w:sz w:val="20"/>
          <w:szCs w:val="20"/>
          <w:color w:val="auto"/>
        </w:rPr>
      </w:pPr>
    </w:p>
    <w:p>
      <w:pPr>
        <w:ind w:left="580" w:hanging="191"/>
        <w:spacing w:after="0"/>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 of the 13 evaluable patients (best overall response):</w:t>
      </w:r>
    </w:p>
    <w:p>
      <w:pPr>
        <w:spacing w:after="0" w:line="152" w:lineRule="exact"/>
        <w:rPr>
          <w:rFonts w:ascii="Times New Roman" w:cs="Times New Roman" w:eastAsia="Times New Roman" w:hAnsi="Times New Roman"/>
          <w:sz w:val="20"/>
          <w:szCs w:val="20"/>
          <w:color w:val="auto"/>
        </w:rPr>
      </w:pPr>
    </w:p>
    <w:p>
      <w:pPr>
        <w:ind w:left="980" w:hanging="192"/>
        <w:spacing w:after="0"/>
        <w:tabs>
          <w:tab w:leader="none" w:pos="9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patients experienced objective responses after administration of multiTAA cells;</w:t>
      </w:r>
    </w:p>
    <w:p>
      <w:pPr>
        <w:spacing w:after="0" w:line="152" w:lineRule="exact"/>
        <w:rPr>
          <w:rFonts w:ascii="Times New Roman" w:cs="Times New Roman" w:eastAsia="Times New Roman" w:hAnsi="Times New Roman"/>
          <w:sz w:val="20"/>
          <w:szCs w:val="20"/>
          <w:color w:val="auto"/>
        </w:rPr>
      </w:pPr>
    </w:p>
    <w:p>
      <w:pPr>
        <w:ind w:left="980" w:right="700" w:hanging="192"/>
        <w:spacing w:after="0" w:line="294" w:lineRule="auto"/>
        <w:tabs>
          <w:tab w:leader="none" w:pos="9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experienced a radiographic complete response occurring at month nine after starting chemotherapy;</w:t>
      </w:r>
    </w:p>
    <w:p>
      <w:pPr>
        <w:spacing w:after="0" w:line="68" w:lineRule="exact"/>
        <w:rPr>
          <w:rFonts w:ascii="Times New Roman" w:cs="Times New Roman" w:eastAsia="Times New Roman" w:hAnsi="Times New Roman"/>
          <w:sz w:val="20"/>
          <w:szCs w:val="20"/>
          <w:color w:val="auto"/>
        </w:rPr>
      </w:pPr>
    </w:p>
    <w:p>
      <w:pPr>
        <w:ind w:left="980" w:right="420" w:hanging="192"/>
        <w:spacing w:after="0" w:line="294" w:lineRule="auto"/>
        <w:tabs>
          <w:tab w:leader="none" w:pos="9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patients experienced partial responses per RECIST occurring at six-nine months after starting chemotherapy;</w:t>
      </w:r>
    </w:p>
    <w:p>
      <w:pPr>
        <w:spacing w:after="0" w:line="68" w:lineRule="exact"/>
        <w:rPr>
          <w:rFonts w:ascii="Times New Roman" w:cs="Times New Roman" w:eastAsia="Times New Roman" w:hAnsi="Times New Roman"/>
          <w:sz w:val="20"/>
          <w:szCs w:val="20"/>
          <w:color w:val="auto"/>
        </w:rPr>
      </w:pPr>
    </w:p>
    <w:p>
      <w:pPr>
        <w:ind w:left="980" w:hanging="192"/>
        <w:spacing w:after="0"/>
        <w:tabs>
          <w:tab w:leader="none" w:pos="9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 patients experienced stable disease;</w:t>
      </w:r>
    </w:p>
    <w:p>
      <w:pPr>
        <w:spacing w:after="0" w:line="152" w:lineRule="exact"/>
        <w:rPr>
          <w:rFonts w:ascii="Times New Roman" w:cs="Times New Roman" w:eastAsia="Times New Roman" w:hAnsi="Times New Roman"/>
          <w:sz w:val="20"/>
          <w:szCs w:val="20"/>
          <w:color w:val="auto"/>
        </w:rPr>
      </w:pPr>
    </w:p>
    <w:p>
      <w:pPr>
        <w:ind w:left="980" w:right="220" w:hanging="192"/>
        <w:spacing w:after="0" w:line="294" w:lineRule="auto"/>
        <w:tabs>
          <w:tab w:leader="none" w:pos="9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experienced a mixed response (some lesions increased in size and others decreased for a net zero change in size of tumor lesions);</w:t>
      </w:r>
    </w:p>
    <w:p>
      <w:pPr>
        <w:spacing w:after="0" w:line="68" w:lineRule="exact"/>
        <w:rPr>
          <w:rFonts w:ascii="Times New Roman" w:cs="Times New Roman" w:eastAsia="Times New Roman" w:hAnsi="Times New Roman"/>
          <w:sz w:val="20"/>
          <w:szCs w:val="20"/>
          <w:color w:val="auto"/>
        </w:rPr>
      </w:pPr>
    </w:p>
    <w:p>
      <w:pPr>
        <w:ind w:left="580" w:right="580" w:hanging="191"/>
        <w:spacing w:after="0" w:line="294"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had durable cancer control with nine of the 13 patients exceeding historical control of overall survival;</w:t>
      </w:r>
    </w:p>
    <w:p>
      <w:pPr>
        <w:spacing w:after="0" w:line="68" w:lineRule="exact"/>
        <w:rPr>
          <w:rFonts w:ascii="Times New Roman" w:cs="Times New Roman" w:eastAsia="Times New Roman" w:hAnsi="Times New Roman"/>
          <w:sz w:val="20"/>
          <w:szCs w:val="20"/>
          <w:color w:val="auto"/>
        </w:rPr>
      </w:pPr>
    </w:p>
    <w:p>
      <w:pPr>
        <w:ind w:left="580" w:right="20" w:hanging="191"/>
        <w:spacing w:after="0" w:line="277"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patients enrolled in the study were not administered multiTAA-specific T cells, either because of disease progression (four patients) which made them ineligible for treatment, or because insufficient starting material from the patient was available for manufacturing (one patient);</w:t>
      </w:r>
    </w:p>
    <w:p>
      <w:pPr>
        <w:spacing w:after="0" w:line="85" w:lineRule="exact"/>
        <w:rPr>
          <w:rFonts w:ascii="Times New Roman" w:cs="Times New Roman" w:eastAsia="Times New Roman" w:hAnsi="Times New Roman"/>
          <w:sz w:val="20"/>
          <w:szCs w:val="20"/>
          <w:color w:val="auto"/>
        </w:rPr>
      </w:pPr>
    </w:p>
    <w:p>
      <w:pPr>
        <w:ind w:left="580" w:right="120" w:hanging="191"/>
        <w:spacing w:after="0" w:line="277"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epitope-spreading was observed in all responders, suggesting that the multiTAA T cell therapy triggered the recruitment of a broader endogenous immune system response for improved anti-tumor activity; and</w:t>
      </w:r>
    </w:p>
    <w:p>
      <w:pPr>
        <w:spacing w:after="0" w:line="8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infusion-related reactions, cytokine release syndrome or neurotoxicity was observed.</w:t>
      </w:r>
    </w:p>
    <w:p>
      <w:pPr>
        <w:spacing w:after="0" w:line="152" w:lineRule="exact"/>
        <w:rPr>
          <w:rFonts w:ascii="Times New Roman" w:cs="Times New Roman" w:eastAsia="Times New Roman" w:hAnsi="Times New Roman"/>
          <w:sz w:val="20"/>
          <w:szCs w:val="20"/>
          <w:color w:val="auto"/>
        </w:rPr>
      </w:pPr>
    </w:p>
    <w:p>
      <w:pPr>
        <w:ind w:left="580" w:right="360" w:hanging="191"/>
        <w:spacing w:after="0" w:line="277"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125" w:lineRule="exact"/>
        <w:rPr>
          <w:sz w:val="20"/>
          <w:szCs w:val="20"/>
          <w:color w:val="auto"/>
        </w:rPr>
      </w:pPr>
    </w:p>
    <w:p>
      <w:pPr>
        <w:ind w:right="40" w:firstLine="399"/>
        <w:spacing w:after="0" w:line="277" w:lineRule="auto"/>
        <w:rPr>
          <w:sz w:val="20"/>
          <w:szCs w:val="20"/>
          <w:color w:val="auto"/>
        </w:rPr>
      </w:pPr>
      <w:r>
        <w:rPr>
          <w:rFonts w:ascii="Times New Roman" w:cs="Times New Roman" w:eastAsia="Times New Roman" w:hAnsi="Times New Roman"/>
          <w:sz w:val="20"/>
          <w:szCs w:val="20"/>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Arm B</w:t>
      </w:r>
    </w:p>
    <w:p>
      <w:pPr>
        <w:spacing w:after="0" w:line="193" w:lineRule="exact"/>
        <w:rPr>
          <w:sz w:val="20"/>
          <w:szCs w:val="20"/>
          <w:color w:val="auto"/>
        </w:rPr>
      </w:pPr>
    </w:p>
    <w:p>
      <w:pPr>
        <w:ind w:firstLine="399"/>
        <w:spacing w:after="0" w:line="268" w:lineRule="auto"/>
        <w:rPr>
          <w:sz w:val="20"/>
          <w:szCs w:val="20"/>
          <w:color w:val="auto"/>
        </w:rPr>
      </w:pPr>
      <w:r>
        <w:rPr>
          <w:rFonts w:ascii="Times New Roman" w:cs="Times New Roman" w:eastAsia="Times New Roman" w:hAnsi="Times New Roman"/>
          <w:sz w:val="20"/>
          <w:szCs w:val="20"/>
          <w:color w:val="auto"/>
        </w:rPr>
        <w:t>Arm B is designed to evaluate the use of multiTAA-specific T cell therapy as a second-line therapy for patients who have failed first-line chemotherapy. The patients in this chemo-refractory arm are either ineligible for chemotherapy or have progressed on chemotherapy and have received or are receiving up to six doses of multiTAA-specific T cell therapy as a monotherapy. The following graphic depicts the best clinical assessment of the 10 evaluable patients in Arm B:</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100"/>
          </w:cols>
          <w:pgMar w:left="1400" w:top="1025" w:right="1380" w:bottom="7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2385060</wp:posOffset>
            </wp:positionH>
            <wp:positionV relativeFrom="page">
              <wp:posOffset>670560</wp:posOffset>
            </wp:positionV>
            <wp:extent cx="2786380" cy="2409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786380"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firstLine="399"/>
        <w:spacing w:after="0" w:line="262" w:lineRule="auto"/>
        <w:rPr>
          <w:sz w:val="20"/>
          <w:szCs w:val="20"/>
          <w:color w:val="auto"/>
        </w:rPr>
      </w:pPr>
      <w:r>
        <w:rPr>
          <w:rFonts w:ascii="Times New Roman" w:cs="Times New Roman" w:eastAsia="Times New Roman" w:hAnsi="Times New Roman"/>
          <w:sz w:val="20"/>
          <w:szCs w:val="20"/>
          <w:color w:val="auto"/>
        </w:rPr>
        <w:t>Among the patients who saw clinical disease stabilization, significant expansion of the infused multiTAA-specific T cell therapy was observed, along with broad-based epitope spreading, with significant expansion of endogenous T cells specific for other tumor-specific antigens.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Arm C</w:t>
      </w:r>
    </w:p>
    <w:p>
      <w:pPr>
        <w:spacing w:after="0" w:line="14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Arm C is designed to assess T cell infiltration and expansion. These patients with borderline surgically resectable disease received or will receive a dose of multiTAA-specific T cell therapy following chemotherapy, radiotherapy or combination and prior to surgical resection and up to five additional doses of T cells after surgery. In the patients evaluable in Arm C, multiTAA-specific T cells were measurable in meaningful numbers as detected by correlative analysis of resected tumor, and significant expansion of the infused multiTAA-specific T cells was observed, along with broad-based epitope spreading, with significant expansion of endogenous T cells specific for other tumor specific antigens. As illustrated below with respect to the six patients treated in Arm C, three of the patients in Arm C remain in the trial, while three patients had recurrence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249555</wp:posOffset>
            </wp:positionV>
            <wp:extent cx="4665980" cy="2485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4665980" cy="248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Lymphoma</w:t>
      </w:r>
    </w:p>
    <w:p>
      <w:pPr>
        <w:spacing w:after="0" w:line="149" w:lineRule="exact"/>
        <w:rPr>
          <w:sz w:val="20"/>
          <w:szCs w:val="20"/>
          <w:color w:val="auto"/>
        </w:rPr>
      </w:pPr>
    </w:p>
    <w:p>
      <w:pPr>
        <w:ind w:right="160" w:firstLine="399"/>
        <w:spacing w:after="0" w:line="254" w:lineRule="auto"/>
        <w:rPr>
          <w:sz w:val="20"/>
          <w:szCs w:val="20"/>
          <w:color w:val="auto"/>
        </w:rPr>
      </w:pPr>
      <w:r>
        <w:rPr>
          <w:rFonts w:ascii="Times New Roman" w:cs="Times New Roman" w:eastAsia="Times New Roman" w:hAnsi="Times New Roman"/>
          <w:sz w:val="20"/>
          <w:szCs w:val="20"/>
          <w:color w:val="auto"/>
        </w:rPr>
        <w:t>BCM is currently evaluating the multiTAA-specific T cell therapy in a Phase 1 clinical trial for the treatment of patients with lymphoma. A total of 32 patients received two protocol-specified infusions of multiTAA-specific T cells, 14 with Hodgkin lymphoma, or HL, and 18 with aggressive non-Hodgkin lymphoma, or NHL, [diffuse large B-cell lymphoma, or DLBCL, (n=12), mantle cell lymphoma, or MCL, (n=2), T-cell lymphoma (n=3) and composite lymphoma (HL and DLBCL, n=1)].</w:t>
      </w:r>
    </w:p>
    <w:p>
      <w:pPr>
        <w:sectPr>
          <w:pgSz w:w="11880" w:h="15480" w:orient="portrait"/>
          <w:cols w:equalWidth="0" w:num="1">
            <w:col w:w="9100"/>
          </w:cols>
          <w:pgMar w:left="1400" w:top="1440" w:right="1380" w:bottom="70" w:gutter="0" w:footer="0" w:header="0"/>
        </w:sect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100"/>
          </w:cols>
          <w:pgMar w:left="1400" w:top="1440" w:right="1380" w:bottom="70" w:gutter="0" w:footer="0" w:header="0"/>
          <w:type w:val="continuous"/>
        </w:sectPr>
      </w:pPr>
    </w:p>
    <w:bookmarkStart w:id="18" w:name="page19"/>
    <w:bookmarkEnd w:id="18"/>
    <w:p>
      <w:pPr>
        <w:ind w:firstLine="399"/>
        <w:spacing w:after="0" w:line="264" w:lineRule="auto"/>
        <w:rPr>
          <w:sz w:val="20"/>
          <w:szCs w:val="20"/>
          <w:color w:val="auto"/>
        </w:rPr>
      </w:pPr>
      <w:r>
        <w:rPr>
          <w:rFonts w:ascii="Times New Roman" w:cs="Times New Roman" w:eastAsia="Times New Roman" w:hAnsi="Times New Roman"/>
          <w:sz w:val="20"/>
          <w:szCs w:val="20"/>
          <w:color w:val="auto"/>
        </w:rPr>
        <w:t>As reported in a recent publication by Vasileiou et al., BCM had treated 15 patients with active disease, which we refer to as the active lymphoma group, all of whom had completed a follow-up period beyond three months post-infusion. These patients were heavily pre-treated and, on average,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were between two and over five years after being infused with the multiTAA-specific T cell therapy with the exception of one CR patient who died of an unrelated pneumonia. Responses in all six patients who entered CR were associated with an expansion of infused T cells, as well as induction of broad-based antigen spreading across many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109855</wp:posOffset>
            </wp:positionV>
            <wp:extent cx="5716905" cy="3076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5716905" cy="307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399"/>
        <w:spacing w:after="0" w:line="266" w:lineRule="auto"/>
        <w:rPr>
          <w:sz w:val="20"/>
          <w:szCs w:val="20"/>
          <w:color w:val="auto"/>
        </w:rPr>
      </w:pPr>
      <w:r>
        <w:rPr>
          <w:rFonts w:ascii="Times New Roman" w:cs="Times New Roman" w:eastAsia="Times New Roman" w:hAnsi="Times New Roman"/>
          <w:sz w:val="20"/>
          <w:szCs w:val="20"/>
          <w:color w:val="auto"/>
        </w:rPr>
        <w:t>We also treated 17 patients, including one patient who was treated a second time after a relapse, in remission, which we refer to as the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100"/>
          </w:cols>
          <w:pgMar w:left="1400" w:top="1025" w:right="1380" w:bottom="7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1035050</wp:posOffset>
            </wp:positionH>
            <wp:positionV relativeFrom="page">
              <wp:posOffset>676275</wp:posOffset>
            </wp:positionV>
            <wp:extent cx="5485130" cy="3085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85130" cy="308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firstLine="399"/>
        <w:spacing w:after="0" w:line="262" w:lineRule="auto"/>
        <w:rPr>
          <w:sz w:val="20"/>
          <w:szCs w:val="20"/>
          <w:color w:val="auto"/>
        </w:rPr>
      </w:pPr>
      <w:r>
        <w:rPr>
          <w:rFonts w:ascii="Times New Roman" w:cs="Times New Roman" w:eastAsia="Times New Roman" w:hAnsi="Times New Roman"/>
          <w:sz w:val="20"/>
          <w:szCs w:val="20"/>
          <w:color w:val="auto"/>
        </w:rPr>
        <w:t>In both treatment groups, the multiTAA-specific T cell therapy was well tolerated, with no drug-related serious adverse events, suggesting that the multiTAA-specific T cell therapy might serve as a standard-of-care maintenance therapy for lymphoma patients in remission.</w:t>
      </w:r>
    </w:p>
    <w:p>
      <w:pPr>
        <w:spacing w:after="0" w:line="113" w:lineRule="exact"/>
        <w:rPr>
          <w:sz w:val="20"/>
          <w:szCs w:val="20"/>
          <w:color w:val="auto"/>
        </w:rPr>
      </w:pPr>
    </w:p>
    <w:p>
      <w:pPr>
        <w:ind w:right="100" w:firstLine="399"/>
        <w:spacing w:after="0" w:line="257" w:lineRule="auto"/>
        <w:rPr>
          <w:sz w:val="20"/>
          <w:szCs w:val="20"/>
          <w:color w:val="auto"/>
        </w:rPr>
      </w:pPr>
      <w:r>
        <w:rPr>
          <w:rFonts w:ascii="Times New Roman" w:cs="Times New Roman" w:eastAsia="Times New Roman" w:hAnsi="Times New Roman"/>
          <w:sz w:val="20"/>
          <w:szCs w:val="20"/>
          <w:color w:val="auto"/>
        </w:rPr>
        <w:t>Further, data from this trial show “epitope spreading,” or expansion of patients’ endogenous T cells (specific for an expanded set of tumor-associated antigens beyond those targeted by the infused therapy) in the months following infusion. Significantly, we have observed this effect even though some patients in this trial received doses that had not yet been antigen-escalated to the full antigen dose.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Acute Lymphoblastic Leukemia</w:t>
      </w:r>
    </w:p>
    <w:p>
      <w:pPr>
        <w:spacing w:after="0" w:line="137" w:lineRule="exact"/>
        <w:rPr>
          <w:sz w:val="20"/>
          <w:szCs w:val="20"/>
          <w:color w:val="auto"/>
        </w:rPr>
      </w:pPr>
    </w:p>
    <w:p>
      <w:pPr>
        <w:ind w:right="20" w:firstLine="399"/>
        <w:spacing w:after="0" w:line="250" w:lineRule="auto"/>
        <w:rPr>
          <w:sz w:val="20"/>
          <w:szCs w:val="20"/>
          <w:color w:val="auto"/>
        </w:rPr>
      </w:pPr>
      <w:r>
        <w:rPr>
          <w:rFonts w:ascii="Times New Roman" w:cs="Times New Roman" w:eastAsia="Times New Roman" w:hAnsi="Times New Roman"/>
          <w:sz w:val="20"/>
          <w:szCs w:val="20"/>
          <w:color w:val="auto"/>
        </w:rPr>
        <w:t>BCM is currently evaluating the multiTAA-specific T cell therapy in a Phase 1 clinical trial for the treatment of patients with ALL. Leukemic relapse is one of the primary causes of treatment failure in HSCT recipients. Like post-transplant AML patients, post-transplant ALL patients have limited treatment options, with donor lymphocyte infusions similarly associated with the risk of life-threatening graft-versus-host disease. While CAR-T therapies have shown potent anti-leukemia activity in post-transplant ALL patients, CD19-CAR-T cell therapies target a single antigen, carrying the inherent risk of immune escape, and are most effective in malignancies of B-cell lineage. In contrast, the multiTAA-specific T cell therapy targets multiple antigens expressed in both B- and T-cell ALL.</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 this trial, as reported in February 2019 we had treated 18 patients. Of the seven evaluable patients:</w:t>
      </w:r>
    </w:p>
    <w:p>
      <w:pPr>
        <w:spacing w:after="0" w:line="125" w:lineRule="exact"/>
        <w:rPr>
          <w:sz w:val="20"/>
          <w:szCs w:val="20"/>
          <w:color w:val="auto"/>
        </w:rPr>
      </w:pPr>
    </w:p>
    <w:p>
      <w:pPr>
        <w:ind w:left="580" w:hanging="191"/>
        <w:spacing w:after="0"/>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evaluable patients were up to 28 months in CCR;</w:t>
      </w:r>
    </w:p>
    <w:p>
      <w:pPr>
        <w:spacing w:after="0" w:line="105" w:lineRule="exact"/>
        <w:rPr>
          <w:rFonts w:ascii="Times New Roman" w:cs="Times New Roman" w:eastAsia="Times New Roman" w:hAnsi="Times New Roman"/>
          <w:sz w:val="20"/>
          <w:szCs w:val="20"/>
          <w:color w:val="auto"/>
        </w:rPr>
      </w:pPr>
    </w:p>
    <w:p>
      <w:pPr>
        <w:ind w:left="580" w:right="400" w:hanging="191"/>
        <w:spacing w:after="0" w:line="279"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experienced relapse displayed mixed donor/recipient chimerism after transplant, but remained in CCR for 6 months; and</w:t>
      </w:r>
    </w:p>
    <w:p>
      <w:pPr>
        <w:spacing w:after="0" w:line="36" w:lineRule="exact"/>
        <w:rPr>
          <w:rFonts w:ascii="Times New Roman" w:cs="Times New Roman" w:eastAsia="Times New Roman" w:hAnsi="Times New Roman"/>
          <w:sz w:val="20"/>
          <w:szCs w:val="20"/>
          <w:color w:val="auto"/>
        </w:rPr>
      </w:pPr>
    </w:p>
    <w:p>
      <w:pPr>
        <w:ind w:left="580" w:right="260" w:hanging="191"/>
        <w:spacing w:after="0" w:line="279"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who remained in CCR had been durable for between four to 28 months, with a median of 16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Multiple Myeloma</w:t>
      </w:r>
    </w:p>
    <w:p>
      <w:pPr>
        <w:spacing w:after="0" w:line="137"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BCM is currently evaluating the multiTAA-specific T cell therapy in a Phase 1b/2a clinical trial for the treatment of patients with MM. In this trial, we are treating both active and adjuvant post-autologous stem cell transplant MM patients both within 90 days and more than 90 days post-transplant. We have not seen a meaningful difference in response rates or durability between the two arms and intend to standardize future trials based upon a protocol wherein patients will receive multiTAA-specific T cell therapy immediately post-transplant.</w:t>
      </w:r>
    </w:p>
    <w:p>
      <w:pPr>
        <w:sectPr>
          <w:pgSz w:w="11880" w:h="15480" w:orient="portrait"/>
          <w:cols w:equalWidth="0" w:num="1">
            <w:col w:w="9100"/>
          </w:cols>
          <w:pgMar w:left="1400" w:top="1440" w:right="1380" w:bottom="70"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100"/>
          </w:cols>
          <w:pgMar w:left="1400" w:top="1440" w:right="1380" w:bottom="70" w:gutter="0" w:footer="0" w:header="0"/>
          <w:type w:val="continuous"/>
        </w:sectPr>
      </w:pPr>
    </w:p>
    <w:bookmarkStart w:id="20" w:name="page21"/>
    <w:bookmarkEnd w:id="20"/>
    <w:p>
      <w:pPr>
        <w:ind w:left="390"/>
        <w:spacing w:after="0"/>
        <w:rPr>
          <w:sz w:val="20"/>
          <w:szCs w:val="20"/>
          <w:color w:val="auto"/>
        </w:rPr>
      </w:pPr>
      <w:r>
        <w:rPr>
          <w:rFonts w:ascii="Times New Roman" w:cs="Times New Roman" w:eastAsia="Times New Roman" w:hAnsi="Times New Roman"/>
          <w:sz w:val="20"/>
          <w:szCs w:val="20"/>
          <w:color w:val="auto"/>
        </w:rPr>
        <w:t>As reported in a 2021 publication by Lulla et al., of the 12 patients that had been treated in the active</w:t>
      </w:r>
    </w:p>
    <w:p>
      <w:pPr>
        <w:spacing w:after="0" w:line="6" w:lineRule="exact"/>
        <w:rPr>
          <w:sz w:val="20"/>
          <w:szCs w:val="20"/>
          <w:color w:val="auto"/>
        </w:rPr>
      </w:pPr>
    </w:p>
    <w:p>
      <w:pPr>
        <w:ind w:left="450" w:hanging="450"/>
        <w:spacing w:after="0"/>
        <w:tabs>
          <w:tab w:leader="none" w:pos="45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group with a median of 3.5 prior lines:</w:t>
      </w:r>
    </w:p>
    <w:p>
      <w:pPr>
        <w:spacing w:after="0" w:line="12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had a CR;</w:t>
      </w:r>
    </w:p>
    <w:p>
      <w:pPr>
        <w:spacing w:after="0" w:line="12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patients achieved partial responses; and</w:t>
      </w:r>
    </w:p>
    <w:p>
      <w:pPr>
        <w:spacing w:after="0" w:line="12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Nine patients had stable disease following initial multiTAA-specific T cell infusion.</w:t>
      </w:r>
    </w:p>
    <w:p>
      <w:pPr>
        <w:spacing w:after="0" w:line="165" w:lineRule="exact"/>
        <w:rPr>
          <w:sz w:val="20"/>
          <w:szCs w:val="20"/>
          <w:color w:val="auto"/>
        </w:rPr>
      </w:pPr>
    </w:p>
    <w:p>
      <w:pPr>
        <w:ind w:left="10" w:right="20" w:firstLine="399"/>
        <w:spacing w:after="0" w:line="262" w:lineRule="auto"/>
        <w:rPr>
          <w:sz w:val="20"/>
          <w:szCs w:val="20"/>
          <w:color w:val="auto"/>
        </w:rPr>
      </w:pPr>
      <w:r>
        <w:rPr>
          <w:rFonts w:ascii="Times New Roman" w:cs="Times New Roman" w:eastAsia="Times New Roman" w:hAnsi="Times New Roman"/>
          <w:sz w:val="20"/>
          <w:szCs w:val="20"/>
          <w:color w:val="auto"/>
        </w:rPr>
        <w:t>Of the nine patients that had been treated in the adjuvant MM group, all nine patients had remained in CCR, with a median follow-up of 21 months. Only two patients had relapsed at months seven and 13 after infusion while the remaining patients remain in CCR at a median follow-up of 27.5 months.</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Process Development and Manufacturing of The MultiTAA-Specific T Cell Therapies</w:t>
      </w:r>
    </w:p>
    <w:p>
      <w:pPr>
        <w:spacing w:after="0" w:line="164"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In the manufacturing process, blood is drawn from either the individual patient (in the case of the autologous T cells) or from the allogeneic stem cell transplant donor (in the case of the allogeneic T cells).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23" w:lineRule="exact"/>
        <w:rPr>
          <w:sz w:val="20"/>
          <w:szCs w:val="20"/>
          <w:color w:val="auto"/>
        </w:rPr>
      </w:pPr>
    </w:p>
    <w:p>
      <w:pPr>
        <w:ind w:left="10" w:firstLine="399"/>
        <w:spacing w:after="0" w:line="249" w:lineRule="auto"/>
        <w:rPr>
          <w:sz w:val="20"/>
          <w:szCs w:val="20"/>
          <w:color w:val="auto"/>
        </w:rPr>
      </w:pPr>
      <w:r>
        <w:rPr>
          <w:rFonts w:ascii="Times New Roman" w:cs="Times New Roman" w:eastAsia="Times New Roman" w:hAnsi="Times New Roman"/>
          <w:sz w:val="20"/>
          <w:szCs w:val="20"/>
          <w:color w:val="auto"/>
        </w:rPr>
        <w:t>After blood is drawn, PBMCs are isolated and used to manufacture a patient-specific product. These cells are placed inside a G-Rex manufacturing device and combined with an experimentally optimized mix of GMP-grade cytokines that is used to restore and enhance the functional capability of the cultured T cells. In addition, libraries of overlapping peptides, which we refer to as peptide pools, spanning the target antigens are combined with antigen presenting cells and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367"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The G-Rex is a cell culture device manufactured by Wilson Wolf Manufacturing Corporation, or Wilson Wolf, used by many cell therapy developers, both in commercial and academic settings. The device allows a user to introduce cells, medium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spacing w:after="0" w:line="362" w:lineRule="exact"/>
        <w:rPr>
          <w:sz w:val="20"/>
          <w:szCs w:val="20"/>
          <w:color w:val="auto"/>
        </w:rPr>
      </w:pPr>
    </w:p>
    <w:p>
      <w:pPr>
        <w:ind w:left="10" w:right="200" w:firstLine="399"/>
        <w:spacing w:after="0" w:line="257" w:lineRule="auto"/>
        <w:rPr>
          <w:sz w:val="20"/>
          <w:szCs w:val="20"/>
          <w:color w:val="auto"/>
        </w:rPr>
      </w:pPr>
      <w:r>
        <w:rPr>
          <w:rFonts w:ascii="Times New Roman" w:cs="Times New Roman" w:eastAsia="Times New Roman" w:hAnsi="Times New Roman"/>
          <w:sz w:val="20"/>
          <w:szCs w:val="20"/>
          <w:color w:val="auto"/>
        </w:rPr>
        <w:t>Inside the G-Rex, PBMCs are co-cultured with antigen-presenting cells that have been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spacing w:after="0" w:line="116" w:lineRule="exact"/>
        <w:rPr>
          <w:sz w:val="20"/>
          <w:szCs w:val="20"/>
          <w:color w:val="auto"/>
        </w:rPr>
      </w:pPr>
    </w:p>
    <w:p>
      <w:pPr>
        <w:ind w:left="10" w:right="80" w:firstLine="399"/>
        <w:spacing w:after="0" w:line="263" w:lineRule="auto"/>
        <w:rPr>
          <w:sz w:val="20"/>
          <w:szCs w:val="20"/>
          <w:color w:val="auto"/>
        </w:rPr>
      </w:pPr>
      <w:r>
        <w:rPr>
          <w:rFonts w:ascii="Times New Roman" w:cs="Times New Roman" w:eastAsia="Times New Roman" w:hAnsi="Times New Roman"/>
          <w:sz w:val="20"/>
          <w:szCs w:val="20"/>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14" w:lineRule="exact"/>
        <w:rPr>
          <w:sz w:val="20"/>
          <w:szCs w:val="20"/>
          <w:color w:val="auto"/>
        </w:rPr>
      </w:pPr>
    </w:p>
    <w:p>
      <w:pPr>
        <w:ind w:left="10" w:right="40" w:firstLine="399"/>
        <w:spacing w:after="0" w:line="256" w:lineRule="auto"/>
        <w:rPr>
          <w:sz w:val="20"/>
          <w:szCs w:val="20"/>
          <w:color w:val="auto"/>
        </w:rPr>
      </w:pPr>
      <w:r>
        <w:rPr>
          <w:rFonts w:ascii="Times New Roman" w:cs="Times New Roman" w:eastAsia="Times New Roman" w:hAnsi="Times New Roman"/>
          <w:sz w:val="20"/>
          <w:szCs w:val="20"/>
          <w:color w:val="auto"/>
        </w:rPr>
        <w:t>Upon release of the final patient product, the cells are frozen and transported to the site where the cells will be administered. The standard dose for patients with lymphoma, AML or myeloma ranges from five to 20 million cells per meter squared (corresponding to typical doses of 10 to 40 million cells per adult patient). These cell doses represent a significantly smaller dose of cells, when compared to CAR-T or TCR therapies. As a result, our therapy requires only a very small infusion volume that can be administered to</w:t>
      </w:r>
    </w:p>
    <w:p>
      <w:pPr>
        <w:sectPr>
          <w:pgSz w:w="11880" w:h="15480" w:orient="portrait"/>
          <w:cols w:equalWidth="0" w:num="1">
            <w:col w:w="9110"/>
          </w:cols>
          <w:pgMar w:left="1390" w:top="1025" w:right="1380" w:bottom="71" w:gutter="0" w:footer="0" w:header="0"/>
        </w:sectPr>
      </w:pPr>
    </w:p>
    <w:p>
      <w:pPr>
        <w:spacing w:after="0" w:line="2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110"/>
          </w:cols>
          <w:pgMar w:left="1390" w:top="1025" w:right="1380" w:bottom="71" w:gutter="0" w:footer="0" w:header="0"/>
          <w:type w:val="continuous"/>
        </w:sectPr>
      </w:pPr>
    </w:p>
    <w:bookmarkStart w:id="21" w:name="page22"/>
    <w:bookmarkEnd w:id="21"/>
    <w:p>
      <w:pPr>
        <w:spacing w:after="0" w:line="262" w:lineRule="auto"/>
        <w:rPr>
          <w:sz w:val="20"/>
          <w:szCs w:val="20"/>
          <w:color w:val="auto"/>
        </w:rPr>
      </w:pPr>
      <w:r>
        <w:rPr>
          <w:rFonts w:ascii="Times New Roman" w:cs="Times New Roman" w:eastAsia="Times New Roman" w:hAnsi="Times New Roman"/>
          <w:sz w:val="20"/>
          <w:szCs w:val="20"/>
          <w:color w:val="auto"/>
        </w:rPr>
        <w:t>patients within minutes at an outpatient center. Due to the low incidence of adverse events with our therapies, patients do not need to be hospitalized and monitored overnight. Instead, the patients are evaluated for any immediate infusion-related reactions and can then usually be discharged within two hours.</w:t>
      </w:r>
    </w:p>
    <w:p>
      <w:pPr>
        <w:spacing w:after="0" w:line="113"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We have established an in-house cGMP manufacturing facility, and we began manufacturing MT-401 for our Phase 2 trial in AML in the fourth quarter of 2021. Our facility allows for production of multiTAA-specific T cell products according to FDA guidelines and is designed to be scalable using modular processes. We believe that our in-house manufacturing facility confers key advantages that distinguish us from our competitors, in particular that we are less reliant on contract manufacturing organizations, which are expensive and often have long lead times, shortages of skilled labor and a backlog of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6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completed the construction and qualification of our cGMP manufacturing facility in Houston, Texas in January 2021, and we began manufacturing MT-401 for our Phase 2 trial in AML in the fourth quarter of 2021. Our facility allows for production of multiTAA-specific T cell products according to FDA guidelines and is designed to be scalable using modular processes. Prior to that time, we relied on BCM to manufacture our multiTAA-specific T cell therapies, and we continue to rely on BCM to manufacture the raw materials, our active pharmaceutical ingredients, or APIs, and finished solid dose products for our peptide vaccines for clinical uses. We anticipate using our manufacturing facility to produce clinical supply of MT-601 and commercial supply of any approved product candidates.</w:t>
      </w:r>
    </w:p>
    <w:p>
      <w:pPr>
        <w:spacing w:after="0" w:line="128"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Our supply chain for manufacturing raw materials, API, peptide vaccines and multiTAA-specific T cell therapies ready for distribution and commercialization is a multi-step process. Establishing and managing the supply chain requires a significant financial commitment and the creation and maintenance of numerous third-party contractual relationships.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69"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which are competitive with our drug candidates. Our product candidates may compete with product candidates from a number of companies, which are developing various types of similar in vivo T-cell immunotherapies and therapeutic cancer vaccines to treat cancer, including: Advaxis Inc., Bavarian Nordic, BN Immunotherapeutics, Celldex, Immunocellular, Merck/Immune Design, SELLAS Life Sciences Group, Inc. (formerly) Galena BioPharma, NuGenerex Immuno-Oncology (formerly) Antigen Express and Transgene S.A. In addition, other adoptive T-cell therapies, monoclonal antibodies and checkpoint inhibitors also provide competition in the oncology space. In these areas, competitors include Adaptimmune, AstraZeneca plc, Bluebird Bio, Cellectis, Immatics, Iovance, Juno Therapeutics/Celgene/Bristol Myers Squibb, Kite Pharma/ Gilead, Kuur Therapeutics, Medimmune, LLC, Merck &amp; Co, NexImmune, Novartis, Repertoire Immune Medicines, Roche Pharmaceuticals and Tessa Therapeutics. We believe that our non-engineered T cells therapy and our in vivo T-cell therapy approaches will be synergistic and may improve therapies being developed by these competitors. Many companies and institutions, either alone or together with their collaborative partners, have substantially greater financial, technical and human resources, and significantly greater experience than we do in the following:</w:t>
      </w:r>
    </w:p>
    <w:p>
      <w:pPr>
        <w:spacing w:after="0" w:line="338" w:lineRule="exact"/>
        <w:rPr>
          <w:sz w:val="20"/>
          <w:szCs w:val="20"/>
          <w:color w:val="auto"/>
        </w:rPr>
      </w:pPr>
    </w:p>
    <w:p>
      <w:pPr>
        <w:ind w:left="580" w:hanging="191"/>
        <w:spacing w:after="0"/>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drug discovery;</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products;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undertaking preclinical testing and clinical trials;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FDA and other regulatory approvals of products; and</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marketing, distributing and selling products.</w:t>
      </w:r>
    </w:p>
    <w:p>
      <w:pPr>
        <w:spacing w:after="0" w:line="167" w:lineRule="exact"/>
        <w:rPr>
          <w:sz w:val="20"/>
          <w:szCs w:val="20"/>
          <w:color w:val="auto"/>
        </w:rPr>
      </w:pPr>
    </w:p>
    <w:p>
      <w:pPr>
        <w:ind w:right="320" w:firstLine="399"/>
        <w:spacing w:after="0" w:line="282" w:lineRule="auto"/>
        <w:rPr>
          <w:sz w:val="20"/>
          <w:szCs w:val="20"/>
          <w:color w:val="auto"/>
        </w:rPr>
      </w:pPr>
      <w:r>
        <w:rPr>
          <w:rFonts w:ascii="Times New Roman" w:cs="Times New Roman" w:eastAsia="Times New Roman" w:hAnsi="Times New Roman"/>
          <w:sz w:val="20"/>
          <w:szCs w:val="20"/>
          <w:color w:val="auto"/>
        </w:rPr>
        <w:t>Accordingly, our competitors may succeed in obtaining patent protection, receiving FDA and other regulatory approval or commercializing products that compete with our drug candidates.</w:t>
      </w:r>
    </w:p>
    <w:p>
      <w:pPr>
        <w:sectPr>
          <w:pgSz w:w="11880" w:h="15480" w:orient="portrait"/>
          <w:cols w:equalWidth="0" w:num="1">
            <w:col w:w="9100"/>
          </w:cols>
          <w:pgMar w:left="1400" w:top="1025" w:right="1380" w:bottom="71" w:gutter="0" w:footer="0" w:header="0"/>
        </w:sect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100"/>
          </w:cols>
          <w:pgMar w:left="1400" w:top="1025" w:right="1380" w:bottom="71" w:gutter="0" w:footer="0" w:header="0"/>
          <w:type w:val="continuous"/>
        </w:sectPr>
      </w:pPr>
    </w:p>
    <w:bookmarkStart w:id="22" w:name="page23"/>
    <w:bookmarkEnd w:id="22"/>
    <w:p>
      <w:pPr>
        <w:ind w:right="160" w:firstLine="399"/>
        <w:spacing w:after="0" w:line="282" w:lineRule="auto"/>
        <w:rPr>
          <w:sz w:val="20"/>
          <w:szCs w:val="20"/>
          <w:color w:val="auto"/>
        </w:rPr>
      </w:pPr>
      <w:r>
        <w:rPr>
          <w:rFonts w:ascii="Times New Roman" w:cs="Times New Roman" w:eastAsia="Times New Roman" w:hAnsi="Times New Roman"/>
          <w:sz w:val="20"/>
          <w:szCs w:val="20"/>
          <w:color w:val="auto"/>
        </w:rPr>
        <w:t>In addition, any drug candidate that we successfully develop may compete with existing therapies that have long histories of safe and effective use. Competition may also arise from:</w:t>
      </w:r>
    </w:p>
    <w:p>
      <w:pPr>
        <w:spacing w:after="0" w:line="54" w:lineRule="exact"/>
        <w:rPr>
          <w:sz w:val="20"/>
          <w:szCs w:val="20"/>
          <w:color w:val="auto"/>
        </w:rPr>
      </w:pPr>
    </w:p>
    <w:p>
      <w:pPr>
        <w:ind w:left="580" w:right="660" w:hanging="191"/>
        <w:spacing w:after="0" w:line="282" w:lineRule="auto"/>
        <w:tabs>
          <w:tab w:leader="none" w:pos="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drug development technologies and methods of preventing or reducing the incidence of disease;</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small molecules; or</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classes of therapeutic agents.</w:t>
      </w:r>
    </w:p>
    <w:p>
      <w:pPr>
        <w:spacing w:after="0" w:line="167" w:lineRule="exact"/>
        <w:rPr>
          <w:sz w:val="20"/>
          <w:szCs w:val="20"/>
          <w:color w:val="auto"/>
        </w:rPr>
      </w:pPr>
    </w:p>
    <w:p>
      <w:pPr>
        <w:ind w:right="200" w:firstLine="399"/>
        <w:spacing w:after="0" w:line="256" w:lineRule="auto"/>
        <w:rPr>
          <w:sz w:val="20"/>
          <w:szCs w:val="20"/>
          <w:color w:val="auto"/>
        </w:rPr>
      </w:pPr>
      <w:r>
        <w:rPr>
          <w:rFonts w:ascii="Times New Roman" w:cs="Times New Roman" w:eastAsia="Times New Roman" w:hAnsi="Times New Roman"/>
          <w:sz w:val="20"/>
          <w:szCs w:val="20"/>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ability to compete successfully will depend, in part, on our ability to:</w:t>
      </w:r>
    </w:p>
    <w:p>
      <w:pPr>
        <w:spacing w:after="0" w:line="129" w:lineRule="exact"/>
        <w:rPr>
          <w:sz w:val="20"/>
          <w:szCs w:val="20"/>
          <w:color w:val="auto"/>
        </w:rPr>
      </w:pPr>
    </w:p>
    <w:p>
      <w:pPr>
        <w:ind w:left="580" w:hanging="191"/>
        <w:spacing w:after="0"/>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proprietary products;</w:t>
      </w:r>
    </w:p>
    <w:p>
      <w:pPr>
        <w:spacing w:after="0" w:line="129" w:lineRule="exact"/>
        <w:rPr>
          <w:rFonts w:ascii="Times New Roman" w:cs="Times New Roman" w:eastAsia="Times New Roman" w:hAnsi="Times New Roman"/>
          <w:sz w:val="20"/>
          <w:szCs w:val="20"/>
          <w:color w:val="auto"/>
        </w:rPr>
      </w:pPr>
    </w:p>
    <w:p>
      <w:pPr>
        <w:ind w:left="580" w:right="60" w:hanging="191"/>
        <w:spacing w:after="0" w:line="284" w:lineRule="auto"/>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maintain products that reach the market first, are technologically superior to and/or are of lower cost than other products in the market;</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scientific, product development and sales and marketing personnel;</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patent or other proprietary protection for our products and technologies;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required regulatory approvals; and</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market, distribute and sell any products that we develop.</w:t>
      </w:r>
    </w:p>
    <w:p>
      <w:pPr>
        <w:spacing w:after="0" w:line="169"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BCM Exclusive License Agreement</w:t>
      </w:r>
    </w:p>
    <w:p>
      <w:pPr>
        <w:spacing w:after="0" w:line="171" w:lineRule="exact"/>
        <w:rPr>
          <w:sz w:val="20"/>
          <w:szCs w:val="20"/>
          <w:color w:val="auto"/>
        </w:rPr>
      </w:pPr>
    </w:p>
    <w:p>
      <w:pPr>
        <w:ind w:right="240" w:firstLine="399"/>
        <w:spacing w:after="0" w:line="261" w:lineRule="auto"/>
        <w:rPr>
          <w:sz w:val="20"/>
          <w:szCs w:val="20"/>
          <w:color w:val="auto"/>
        </w:rPr>
      </w:pPr>
      <w:r>
        <w:rPr>
          <w:rFonts w:ascii="Times New Roman" w:cs="Times New Roman" w:eastAsia="Times New Roman" w:hAnsi="Times New Roman"/>
          <w:sz w:val="20"/>
          <w:szCs w:val="20"/>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multiTAA-specific T cell product candidates.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License to BCM’s Subject Technology:</w:t>
      </w:r>
    </w:p>
    <w:p>
      <w:pPr>
        <w:spacing w:after="0" w:line="165" w:lineRule="exact"/>
        <w:rPr>
          <w:sz w:val="20"/>
          <w:szCs w:val="20"/>
          <w:color w:val="auto"/>
        </w:rPr>
      </w:pPr>
    </w:p>
    <w:p>
      <w:pPr>
        <w:ind w:left="780" w:right="720" w:hanging="391"/>
        <w:spacing w:after="0" w:line="284" w:lineRule="auto"/>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“Generation of CTL Lines with Specificity Against Multiple Tumor Antigens or Multiple Viruses”</w:t>
      </w:r>
    </w:p>
    <w:p>
      <w:pPr>
        <w:spacing w:after="0" w:line="94"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“Pepmixes to Generate Multiviral CTLs with Broad Specificity”</w:t>
      </w:r>
    </w:p>
    <w:p>
      <w:pPr>
        <w:spacing w:after="0" w:line="169"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“Immunogenic Antigen Identification from a Pathogen and Correlation to Clinical Efficacy”</w:t>
      </w:r>
    </w:p>
    <w:p>
      <w:pPr>
        <w:spacing w:after="0" w:line="169"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 cell performance assay as a prognostic factor for clinical outcome”</w:t>
      </w:r>
    </w:p>
    <w:p>
      <w:pPr>
        <w:spacing w:after="0" w:line="169" w:lineRule="exact"/>
        <w:rPr>
          <w:sz w:val="20"/>
          <w:szCs w:val="20"/>
          <w:color w:val="auto"/>
        </w:rPr>
      </w:pPr>
    </w:p>
    <w:p>
      <w:pPr>
        <w:ind w:right="100" w:firstLine="399"/>
        <w:spacing w:after="0" w:line="284" w:lineRule="auto"/>
        <w:rPr>
          <w:sz w:val="20"/>
          <w:szCs w:val="20"/>
          <w:color w:val="auto"/>
        </w:rPr>
      </w:pPr>
      <w:r>
        <w:rPr>
          <w:rFonts w:ascii="Times New Roman" w:cs="Times New Roman" w:eastAsia="Times New Roman" w:hAnsi="Times New Roman"/>
          <w:sz w:val="20"/>
          <w:szCs w:val="20"/>
          <w:color w:val="auto"/>
        </w:rPr>
        <w:t>In partial consideration for the exclusive rights granted under the BCM License Agreement, Marker Cell Therapy, Inc., an entity that is now our wholly owned subsidiary, issued shares of its common stock to</w:t>
      </w:r>
    </w:p>
    <w:p>
      <w:pPr>
        <w:sectPr>
          <w:pgSz w:w="11880" w:h="15480" w:orient="portrait"/>
          <w:cols w:equalWidth="0" w:num="1">
            <w:col w:w="9100"/>
          </w:cols>
          <w:pgMar w:left="1400" w:top="1025" w:right="1380" w:bottom="7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100"/>
          </w:cols>
          <w:pgMar w:left="1400" w:top="1025" w:right="1380" w:bottom="7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BCM valued at approximately $5.0 million at the time of issuance. Such initial equity issuance was exchanged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into merger consideration of 149,081 shares of our common stock and warrants to acquire 54,064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our common stock in connection with the merger we completed in October 2018, each as adjusted to reflect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reverse stock split that we effected in January 2023. Additional consideration includes a royalty paid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by us to BCM according to the royalty schedule in the BCM License Agreement. The royalty fee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is based on aggregate net sales in four different ranges: (1) less than $500 million, (2) $500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$1.0 billion, (3) $1.0 billion and over, and (4) $2.0 billion and over. The corresponding royalty percentages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range from 0.65% to 5.0% - increasing in proportion to the aggregate net sales. The royalty fee may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reduced in the event that we must pay additional royalties with respect to third-party owned patent rights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necessary for the use, manufacture or sale of a licensed product. We also agreed to pay BCM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 to an aggregate of $64.85 million in milestone payments upon the occurrence of nine particular milestones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relating to completion of the first dosing in clinical trials for a first and second distinct product, receipt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from the FDA and the achievement of certain net sales goals. We are also responsible for sublicensing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fees. In addition, under the BCM License Agreement, we are responsible for reimbursing BCM for patent-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expenses. BCM is responsible for filing, prosecuting and maintaining all patent applications and patents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included in the licensed patent rights, and we have agreed to reimburse BCM for all such related legal costs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incurred after the date of the BCM License Agreement, except such legal costs shall be reduced on a pro-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rata basis on a patent or patent application basis should BCM license such patent or patent application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fields of use to any third party.</w:t>
      </w:r>
    </w:p>
    <w:p>
      <w:pPr>
        <w:spacing w:after="0" w:line="167" w:lineRule="exact"/>
        <w:rPr>
          <w:sz w:val="20"/>
          <w:szCs w:val="20"/>
          <w:color w:val="auto"/>
        </w:rPr>
      </w:pPr>
    </w:p>
    <w:p>
      <w:pPr>
        <w:ind w:right="60" w:firstLine="399"/>
        <w:spacing w:after="0" w:line="264" w:lineRule="auto"/>
        <w:rPr>
          <w:sz w:val="20"/>
          <w:szCs w:val="20"/>
          <w:color w:val="auto"/>
        </w:rPr>
      </w:pPr>
      <w:r>
        <w:rPr>
          <w:rFonts w:ascii="Times New Roman" w:cs="Times New Roman" w:eastAsia="Times New Roman" w:hAnsi="Times New Roman"/>
          <w:sz w:val="20"/>
          <w:szCs w:val="20"/>
          <w:color w:val="auto"/>
        </w:rPr>
        <w:t>In addition, upon a liquidity event (as defined in the BCM License Agreement) of the Company, BCM will receive a liquidity incentive payment of 0.5% of the liquidity event proceeds (as defined in the BCM License Agreement).</w:t>
      </w:r>
    </w:p>
    <w:p>
      <w:pPr>
        <w:spacing w:after="0" w:line="113" w:lineRule="exact"/>
        <w:rPr>
          <w:sz w:val="20"/>
          <w:szCs w:val="20"/>
          <w:color w:val="auto"/>
        </w:rPr>
      </w:pPr>
    </w:p>
    <w:p>
      <w:pPr>
        <w:ind w:right="100" w:firstLine="399"/>
        <w:spacing w:after="0" w:line="255" w:lineRule="auto"/>
        <w:rPr>
          <w:sz w:val="20"/>
          <w:szCs w:val="20"/>
          <w:color w:val="auto"/>
        </w:rPr>
      </w:pPr>
      <w:r>
        <w:rPr>
          <w:rFonts w:ascii="Times New Roman" w:cs="Times New Roman" w:eastAsia="Times New Roman" w:hAnsi="Times New Roman"/>
          <w:sz w:val="20"/>
          <w:szCs w:val="20"/>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363"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Unless terminated sooner, the license will expire on a licensed product-by-product basis and country-by-country basis, on the later of (1) the date of expiration of the last valid claim of patent rights to expire that covers the sale of such licensed product in such country, or (2) 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26" w:lineRule="exact"/>
        <w:rPr>
          <w:sz w:val="20"/>
          <w:szCs w:val="20"/>
          <w:color w:val="auto"/>
        </w:rPr>
      </w:pPr>
    </w:p>
    <w:p>
      <w:pPr>
        <w:ind w:right="40" w:firstLine="399"/>
        <w:spacing w:after="0" w:line="249" w:lineRule="auto"/>
        <w:rPr>
          <w:sz w:val="20"/>
          <w:szCs w:val="20"/>
          <w:color w:val="auto"/>
        </w:rPr>
      </w:pPr>
      <w:r>
        <w:rPr>
          <w:rFonts w:ascii="Times New Roman" w:cs="Times New Roman" w:eastAsia="Times New Roman" w:hAnsi="Times New Roman"/>
          <w:sz w:val="20"/>
          <w:szCs w:val="20"/>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ectPr>
          <w:pgSz w:w="11880" w:h="15480" w:orient="portrait"/>
          <w:cols w:equalWidth="0" w:num="1">
            <w:col w:w="9100"/>
          </w:cols>
          <w:pgMar w:left="1400" w:top="1025" w:right="1380" w:bottom="70" w:gutter="0" w:footer="0" w:header="0"/>
        </w:sect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100"/>
          </w:cols>
          <w:pgMar w:left="1400" w:top="1025" w:right="1380" w:bottom="70" w:gutter="0" w:footer="0" w:header="0"/>
          <w:type w:val="continuous"/>
        </w:sectPr>
      </w:pPr>
    </w:p>
    <w:bookmarkStart w:id="24" w:name="page25"/>
    <w:bookmarkEnd w:id="24"/>
    <w:p>
      <w:pPr>
        <w:ind w:firstLine="399"/>
        <w:spacing w:after="0" w:line="252" w:lineRule="auto"/>
        <w:rPr>
          <w:sz w:val="20"/>
          <w:szCs w:val="20"/>
          <w:color w:val="auto"/>
        </w:rPr>
      </w:pPr>
      <w:r>
        <w:rPr>
          <w:rFonts w:ascii="Times New Roman" w:cs="Times New Roman" w:eastAsia="Times New Roman" w:hAnsi="Times New Roman"/>
          <w:sz w:val="20"/>
          <w:szCs w:val="20"/>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24" w:lineRule="exact"/>
        <w:rPr>
          <w:sz w:val="20"/>
          <w:szCs w:val="20"/>
          <w:color w:val="auto"/>
        </w:rPr>
      </w:pPr>
    </w:p>
    <w:p>
      <w:pPr>
        <w:jc w:val="both"/>
        <w:ind w:right="100" w:firstLine="399"/>
        <w:spacing w:after="0" w:line="262" w:lineRule="auto"/>
        <w:rPr>
          <w:sz w:val="20"/>
          <w:szCs w:val="20"/>
          <w:color w:val="auto"/>
        </w:rPr>
      </w:pPr>
      <w:r>
        <w:rPr>
          <w:rFonts w:ascii="Times New Roman" w:cs="Times New Roman" w:eastAsia="Times New Roman" w:hAnsi="Times New Roman"/>
          <w:sz w:val="20"/>
          <w:szCs w:val="20"/>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pacing w:after="0" w:line="113"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67"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369" w:lineRule="exact"/>
        <w:rPr>
          <w:sz w:val="20"/>
          <w:szCs w:val="20"/>
          <w:color w:val="auto"/>
        </w:rPr>
      </w:pPr>
    </w:p>
    <w:p>
      <w:pPr>
        <w:ind w:right="40" w:firstLine="399"/>
        <w:spacing w:after="0" w:line="252" w:lineRule="auto"/>
        <w:rPr>
          <w:sz w:val="20"/>
          <w:szCs w:val="20"/>
          <w:color w:val="auto"/>
        </w:rPr>
      </w:pPr>
      <w:r>
        <w:rPr>
          <w:rFonts w:ascii="Times New Roman" w:cs="Times New Roman" w:eastAsia="Times New Roman" w:hAnsi="Times New Roman"/>
          <w:sz w:val="20"/>
          <w:szCs w:val="20"/>
          <w:color w:val="auto"/>
        </w:rPr>
        <w:t>To achieve this objective, a strategic focus for us has been identifying and licensing key patents and patent applications that serve to enhance our intellectual property and technology position. Currently, all of our multiTAA-specific 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6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365" w:lineRule="exact"/>
        <w:rPr>
          <w:sz w:val="20"/>
          <w:szCs w:val="20"/>
          <w:color w:val="auto"/>
        </w:rPr>
      </w:pPr>
    </w:p>
    <w:p>
      <w:pPr>
        <w:ind w:right="220" w:firstLine="399"/>
        <w:spacing w:after="0" w:line="264" w:lineRule="auto"/>
        <w:rPr>
          <w:sz w:val="20"/>
          <w:szCs w:val="20"/>
          <w:color w:val="auto"/>
        </w:rPr>
      </w:pPr>
      <w:r>
        <w:rPr>
          <w:rFonts w:ascii="Times New Roman" w:cs="Times New Roman" w:eastAsia="Times New Roman" w:hAnsi="Times New Roman"/>
          <w:sz w:val="20"/>
          <w:szCs w:val="20"/>
          <w:color w:val="auto"/>
        </w:rPr>
        <w:t>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w:t>
      </w:r>
    </w:p>
    <w:p>
      <w:pPr>
        <w:sectPr>
          <w:pgSz w:w="11880" w:h="15480" w:orient="portrait"/>
          <w:cols w:equalWidth="0" w:num="1">
            <w:col w:w="9100"/>
          </w:cols>
          <w:pgMar w:left="1400" w:top="1025" w:right="1380" w:bottom="71" w:gutter="0" w:footer="0" w:header="0"/>
        </w:sect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100"/>
          </w:cols>
          <w:pgMar w:left="1400" w:top="1025" w:right="1380" w:bottom="71" w:gutter="0" w:footer="0" w:header="0"/>
          <w:type w:val="continuous"/>
        </w:sectPr>
      </w:pPr>
    </w:p>
    <w:bookmarkStart w:id="25" w:name="page26"/>
    <w:bookmarkEnd w:id="25"/>
    <w:p>
      <w:pPr>
        <w:ind w:left="10" w:right="40"/>
        <w:spacing w:after="0" w:line="257" w:lineRule="auto"/>
        <w:rPr>
          <w:sz w:val="20"/>
          <w:szCs w:val="20"/>
          <w:color w:val="auto"/>
        </w:rPr>
      </w:pPr>
      <w:r>
        <w:rPr>
          <w:rFonts w:ascii="Times New Roman" w:cs="Times New Roman" w:eastAsia="Times New Roman" w:hAnsi="Times New Roman"/>
          <w:sz w:val="20"/>
          <w:szCs w:val="20"/>
          <w:color w:val="auto"/>
        </w:rPr>
        <w:t>designed around by others or that others will not obtain patents that we would need to license or design around. If existing or future patents held by third parties and containing broad claims over technology used by us were upheld by a court or other authority of competent jurisdiction, the holders of such patents could require us to obtain licenses to use such technology.</w:t>
      </w:r>
    </w:p>
    <w:p>
      <w:pPr>
        <w:spacing w:after="0" w:line="116"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color w:val="auto"/>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spacing w:after="0" w:line="120" w:lineRule="exact"/>
        <w:rPr>
          <w:sz w:val="20"/>
          <w:szCs w:val="20"/>
          <w:color w:val="auto"/>
        </w:rPr>
      </w:pPr>
    </w:p>
    <w:p>
      <w:pPr>
        <w:ind w:left="10" w:right="40" w:firstLine="399"/>
        <w:spacing w:after="0" w:line="257" w:lineRule="auto"/>
        <w:rPr>
          <w:sz w:val="20"/>
          <w:szCs w:val="20"/>
          <w:color w:val="auto"/>
        </w:rPr>
      </w:pPr>
      <w:r>
        <w:rPr>
          <w:rFonts w:ascii="Times New Roman" w:cs="Times New Roman" w:eastAsia="Times New Roman" w:hAnsi="Times New Roman"/>
          <w:sz w:val="20"/>
          <w:szCs w:val="20"/>
          <w:color w:val="auto"/>
        </w:rPr>
        <w:t>We currently have a number of issued and pending patents covering composition of matter of our PolyStart technology and methods of using our PolyStart technology, including: U.S. 9,364,523 (estimated expiration date March 17, 2035); and U.S. 10,030,252 (estimated expiration date March 17, 2035); as well as pending U.S. patent applications.</w:t>
      </w:r>
    </w:p>
    <w:p>
      <w:pPr>
        <w:spacing w:after="0" w:line="116" w:lineRule="exact"/>
        <w:rPr>
          <w:sz w:val="20"/>
          <w:szCs w:val="20"/>
          <w:color w:val="auto"/>
        </w:rPr>
      </w:pPr>
    </w:p>
    <w:p>
      <w:pPr>
        <w:ind w:left="10" w:right="20" w:firstLine="399"/>
        <w:spacing w:after="0" w:line="245" w:lineRule="auto"/>
        <w:rPr>
          <w:sz w:val="20"/>
          <w:szCs w:val="20"/>
          <w:color w:val="auto"/>
        </w:rPr>
      </w:pPr>
      <w:r>
        <w:rPr>
          <w:rFonts w:ascii="Times New Roman" w:cs="Times New Roman" w:eastAsia="Times New Roman" w:hAnsi="Times New Roman"/>
          <w:sz w:val="20"/>
          <w:szCs w:val="20"/>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 for example: (1) later- expiring patents on processes and intermediates related to improved methods of manufacture of the active ingredient of such product; (2) patents relating to the use of such product;</w:t>
      </w:r>
    </w:p>
    <w:p>
      <w:pPr>
        <w:spacing w:after="0" w:line="4" w:lineRule="exact"/>
        <w:rPr>
          <w:sz w:val="20"/>
          <w:szCs w:val="20"/>
          <w:color w:val="auto"/>
        </w:rPr>
      </w:pPr>
    </w:p>
    <w:p>
      <w:pPr>
        <w:ind w:left="290" w:hanging="290"/>
        <w:spacing w:after="0"/>
        <w:tabs>
          <w:tab w:leader="none" w:pos="29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relating to novel compositions and formulations; and (4) in the United States and certain</w:t>
      </w:r>
    </w:p>
    <w:p>
      <w:pPr>
        <w:spacing w:after="0" w:line="5" w:lineRule="exact"/>
        <w:rPr>
          <w:rFonts w:ascii="Times New Roman" w:cs="Times New Roman" w:eastAsia="Times New Roman" w:hAnsi="Times New Roman"/>
          <w:sz w:val="20"/>
          <w:szCs w:val="20"/>
          <w:color w:val="auto"/>
        </w:rPr>
      </w:pPr>
    </w:p>
    <w:p>
      <w:pPr>
        <w:ind w:left="1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23" w:lineRule="exact"/>
        <w:rPr>
          <w:sz w:val="20"/>
          <w:szCs w:val="20"/>
          <w:color w:val="auto"/>
        </w:rPr>
      </w:pPr>
    </w:p>
    <w:p>
      <w:pPr>
        <w:ind w:left="10" w:firstLine="399"/>
        <w:spacing w:after="0" w:line="249" w:lineRule="auto"/>
        <w:rPr>
          <w:sz w:val="20"/>
          <w:szCs w:val="20"/>
          <w:color w:val="auto"/>
        </w:rPr>
      </w:pPr>
      <w:r>
        <w:rPr>
          <w:rFonts w:ascii="Times New Roman" w:cs="Times New Roman" w:eastAsia="Times New Roman" w:hAnsi="Times New Roman"/>
          <w:sz w:val="20"/>
          <w:szCs w:val="20"/>
          <w:color w:val="auto"/>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 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spacing w:after="0" w:line="378" w:lineRule="exact"/>
        <w:rPr>
          <w:sz w:val="20"/>
          <w:szCs w:val="20"/>
          <w:color w:val="auto"/>
        </w:rPr>
      </w:pPr>
    </w:p>
    <w:p>
      <w:pPr>
        <w:ind w:left="10" w:right="80" w:firstLine="399"/>
        <w:spacing w:after="0" w:line="254" w:lineRule="auto"/>
        <w:rPr>
          <w:sz w:val="20"/>
          <w:szCs w:val="20"/>
          <w:color w:val="auto"/>
        </w:rPr>
      </w:pPr>
      <w:r>
        <w:rPr>
          <w:rFonts w:ascii="Times New Roman" w:cs="Times New Roman" w:eastAsia="Times New Roman" w:hAnsi="Times New Roman"/>
          <w:sz w:val="20"/>
          <w:szCs w:val="20"/>
          <w:color w:val="auto"/>
        </w:rPr>
        <w:t>We have patents and patent applications in other countries, as well as in the European Patent Office, that we believe provide equivalent or comparable protection for our product candidates in jurisdictions internationally that we consider to be key markets. Patent applications related to our PolyStart technology are pending in Brazil and Canada. Because of differences in patent laws and laws concerning proprietary rights, the extent of protection provided by U.S. patents or proprietary rights owned by us may differ from that of their foreign counterparts.</w:t>
      </w:r>
    </w:p>
    <w:p>
      <w:pPr>
        <w:spacing w:after="0" w:line="20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66" w:lineRule="exact"/>
        <w:rPr>
          <w:sz w:val="20"/>
          <w:szCs w:val="20"/>
          <w:color w:val="auto"/>
        </w:rPr>
      </w:pPr>
    </w:p>
    <w:p>
      <w:pPr>
        <w:ind w:left="10" w:right="180" w:firstLine="399"/>
        <w:spacing w:after="0" w:line="282" w:lineRule="auto"/>
        <w:rPr>
          <w:sz w:val="20"/>
          <w:szCs w:val="20"/>
          <w:color w:val="auto"/>
        </w:rPr>
      </w:pPr>
      <w:r>
        <w:rPr>
          <w:rFonts w:ascii="Times New Roman" w:cs="Times New Roman" w:eastAsia="Times New Roman" w:hAnsi="Times New Roman"/>
          <w:sz w:val="20"/>
          <w:szCs w:val="20"/>
          <w:color w:val="auto"/>
        </w:rPr>
        <w:t>We also rely on trade secrets and know-how relating to our proprietary technology and product candidates, continuing innovation, and in-licensing opportunities to develop, strengthen and maintain our</w:t>
      </w:r>
    </w:p>
    <w:p>
      <w:pPr>
        <w:sectPr>
          <w:pgSz w:w="11880" w:h="15480" w:orient="portrait"/>
          <w:cols w:equalWidth="0" w:num="1">
            <w:col w:w="9110"/>
          </w:cols>
          <w:pgMar w:left="1390" w:top="1025" w:right="1380" w:bottom="71" w:gutter="0" w:footer="0" w:header="0"/>
        </w:sectPr>
      </w:pPr>
    </w:p>
    <w:p>
      <w:pPr>
        <w:spacing w:after="0" w:line="25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110"/>
          </w:cols>
          <w:pgMar w:left="1390" w:top="1025" w:right="1380" w:bottom="71" w:gutter="0" w:footer="0" w:header="0"/>
          <w:type w:val="continuous"/>
        </w:sectPr>
      </w:pPr>
    </w:p>
    <w:bookmarkStart w:id="26" w:name="page27"/>
    <w:bookmarkEnd w:id="26"/>
    <w:p>
      <w:pPr>
        <w:ind w:right="80"/>
        <w:spacing w:after="0" w:line="263" w:lineRule="auto"/>
        <w:rPr>
          <w:sz w:val="20"/>
          <w:szCs w:val="20"/>
          <w:color w:val="auto"/>
        </w:rPr>
      </w:pPr>
      <w:r>
        <w:rPr>
          <w:rFonts w:ascii="Times New Roman" w:cs="Times New Roman" w:eastAsia="Times New Roman" w:hAnsi="Times New Roman"/>
          <w:sz w:val="20"/>
          <w:szCs w:val="20"/>
          <w:color w:val="auto"/>
        </w:rPr>
        <w:t>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17"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68"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We currently have pending with the USPTO applications for registration of the trademarks POLYSTART and “Marker Therapeutics.” We currently have the trademark “TapImmune” registered with the USPTO.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364"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7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25" w:lineRule="exact"/>
        <w:rPr>
          <w:sz w:val="20"/>
          <w:szCs w:val="20"/>
          <w:color w:val="auto"/>
        </w:rPr>
      </w:pPr>
    </w:p>
    <w:p>
      <w:pPr>
        <w:ind w:right="260" w:firstLine="399"/>
        <w:spacing w:after="0" w:line="284" w:lineRule="auto"/>
        <w:rPr>
          <w:sz w:val="20"/>
          <w:szCs w:val="20"/>
          <w:color w:val="auto"/>
        </w:rPr>
      </w:pPr>
      <w:r>
        <w:rPr>
          <w:rFonts w:ascii="Times New Roman" w:cs="Times New Roman" w:eastAsia="Times New Roman" w:hAnsi="Times New Roman"/>
          <w:sz w:val="20"/>
          <w:szCs w:val="20"/>
          <w:color w:val="auto"/>
        </w:rPr>
        <w:t>The process required by the FDA before biologic product candidates may be marketed in the United States generally involves the following:</w:t>
      </w:r>
    </w:p>
    <w:p>
      <w:pPr>
        <w:spacing w:after="0" w:line="54" w:lineRule="exact"/>
        <w:rPr>
          <w:sz w:val="20"/>
          <w:szCs w:val="20"/>
          <w:color w:val="auto"/>
        </w:rPr>
      </w:pPr>
    </w:p>
    <w:p>
      <w:pPr>
        <w:ind w:left="580" w:right="520" w:hanging="191"/>
        <w:spacing w:after="0" w:line="284" w:lineRule="auto"/>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and animal studies performed in accordance with the FDA’s current Good Laboratory Practices, or GLP, regulation;</w:t>
      </w:r>
    </w:p>
    <w:p>
      <w:pPr>
        <w:spacing w:after="0" w:line="54" w:lineRule="exact"/>
        <w:rPr>
          <w:rFonts w:ascii="Times New Roman" w:cs="Times New Roman" w:eastAsia="Times New Roman" w:hAnsi="Times New Roman"/>
          <w:sz w:val="20"/>
          <w:szCs w:val="20"/>
          <w:color w:val="auto"/>
        </w:rPr>
      </w:pPr>
    </w:p>
    <w:p>
      <w:pPr>
        <w:ind w:left="580" w:right="100" w:hanging="191"/>
        <w:spacing w:after="0" w:line="284" w:lineRule="auto"/>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which must become effective before clinical trials may begin and must be updated annually or when significant changes are made;</w:t>
      </w:r>
    </w:p>
    <w:p>
      <w:pPr>
        <w:spacing w:after="0" w:line="54" w:lineRule="exact"/>
        <w:rPr>
          <w:rFonts w:ascii="Times New Roman" w:cs="Times New Roman" w:eastAsia="Times New Roman" w:hAnsi="Times New Roman"/>
          <w:sz w:val="20"/>
          <w:szCs w:val="20"/>
          <w:color w:val="auto"/>
        </w:rPr>
      </w:pPr>
    </w:p>
    <w:p>
      <w:pPr>
        <w:ind w:left="580" w:right="100" w:hanging="191"/>
        <w:spacing w:after="0" w:line="284" w:lineRule="auto"/>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at each clinical site before the trial is commenced;</w:t>
      </w:r>
    </w:p>
    <w:p>
      <w:pPr>
        <w:spacing w:after="0" w:line="54" w:lineRule="exact"/>
        <w:rPr>
          <w:rFonts w:ascii="Times New Roman" w:cs="Times New Roman" w:eastAsia="Times New Roman" w:hAnsi="Times New Roman"/>
          <w:sz w:val="20"/>
          <w:szCs w:val="20"/>
          <w:color w:val="auto"/>
        </w:rPr>
      </w:pPr>
    </w:p>
    <w:p>
      <w:pPr>
        <w:ind w:left="580" w:right="100" w:hanging="191"/>
        <w:spacing w:after="0" w:line="284" w:lineRule="auto"/>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to establish the safety, purity and potency of the proposed biologic product candidate for its intended purpose;</w:t>
      </w:r>
    </w:p>
    <w:p>
      <w:pPr>
        <w:spacing w:after="0" w:line="54" w:lineRule="exact"/>
        <w:rPr>
          <w:rFonts w:ascii="Times New Roman" w:cs="Times New Roman" w:eastAsia="Times New Roman" w:hAnsi="Times New Roman"/>
          <w:sz w:val="20"/>
          <w:szCs w:val="20"/>
          <w:color w:val="auto"/>
        </w:rPr>
      </w:pPr>
    </w:p>
    <w:p>
      <w:pPr>
        <w:ind w:left="580" w:right="800" w:hanging="191"/>
        <w:spacing w:after="0" w:line="284" w:lineRule="auto"/>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and submission to the FDA of a biologics license application, or BLA, after completion of all pivotal clinical trials;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 BLA to file the application for review;</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29" w:lineRule="exact"/>
        <w:rPr>
          <w:rFonts w:ascii="Times New Roman" w:cs="Times New Roman" w:eastAsia="Times New Roman" w:hAnsi="Times New Roman"/>
          <w:sz w:val="20"/>
          <w:szCs w:val="20"/>
          <w:color w:val="auto"/>
        </w:rPr>
      </w:pPr>
    </w:p>
    <w:p>
      <w:pPr>
        <w:ind w:left="580" w:right="20" w:hanging="191"/>
        <w:spacing w:after="0" w:line="284" w:lineRule="auto"/>
        <w:tabs>
          <w:tab w:leader="none" w:pos="5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pre-approval inspection of the manufacturing facility or facilities at which the proposed product is produced to assess compliance with cGMP and to assure that the</w:t>
      </w:r>
    </w:p>
    <w:p>
      <w:pPr>
        <w:sectPr>
          <w:pgSz w:w="11880" w:h="15480" w:orient="portrait"/>
          <w:cols w:equalWidth="0" w:num="1">
            <w:col w:w="9100"/>
          </w:cols>
          <w:pgMar w:left="1400" w:top="1025" w:right="1380" w:bottom="7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100"/>
          </w:cols>
          <w:pgMar w:left="1400" w:top="1025" w:right="1380" w:bottom="70" w:gutter="0" w:footer="0" w:header="0"/>
          <w:type w:val="continuous"/>
        </w:sectPr>
      </w:pPr>
    </w:p>
    <w:bookmarkStart w:id="27" w:name="page28"/>
    <w:bookmarkEnd w:id="27"/>
    <w:p>
      <w:pPr>
        <w:ind w:left="580"/>
        <w:spacing w:after="0" w:line="273" w:lineRule="auto"/>
        <w:rPr>
          <w:sz w:val="20"/>
          <w:szCs w:val="20"/>
          <w:color w:val="auto"/>
        </w:rPr>
      </w:pPr>
      <w:r>
        <w:rPr>
          <w:rFonts w:ascii="Times New Roman" w:cs="Times New Roman" w:eastAsia="Times New Roman" w:hAnsi="Times New Roman"/>
          <w:sz w:val="20"/>
          <w:szCs w:val="20"/>
          <w:color w:val="auto"/>
        </w:rPr>
        <w:t>facilities, methods and controls are adequate to preserve the biological product’s continued safety, purity and potency, and of selected clinical investigation sites to assess compliance with Good Clinical Practices, or GCP; and</w:t>
      </w:r>
    </w:p>
    <w:p>
      <w:pPr>
        <w:spacing w:after="0" w:line="71" w:lineRule="exact"/>
        <w:rPr>
          <w:sz w:val="20"/>
          <w:szCs w:val="20"/>
          <w:color w:val="auto"/>
        </w:rPr>
      </w:pPr>
    </w:p>
    <w:p>
      <w:pPr>
        <w:ind w:left="580" w:right="80" w:hanging="191"/>
        <w:spacing w:after="0" w:line="290" w:lineRule="auto"/>
        <w:tabs>
          <w:tab w:leader="none" w:pos="5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BLA to permit commercial marketing of the product for particular indications for use in the 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w:t>
      </w:r>
    </w:p>
    <w:p>
      <w:pPr>
        <w:spacing w:after="0" w:line="174"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23" w:lineRule="exact"/>
        <w:rPr>
          <w:sz w:val="20"/>
          <w:szCs w:val="20"/>
          <w:color w:val="auto"/>
        </w:rPr>
      </w:pPr>
    </w:p>
    <w:p>
      <w:pPr>
        <w:ind w:right="80" w:firstLine="399"/>
        <w:spacing w:after="0" w:line="288" w:lineRule="auto"/>
        <w:rPr>
          <w:sz w:val="20"/>
          <w:szCs w:val="20"/>
          <w:color w:val="auto"/>
        </w:rPr>
      </w:pPr>
      <w:r>
        <w:rPr>
          <w:rFonts w:ascii="Times New Roman" w:cs="Times New Roman" w:eastAsia="Times New Roman" w:hAnsi="Times New Roman"/>
          <w:sz w:val="20"/>
          <w:szCs w:val="20"/>
          <w:color w:val="auto"/>
        </w:rPr>
        <w:t>For purposes of BLA approval, human clinical trials are typically conducted in three sequential phases that may overlap.</w:t>
      </w:r>
    </w:p>
    <w:p>
      <w:pPr>
        <w:spacing w:after="0" w:line="55" w:lineRule="exact"/>
        <w:rPr>
          <w:sz w:val="20"/>
          <w:szCs w:val="20"/>
          <w:color w:val="auto"/>
        </w:rPr>
      </w:pPr>
    </w:p>
    <w:p>
      <w:pPr>
        <w:ind w:left="580" w:right="60" w:hanging="191"/>
        <w:spacing w:after="0" w:line="265" w:lineRule="auto"/>
        <w:tabs>
          <w:tab w:leader="none" w:pos="5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7"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325" w:lineRule="exact"/>
        <w:rPr>
          <w:rFonts w:ascii="Times New Roman" w:cs="Times New Roman" w:eastAsia="Times New Roman" w:hAnsi="Times New Roman"/>
          <w:sz w:val="20"/>
          <w:szCs w:val="20"/>
          <w:color w:val="auto"/>
        </w:rPr>
      </w:pPr>
    </w:p>
    <w:p>
      <w:pPr>
        <w:ind w:left="580" w:right="80" w:hanging="191"/>
        <w:spacing w:after="0" w:line="262" w:lineRule="auto"/>
        <w:tabs>
          <w:tab w:leader="none" w:pos="5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ectPr>
          <w:pgSz w:w="11880" w:h="15480" w:orient="portrait"/>
          <w:cols w:equalWidth="0" w:num="1">
            <w:col w:w="9100"/>
          </w:cols>
          <w:pgMar w:left="1400" w:top="1025" w:right="1380" w:bottom="69"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100"/>
          </w:cols>
          <w:pgMar w:left="1400" w:top="1025" w:right="1380" w:bottom="69" w:gutter="0" w:footer="0" w:header="0"/>
          <w:type w:val="continuous"/>
        </w:sectPr>
      </w:pPr>
    </w:p>
    <w:bookmarkStart w:id="28" w:name="page29"/>
    <w:bookmarkEnd w:id="28"/>
    <w:p>
      <w:pPr>
        <w:ind w:firstLine="399"/>
        <w:spacing w:after="0" w:line="251" w:lineRule="auto"/>
        <w:rPr>
          <w:sz w:val="20"/>
          <w:szCs w:val="20"/>
          <w:color w:val="auto"/>
        </w:rPr>
      </w:pPr>
      <w:r>
        <w:rPr>
          <w:rFonts w:ascii="Times New Roman" w:cs="Times New Roman" w:eastAsia="Times New Roman" w:hAnsi="Times New Roman"/>
          <w:sz w:val="20"/>
          <w:szCs w:val="20"/>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BLA Submission and Review</w:t>
      </w:r>
    </w:p>
    <w:p>
      <w:pPr>
        <w:spacing w:after="0" w:line="166" w:lineRule="exact"/>
        <w:rPr>
          <w:sz w:val="20"/>
          <w:szCs w:val="20"/>
          <w:color w:val="auto"/>
        </w:rPr>
      </w:pPr>
    </w:p>
    <w:p>
      <w:pPr>
        <w:ind w:right="60" w:firstLine="399"/>
        <w:spacing w:after="0" w:line="253"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25"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34"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367"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w:t>
      </w:r>
    </w:p>
    <w:p>
      <w:pPr>
        <w:sectPr>
          <w:pgSz w:w="11880" w:h="15480" w:orient="portrait"/>
          <w:cols w:equalWidth="0" w:num="1">
            <w:col w:w="9100"/>
          </w:cols>
          <w:pgMar w:left="1400" w:top="1025" w:right="1380" w:bottom="70" w:gutter="0" w:footer="0" w:header="0"/>
        </w:sect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100"/>
          </w:cols>
          <w:pgMar w:left="1400" w:top="1025" w:right="1380" w:bottom="70" w:gutter="0" w:footer="0" w:header="0"/>
          <w:type w:val="continuous"/>
        </w:sectPr>
      </w:pPr>
    </w:p>
    <w:bookmarkStart w:id="29" w:name="page30"/>
    <w:bookmarkEnd w:id="29"/>
    <w:p>
      <w:pPr>
        <w:ind w:right="80"/>
        <w:spacing w:after="0" w:line="248" w:lineRule="auto"/>
        <w:rPr>
          <w:sz w:val="20"/>
          <w:szCs w:val="20"/>
          <w:color w:val="auto"/>
        </w:rPr>
      </w:pPr>
      <w:r>
        <w:rPr>
          <w:rFonts w:ascii="Times New Roman" w:cs="Times New Roman" w:eastAsia="Times New Roman" w:hAnsi="Times New Roman"/>
          <w:sz w:val="20"/>
          <w:szCs w:val="20"/>
          <w:color w:val="auto"/>
        </w:rPr>
        <w:t>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64"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34"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27"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367"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364"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w:t>
      </w:r>
    </w:p>
    <w:p>
      <w:pPr>
        <w:sectPr>
          <w:pgSz w:w="11880" w:h="15480" w:orient="portrait"/>
          <w:cols w:equalWidth="0" w:num="1">
            <w:col w:w="9100"/>
          </w:cols>
          <w:pgMar w:left="1400" w:top="1025" w:right="1380" w:bottom="71"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100"/>
          </w:cols>
          <w:pgMar w:left="1400" w:top="1025" w:right="1380" w:bottom="71"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20"/>
          <w:szCs w:val="20"/>
          <w:color w:val="auto"/>
        </w:rPr>
        <w:t>is intended to treat, modify, reverse, or cure a serious or life-threatening disease or condition; and</w:t>
      </w:r>
    </w:p>
    <w:p>
      <w:pPr>
        <w:spacing w:after="0" w:line="4" w:lineRule="exact"/>
        <w:rPr>
          <w:sz w:val="20"/>
          <w:szCs w:val="20"/>
          <w:color w:val="auto"/>
        </w:rPr>
      </w:pPr>
    </w:p>
    <w:p>
      <w:pPr>
        <w:ind w:left="10" w:hanging="10"/>
        <w:spacing w:after="0" w:line="247" w:lineRule="auto"/>
        <w:tabs>
          <w:tab w:leader="none" w:pos="29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28" w:lineRule="exact"/>
        <w:rPr>
          <w:sz w:val="20"/>
          <w:szCs w:val="20"/>
          <w:color w:val="auto"/>
        </w:rPr>
      </w:pPr>
    </w:p>
    <w:p>
      <w:pPr>
        <w:ind w:left="10" w:firstLine="399"/>
        <w:spacing w:after="0" w:line="270" w:lineRule="auto"/>
        <w:rPr>
          <w:sz w:val="20"/>
          <w:szCs w:val="20"/>
          <w:color w:val="auto"/>
        </w:rPr>
      </w:pPr>
      <w:r>
        <w:rPr>
          <w:rFonts w:ascii="Times New Roman" w:cs="Times New Roman" w:eastAsia="Times New Roman" w:hAnsi="Times New Roman"/>
          <w:sz w:val="20"/>
          <w:szCs w:val="20"/>
          <w:color w:val="auto"/>
        </w:rPr>
        <w:t>Fast track designation, breakthrough therapy designation, priority review, accelerated approval, and RMAT designation do not change the standards for approval but may expedite the development or approval process.</w:t>
      </w:r>
    </w:p>
    <w:p>
      <w:pPr>
        <w:spacing w:after="0" w:line="200" w:lineRule="exact"/>
        <w:rPr>
          <w:sz w:val="20"/>
          <w:szCs w:val="20"/>
          <w:color w:val="auto"/>
        </w:rPr>
      </w:pP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164"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23"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27"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64" w:lineRule="exact"/>
        <w:rPr>
          <w:sz w:val="20"/>
          <w:szCs w:val="20"/>
          <w:color w:val="auto"/>
        </w:rPr>
      </w:pPr>
    </w:p>
    <w:p>
      <w:pPr>
        <w:ind w:left="10" w:firstLine="399"/>
        <w:spacing w:after="0" w:line="248" w:lineRule="auto"/>
        <w:rPr>
          <w:sz w:val="20"/>
          <w:szCs w:val="20"/>
          <w:color w:val="auto"/>
        </w:rPr>
      </w:pPr>
      <w:r>
        <w:rPr>
          <w:rFonts w:ascii="Times New Roman" w:cs="Times New Roman" w:eastAsia="Times New Roman" w:hAnsi="Times New Roman"/>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w:t>
      </w:r>
    </w:p>
    <w:p>
      <w:pPr>
        <w:sectPr>
          <w:pgSz w:w="11880" w:h="15480" w:orient="portrait"/>
          <w:cols w:equalWidth="0" w:num="1">
            <w:col w:w="9110"/>
          </w:cols>
          <w:pgMar w:left="1390" w:top="1025" w:right="1380" w:bottom="71" w:gutter="0" w:footer="0" w:header="0"/>
        </w:sectPr>
      </w:pPr>
    </w:p>
    <w:p>
      <w:pPr>
        <w:spacing w:after="0" w:line="2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110"/>
          </w:cols>
          <w:pgMar w:left="1390" w:top="1025" w:right="1380" w:bottom="71" w:gutter="0" w:footer="0" w:header="0"/>
          <w:type w:val="continuous"/>
        </w:sectPr>
      </w:pPr>
    </w:p>
    <w:bookmarkStart w:id="31" w:name="page32"/>
    <w:bookmarkEnd w:id="31"/>
    <w:p>
      <w:pPr>
        <w:ind w:right="60"/>
        <w:spacing w:after="0" w:line="260" w:lineRule="auto"/>
        <w:rPr>
          <w:sz w:val="20"/>
          <w:szCs w:val="20"/>
          <w:color w:val="auto"/>
        </w:rPr>
      </w:pPr>
      <w:r>
        <w:rPr>
          <w:rFonts w:ascii="Times New Roman" w:cs="Times New Roman" w:eastAsia="Times New Roman" w:hAnsi="Times New Roman"/>
          <w:sz w:val="20"/>
          <w:szCs w:val="20"/>
          <w:color w:val="auto"/>
        </w:rPr>
        <w:t>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358" w:lineRule="exact"/>
        <w:rPr>
          <w:sz w:val="20"/>
          <w:szCs w:val="20"/>
          <w:color w:val="auto"/>
        </w:rPr>
      </w:pPr>
    </w:p>
    <w:p>
      <w:pPr>
        <w:ind w:right="20" w:firstLine="399"/>
        <w:spacing w:after="0" w:line="253"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5" w:lineRule="exact"/>
        <w:rPr>
          <w:sz w:val="20"/>
          <w:szCs w:val="20"/>
          <w:color w:val="auto"/>
        </w:rPr>
      </w:pPr>
    </w:p>
    <w:p>
      <w:pPr>
        <w:ind w:left="580" w:right="300" w:hanging="191"/>
        <w:spacing w:after="0" w:line="282" w:lineRule="auto"/>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a product, complete withdrawal of the product from the market or product recalls;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post-approval clinical studies;</w:t>
      </w:r>
    </w:p>
    <w:p>
      <w:pPr>
        <w:spacing w:after="0" w:line="127" w:lineRule="exact"/>
        <w:rPr>
          <w:rFonts w:ascii="Times New Roman" w:cs="Times New Roman" w:eastAsia="Times New Roman" w:hAnsi="Times New Roman"/>
          <w:sz w:val="20"/>
          <w:szCs w:val="20"/>
          <w:color w:val="auto"/>
        </w:rPr>
      </w:pPr>
    </w:p>
    <w:p>
      <w:pPr>
        <w:ind w:left="580" w:right="400" w:hanging="191"/>
        <w:spacing w:after="0" w:line="282" w:lineRule="auto"/>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existing product approvals;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of the FDA to permit the import or export of products; or</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6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Biosimilars and Reference Product Exclusivity</w:t>
      </w:r>
    </w:p>
    <w:p>
      <w:pPr>
        <w:spacing w:after="0" w:line="166" w:lineRule="exact"/>
        <w:rPr>
          <w:sz w:val="20"/>
          <w:szCs w:val="20"/>
          <w:color w:val="auto"/>
        </w:rPr>
      </w:pPr>
    </w:p>
    <w:p>
      <w:pPr>
        <w:ind w:right="60" w:firstLine="399"/>
        <w:spacing w:after="0" w:line="256" w:lineRule="auto"/>
        <w:rPr>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20"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29"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w:t>
      </w:r>
    </w:p>
    <w:p>
      <w:pPr>
        <w:sectPr>
          <w:pgSz w:w="11880" w:h="15480" w:orient="portrait"/>
          <w:cols w:equalWidth="0" w:num="1">
            <w:col w:w="9100"/>
          </w:cols>
          <w:pgMar w:left="1400" w:top="1025" w:right="1380" w:bottom="71" w:gutter="0" w:footer="0" w:header="0"/>
        </w:sect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100"/>
          </w:cols>
          <w:pgMar w:left="1400" w:top="1025" w:right="1380" w:bottom="71" w:gutter="0" w:footer="0" w:header="0"/>
          <w:type w:val="continuous"/>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20"/>
          <w:szCs w:val="20"/>
          <w:color w:val="auto"/>
        </w:rPr>
        <w:t>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4"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 and Compliance Requirements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Pharmaceutical companies are subject to additional healthcare regulation and enforcement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government and by authorities in the states and foreign jurisdictions in which they conduct their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Such laws include, without limitation: the U.S. federal Anti-Kickback Statute, which prohibits,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among other things, persons and entities from knowingly and willfully soliciting, receiving, offering or paying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remuneration, to induce, or in return for, either the referral of an individual, or the purchase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recommendation of an item or service for which payment may be made under any federal healthcare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program; federal civil and criminal false claims laws and civil monetary penalty laws, which prohibit, among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things, individuals or entities from knowingly presenting, or causing to be presented, claims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to the federal government, including federal healthcare programs, that are false or fraudulent;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Health Insurance Portability and Accountability Act, or HIPAA, which created additional federal criminal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statutes which prohibit, among other things, executing a scheme to defraud any healthcare benefit program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making false statements relating to healthcare matters, and which, as amended by Health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for Economic and Clinical Health Act, or HITECH, also imposes certain requirements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HIPAA covered entities and their business associates and covered subcontractors relating to the privacy,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 and transmission of individually identifiable health information; the U.S. federal Physician Payments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Sunshine Act, which requires certain manufacturers of drugs, devices, biologics and medical supplies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payment is available under Medicare, Medicaid or the Children’s Health Insurance Program, 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specific exceptions, to annually report to the federal government, information related to payments or other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transfers of value made to physicians (as defined by the Physician Payments Sunshine Act), other covered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physicians and teaching hospitals, as well as ownership and investment interests held by health care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professionals and their immediate family members; and U.S. state and foreign law equivalents of each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 federal laws, which, in some cases, differ from each other in significant ways, and may not have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same effect, thus complicating compliance efforts. In addition, certain states require pharmaceutical companies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comply with the pharmaceutical industry’s voluntary compliance guidelines and the relevant compliance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guidance promulgated by the federal government and certain states and local jurisdictions require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registration of pharmaceutical sales representatives. If their operations are found to be in violation of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such laws or any other governmental regulations that apply, they may be subject to penalties, including,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limitation, significant civil, criminal and administrative penalties, damages, fines, disgorgement,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imprisonment, exclusion from government-funded healthcare programs, such as Medicare and Medicaid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similar programs in other countries or jurisdictions, integrity oversight and reporting obligations to resolve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allegations of non-compliance, disgorgement, imprisonment, contractual damages, reputational harm,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diminished profits and the curtailment or restructuring of our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66" w:lineRule="exact"/>
        <w:rPr>
          <w:sz w:val="20"/>
          <w:szCs w:val="20"/>
          <w:color w:val="auto"/>
        </w:rPr>
      </w:pPr>
    </w:p>
    <w:p>
      <w:pPr>
        <w:ind w:right="100" w:firstLine="399"/>
        <w:spacing w:after="0" w:line="253"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w:t>
      </w:r>
    </w:p>
    <w:p>
      <w:pPr>
        <w:sectPr>
          <w:pgSz w:w="11880" w:h="15480" w:orient="portrait"/>
          <w:cols w:equalWidth="0" w:num="1">
            <w:col w:w="9100"/>
          </w:cols>
          <w:pgMar w:left="1400" w:top="1025" w:right="1380" w:bottom="71"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100"/>
          </w:cols>
          <w:pgMar w:left="1400" w:top="1025" w:right="1380" w:bottom="71" w:gutter="0" w:footer="0" w:header="0"/>
          <w:type w:val="continuous"/>
        </w:sectPr>
      </w:pPr>
    </w:p>
    <w:bookmarkStart w:id="33" w:name="page34"/>
    <w:bookmarkEnd w:id="33"/>
    <w:p>
      <w:pPr>
        <w:spacing w:after="0" w:line="250" w:lineRule="auto"/>
        <w:rPr>
          <w:sz w:val="20"/>
          <w:szCs w:val="20"/>
          <w:color w:val="auto"/>
        </w:rPr>
      </w:pPr>
      <w:r>
        <w:rPr>
          <w:rFonts w:ascii="Times New Roman" w:cs="Times New Roman" w:eastAsia="Times New Roman" w:hAnsi="Times New Roman"/>
          <w:sz w:val="20"/>
          <w:szCs w:val="20"/>
          <w:color w:val="auto"/>
        </w:rPr>
        <w:t>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spacing w:after="0" w:line="133" w:lineRule="exact"/>
        <w:rPr>
          <w:sz w:val="20"/>
          <w:szCs w:val="20"/>
          <w:color w:val="auto"/>
        </w:rPr>
      </w:pPr>
    </w:p>
    <w:p>
      <w:pPr>
        <w:ind w:right="20" w:firstLine="399"/>
        <w:spacing w:after="0" w:line="259" w:lineRule="auto"/>
        <w:rPr>
          <w:sz w:val="20"/>
          <w:szCs w:val="20"/>
          <w:color w:val="auto"/>
        </w:rPr>
      </w:pPr>
      <w:r>
        <w:rPr>
          <w:rFonts w:ascii="Times New Roman" w:cs="Times New Roman" w:eastAsia="Times New Roman" w:hAnsi="Times New Roman"/>
          <w:sz w:val="20"/>
          <w:szCs w:val="20"/>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1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166" w:lineRule="exact"/>
        <w:rPr>
          <w:sz w:val="20"/>
          <w:szCs w:val="20"/>
          <w:color w:val="auto"/>
        </w:rPr>
      </w:pPr>
    </w:p>
    <w:p>
      <w:pPr>
        <w:ind w:right="80" w:firstLine="399"/>
        <w:spacing w:after="0" w:line="255" w:lineRule="auto"/>
        <w:rPr>
          <w:sz w:val="20"/>
          <w:szCs w:val="20"/>
          <w:color w:val="auto"/>
        </w:rPr>
      </w:pPr>
      <w:r>
        <w:rPr>
          <w:rFonts w:ascii="Times New Roman" w:cs="Times New Roman" w:eastAsia="Times New Roman" w:hAnsi="Times New Roman"/>
          <w:sz w:val="20"/>
          <w:szCs w:val="20"/>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23"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w:t>
      </w:r>
    </w:p>
    <w:p>
      <w:pPr>
        <w:sectPr>
          <w:pgSz w:w="11880" w:h="15480" w:orient="portrait"/>
          <w:cols w:equalWidth="0" w:num="1">
            <w:col w:w="9100"/>
          </w:cols>
          <w:pgMar w:left="1400" w:top="1025" w:right="1380" w:bottom="70" w:gutter="0" w:footer="0" w:header="0"/>
        </w:sect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100"/>
          </w:cols>
          <w:pgMar w:left="1400" w:top="1025" w:right="1380" w:bottom="70" w:gutter="0" w:footer="0" w:header="0"/>
          <w:type w:val="continuous"/>
        </w:sectPr>
      </w:pPr>
    </w:p>
    <w:bookmarkStart w:id="34" w:name="page35"/>
    <w:bookmarkEnd w:id="34"/>
    <w:p>
      <w:pPr>
        <w:spacing w:after="0" w:line="250" w:lineRule="auto"/>
        <w:rPr>
          <w:sz w:val="20"/>
          <w:szCs w:val="20"/>
          <w:color w:val="auto"/>
        </w:rPr>
      </w:pPr>
      <w:r>
        <w:rPr>
          <w:rFonts w:ascii="Times New Roman" w:cs="Times New Roman" w:eastAsia="Times New Roman" w:hAnsi="Times New Roman"/>
          <w:sz w:val="20"/>
          <w:szCs w:val="20"/>
          <w:color w:val="auto"/>
        </w:rPr>
        <w:t>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spacing w:after="0" w:line="123" w:lineRule="exact"/>
        <w:rPr>
          <w:sz w:val="20"/>
          <w:szCs w:val="20"/>
          <w:color w:val="auto"/>
        </w:rPr>
      </w:pPr>
    </w:p>
    <w:p>
      <w:pPr>
        <w:ind w:firstLine="399"/>
        <w:spacing w:after="0" w:line="246"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 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Liability and Insurance</w:t>
      </w:r>
    </w:p>
    <w:p>
      <w:pPr>
        <w:spacing w:after="0" w:line="167" w:lineRule="exact"/>
        <w:rPr>
          <w:sz w:val="20"/>
          <w:szCs w:val="20"/>
          <w:color w:val="auto"/>
        </w:rPr>
      </w:pPr>
    </w:p>
    <w:p>
      <w:pPr>
        <w:ind w:right="60" w:firstLine="399"/>
        <w:spacing w:after="0" w:line="279"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our product candidates and will face an even greater risk if we commercialize any products. We have not experienced any product</w:t>
      </w:r>
    </w:p>
    <w:p>
      <w:pPr>
        <w:sectPr>
          <w:pgSz w:w="11880" w:h="15480" w:orient="portrait"/>
          <w:cols w:equalWidth="0" w:num="1">
            <w:col w:w="9100"/>
          </w:cols>
          <w:pgMar w:left="1400" w:top="1025" w:right="1380" w:bottom="71"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100"/>
          </w:cols>
          <w:pgMar w:left="1400" w:top="1025" w:right="1380" w:bottom="71" w:gutter="0" w:footer="0" w:header="0"/>
          <w:type w:val="continuous"/>
        </w:sectPr>
      </w:pPr>
    </w:p>
    <w:bookmarkStart w:id="35" w:name="page36"/>
    <w:bookmarkEnd w:id="35"/>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168" w:lineRule="exact"/>
        <w:rPr>
          <w:sz w:val="20"/>
          <w:szCs w:val="20"/>
          <w:color w:val="auto"/>
        </w:rPr>
      </w:pPr>
    </w:p>
    <w:p>
      <w:pPr>
        <w:ind w:right="100" w:firstLine="399"/>
        <w:spacing w:after="0" w:line="261" w:lineRule="auto"/>
        <w:rPr>
          <w:sz w:val="20"/>
          <w:szCs w:val="20"/>
          <w:color w:val="auto"/>
        </w:rPr>
      </w:pPr>
      <w:r>
        <w:rPr>
          <w:rFonts w:ascii="Times New Roman" w:cs="Times New Roman" w:eastAsia="Times New Roman" w:hAnsi="Times New Roman"/>
          <w:sz w:val="20"/>
          <w:szCs w:val="20"/>
          <w:color w:val="auto"/>
        </w:rPr>
        <w:t>As of December 31, 2022, we had 67 full-time employees. There were 54 in research, development, quality, CMC and clinical and 13 were in finance, legal, human resources or administrative support. None of our employees is subject to a collective bargaining agreement. We consider our relationship with our employees to be good.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Consultants</w:t>
      </w:r>
    </w:p>
    <w:p>
      <w:pPr>
        <w:spacing w:after="0" w:line="168" w:lineRule="exact"/>
        <w:rPr>
          <w:sz w:val="20"/>
          <w:szCs w:val="20"/>
          <w:color w:val="auto"/>
        </w:rPr>
      </w:pPr>
    </w:p>
    <w:p>
      <w:pPr>
        <w:ind w:right="60" w:firstLine="399"/>
        <w:spacing w:after="0" w:line="261" w:lineRule="auto"/>
        <w:rPr>
          <w:sz w:val="20"/>
          <w:szCs w:val="20"/>
          <w:color w:val="auto"/>
        </w:rPr>
      </w:pPr>
      <w:r>
        <w:rPr>
          <w:rFonts w:ascii="Times New Roman" w:cs="Times New Roman" w:eastAsia="Times New Roman" w:hAnsi="Times New Roman"/>
          <w:sz w:val="20"/>
          <w:szCs w:val="20"/>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17"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20"/>
          <w:szCs w:val="20"/>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Resources</w:t>
      </w:r>
    </w:p>
    <w:p>
      <w:pPr>
        <w:spacing w:after="0" w:line="168" w:lineRule="exact"/>
        <w:rPr>
          <w:sz w:val="20"/>
          <w:szCs w:val="20"/>
          <w:color w:val="auto"/>
        </w:rPr>
      </w:pPr>
    </w:p>
    <w:p>
      <w:pPr>
        <w:ind w:right="80" w:firstLine="399"/>
        <w:spacing w:after="0" w:line="255"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Approximately 90% of our executive officers are women or self-identify as a member of an underrepresented minority group.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71"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4551 Kennedy Commerce Drive, Houston, Texas 77032, and our telephone number is (713) 400-6400. Our common stock is listed for trading on the Nasdaq Capital Market under the symbol “MRKR”.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1"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 xml:space="preserve">Our website is located at </w:t>
      </w:r>
      <w:r>
        <w:rPr>
          <w:rFonts w:ascii="Times New Roman" w:cs="Times New Roman" w:eastAsia="Times New Roman" w:hAnsi="Times New Roman"/>
          <w:sz w:val="20"/>
          <w:szCs w:val="20"/>
          <w:i w:val="1"/>
          <w:iCs w:val="1"/>
          <w:color w:val="auto"/>
        </w:rPr>
        <w:t>www.markertherapeutics.com</w:t>
      </w:r>
      <w:r>
        <w:rPr>
          <w:rFonts w:ascii="Times New Roman" w:cs="Times New Roman" w:eastAsia="Times New Roman" w:hAnsi="Times New Roman"/>
          <w:sz w:val="20"/>
          <w:szCs w:val="20"/>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ectPr>
          <w:pgSz w:w="11880" w:h="15480" w:orient="portrait"/>
          <w:cols w:equalWidth="0" w:num="1">
            <w:col w:w="9100"/>
          </w:cols>
          <w:pgMar w:left="1400" w:top="1025" w:right="1380" w:bottom="7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100"/>
          </w:cols>
          <w:pgMar w:left="1400" w:top="1025" w:right="1380" w:bottom="70" w:gutter="0" w:footer="0" w:header="0"/>
          <w:type w:val="continuous"/>
        </w:sectPr>
      </w:pPr>
    </w:p>
    <w:bookmarkStart w:id="36" w:name="page37"/>
    <w:bookmarkEnd w:id="36"/>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72"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Associated with Our Business</w:t>
      </w:r>
    </w:p>
    <w:p>
      <w:pPr>
        <w:spacing w:after="0" w:line="169" w:lineRule="exact"/>
        <w:rPr>
          <w:sz w:val="20"/>
          <w:szCs w:val="20"/>
          <w:color w:val="auto"/>
        </w:rPr>
      </w:pPr>
    </w:p>
    <w:p>
      <w:pPr>
        <w:jc w:val="both"/>
        <w:ind w:right="360" w:firstLine="399"/>
        <w:spacing w:after="0" w:line="282" w:lineRule="auto"/>
        <w:rPr>
          <w:sz w:val="20"/>
          <w:szCs w:val="20"/>
          <w:color w:val="auto"/>
        </w:rPr>
      </w:pPr>
      <w:r>
        <w:rPr>
          <w:rFonts w:ascii="Times New Roman" w:cs="Times New Roman" w:eastAsia="Times New Roman" w:hAnsi="Times New Roman"/>
          <w:sz w:val="20"/>
          <w:szCs w:val="20"/>
          <w:color w:val="auto"/>
        </w:rPr>
        <w:t>Our business is subject to numerous risks that you should be aware of before making an investment decision. These risks are described more fully in this “Risk Factors” section and include, among others:</w:t>
      </w:r>
    </w:p>
    <w:p>
      <w:pPr>
        <w:spacing w:after="0" w:line="54" w:lineRule="exact"/>
        <w:rPr>
          <w:sz w:val="20"/>
          <w:szCs w:val="20"/>
          <w:color w:val="auto"/>
        </w:rPr>
      </w:pPr>
    </w:p>
    <w:p>
      <w:pPr>
        <w:ind w:left="580" w:right="360" w:hanging="191"/>
        <w:spacing w:after="0" w:line="264"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73"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73" w:lineRule="exact"/>
        <w:rPr>
          <w:rFonts w:ascii="Times New Roman" w:cs="Times New Roman" w:eastAsia="Times New Roman" w:hAnsi="Times New Roman"/>
          <w:sz w:val="20"/>
          <w:szCs w:val="20"/>
          <w:color w:val="auto"/>
        </w:rPr>
      </w:pPr>
    </w:p>
    <w:p>
      <w:pPr>
        <w:ind w:left="580" w:right="400" w:hanging="191"/>
        <w:spacing w:after="0" w:line="282"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regulatory approval process is lengthy and time-consuming, and we may experience significant delays in the clinical development and regulatory approval of our product candidates.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earlier preclinical and clinical trials may not be predictive of future clinical trial results.</w:t>
      </w:r>
    </w:p>
    <w:p>
      <w:pPr>
        <w:spacing w:after="0" w:line="127" w:lineRule="exact"/>
        <w:rPr>
          <w:rFonts w:ascii="Times New Roman" w:cs="Times New Roman" w:eastAsia="Times New Roman" w:hAnsi="Times New Roman"/>
          <w:sz w:val="20"/>
          <w:szCs w:val="20"/>
          <w:color w:val="auto"/>
        </w:rPr>
      </w:pPr>
    </w:p>
    <w:p>
      <w:pPr>
        <w:ind w:left="580" w:right="60" w:hanging="191"/>
        <w:spacing w:after="0" w:line="282"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operations could be adversely affected by the effects of health epidemics, including the COVID-19 pandemic.</w:t>
      </w:r>
    </w:p>
    <w:p>
      <w:pPr>
        <w:spacing w:after="0" w:line="54" w:lineRule="exact"/>
        <w:rPr>
          <w:rFonts w:ascii="Times New Roman" w:cs="Times New Roman" w:eastAsia="Times New Roman" w:hAnsi="Times New Roman"/>
          <w:sz w:val="20"/>
          <w:szCs w:val="20"/>
          <w:color w:val="auto"/>
        </w:rPr>
      </w:pPr>
    </w:p>
    <w:p>
      <w:pPr>
        <w:ind w:left="580" w:hanging="191"/>
        <w:spacing w:after="0" w:line="256"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80" w:lineRule="exact"/>
        <w:rPr>
          <w:rFonts w:ascii="Times New Roman" w:cs="Times New Roman" w:eastAsia="Times New Roman" w:hAnsi="Times New Roman"/>
          <w:sz w:val="20"/>
          <w:szCs w:val="20"/>
          <w:color w:val="auto"/>
        </w:rPr>
      </w:pPr>
    </w:p>
    <w:p>
      <w:pPr>
        <w:ind w:left="580" w:right="20" w:hanging="191"/>
        <w:spacing w:after="0" w:line="261"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maintaining our own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319" w:lineRule="exact"/>
        <w:rPr>
          <w:rFonts w:ascii="Times New Roman" w:cs="Times New Roman" w:eastAsia="Times New Roman" w:hAnsi="Times New Roman"/>
          <w:sz w:val="20"/>
          <w:szCs w:val="20"/>
          <w:color w:val="auto"/>
        </w:rPr>
      </w:pPr>
    </w:p>
    <w:p>
      <w:pPr>
        <w:ind w:left="580" w:right="180" w:hanging="191"/>
        <w:spacing w:after="0" w:line="282"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strategic relationship with BCM is dependent, in part, upon our ongoing relationship with key medical and scientific personnel and advisors.</w:t>
      </w:r>
    </w:p>
    <w:p>
      <w:pPr>
        <w:spacing w:after="0" w:line="54" w:lineRule="exact"/>
        <w:rPr>
          <w:rFonts w:ascii="Times New Roman" w:cs="Times New Roman" w:eastAsia="Times New Roman" w:hAnsi="Times New Roman"/>
          <w:sz w:val="20"/>
          <w:szCs w:val="20"/>
          <w:color w:val="auto"/>
        </w:rPr>
      </w:pPr>
    </w:p>
    <w:p>
      <w:pPr>
        <w:ind w:left="580" w:right="180" w:hanging="191"/>
        <w:spacing w:after="0" w:line="282"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 success depends upon attaining significant market acceptance of our product candidates, if approved, among physicians, patients, healthcare payors and the medical community.</w:t>
      </w:r>
    </w:p>
    <w:p>
      <w:pPr>
        <w:spacing w:after="0" w:line="54" w:lineRule="exact"/>
        <w:rPr>
          <w:rFonts w:ascii="Times New Roman" w:cs="Times New Roman" w:eastAsia="Times New Roman" w:hAnsi="Times New Roman"/>
          <w:sz w:val="20"/>
          <w:szCs w:val="20"/>
          <w:color w:val="auto"/>
        </w:rPr>
      </w:pPr>
    </w:p>
    <w:p>
      <w:pPr>
        <w:ind w:left="580" w:hanging="191"/>
        <w:spacing w:after="0" w:line="273"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biotechnology and immunotherapy industries are characterized by rapid technological developments and a high degree of competition. We may be unable to compete with more substantial enterprises.</w:t>
      </w:r>
    </w:p>
    <w:p>
      <w:pPr>
        <w:spacing w:after="0" w:line="308" w:lineRule="exact"/>
        <w:rPr>
          <w:rFonts w:ascii="Times New Roman" w:cs="Times New Roman" w:eastAsia="Times New Roman" w:hAnsi="Times New Roman"/>
          <w:sz w:val="20"/>
          <w:szCs w:val="20"/>
          <w:color w:val="auto"/>
        </w:rPr>
      </w:pPr>
    </w:p>
    <w:p>
      <w:pPr>
        <w:ind w:left="580" w:right="560" w:hanging="191"/>
        <w:spacing w:after="0" w:line="282"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protect our proprietary rights, we may not be able to compete effectively or operate profitably.</w:t>
      </w:r>
    </w:p>
    <w:p>
      <w:pPr>
        <w:spacing w:after="0" w:line="54" w:lineRule="exact"/>
        <w:rPr>
          <w:rFonts w:ascii="Times New Roman" w:cs="Times New Roman" w:eastAsia="Times New Roman" w:hAnsi="Times New Roman"/>
          <w:sz w:val="20"/>
          <w:szCs w:val="20"/>
          <w:color w:val="auto"/>
        </w:rPr>
      </w:pPr>
    </w:p>
    <w:p>
      <w:pPr>
        <w:ind w:left="580" w:right="60" w:hanging="191"/>
        <w:spacing w:after="0" w:line="256" w:lineRule="auto"/>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80"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our stock may be volatile.</w:t>
      </w:r>
    </w:p>
    <w:p>
      <w:pPr>
        <w:sectPr>
          <w:pgSz w:w="11880" w:h="15480" w:orient="portrait"/>
          <w:cols w:equalWidth="0" w:num="1">
            <w:col w:w="9100"/>
          </w:cols>
          <w:pgMar w:left="1400" w:top="1023" w:right="1380" w:bottom="71"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100"/>
          </w:cols>
          <w:pgMar w:left="1400" w:top="1023" w:right="1380" w:bottom="71"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258"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76"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22"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including from the COVID-19 pandemic. Weakness and volatility in the capital markets and the economy in general could also increase our costs of borrowing. Such additional financing may not be available on favorable terms, or at all.</w:t>
      </w:r>
    </w:p>
    <w:p>
      <w:pPr>
        <w:spacing w:after="0" w:line="130"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have sustained losses from operations in each fiscal year since our inception, and we expect losses to continue for the indefinite future due to the substantial investment in research and development. We expect that our cash, cash equivalents and restricted cash as of December 31, 2022 will enable us to fund our operating expenses and capital expenditure requirements into the third quarter of 2023.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375"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204"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16"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w:t>
      </w:r>
    </w:p>
    <w:p>
      <w:pPr>
        <w:sectPr>
          <w:pgSz w:w="11880" w:h="15480" w:orient="portrait"/>
          <w:cols w:equalWidth="0" w:num="1">
            <w:col w:w="9100"/>
          </w:cols>
          <w:pgMar w:left="1400" w:top="1023" w:right="1380" w:bottom="69"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100"/>
          </w:cols>
          <w:pgMar w:left="1400" w:top="1023" w:right="1380" w:bottom="69" w:gutter="0" w:footer="0" w:header="0"/>
          <w:type w:val="continuous"/>
        </w:sectPr>
      </w:pPr>
    </w:p>
    <w:bookmarkStart w:id="38" w:name="page39"/>
    <w:bookmarkEnd w:id="38"/>
    <w:p>
      <w:pPr>
        <w:ind w:firstLine="399"/>
        <w:spacing w:after="0" w:line="248" w:lineRule="auto"/>
        <w:rPr>
          <w:sz w:val="20"/>
          <w:szCs w:val="20"/>
          <w:color w:val="auto"/>
        </w:rPr>
      </w:pPr>
      <w:r>
        <w:rPr>
          <w:rFonts w:ascii="Times New Roman" w:cs="Times New Roman" w:eastAsia="Times New Roman" w:hAnsi="Times New Roman"/>
          <w:sz w:val="20"/>
          <w:szCs w:val="20"/>
          <w:color w:val="auto"/>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371"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our Product Candidates</w:t>
      </w:r>
    </w:p>
    <w:p>
      <w:pPr>
        <w:spacing w:after="0" w:line="25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15"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24"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multiTAA product candidates or any other product candidates that we develop or otherwise may acquire will depend on several factors, including:</w:t>
      </w:r>
    </w:p>
    <w:p>
      <w:pPr>
        <w:spacing w:after="0" w:line="77" w:lineRule="exact"/>
        <w:rPr>
          <w:sz w:val="20"/>
          <w:szCs w:val="20"/>
          <w:color w:val="auto"/>
        </w:rPr>
      </w:pPr>
    </w:p>
    <w:p>
      <w:pPr>
        <w:ind w:left="580" w:right="140" w:hanging="191"/>
        <w:spacing w:after="0" w:line="282"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timely and successful completion of preclinical studies, including toxicology studies, biodistribution studies and minimally efficacious dose studies in animals, where applicable, and clinical trials;</w:t>
      </w:r>
    </w:p>
    <w:p>
      <w:pPr>
        <w:spacing w:after="0" w:line="54" w:lineRule="exact"/>
        <w:rPr>
          <w:rFonts w:ascii="Times New Roman" w:cs="Times New Roman" w:eastAsia="Times New Roman" w:hAnsi="Times New Roman"/>
          <w:sz w:val="20"/>
          <w:szCs w:val="20"/>
          <w:color w:val="auto"/>
        </w:rPr>
      </w:pPr>
    </w:p>
    <w:p>
      <w:pPr>
        <w:ind w:left="580" w:right="240" w:hanging="191"/>
        <w:spacing w:after="0" w:line="264"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investigational new drug applications, or INDs, from the FDA or comparable foreign applications that allow commencement of our planned clinical trials or future clinical trials for our product candidates;</w:t>
      </w:r>
    </w:p>
    <w:p>
      <w:pPr>
        <w:spacing w:after="0" w:line="73" w:lineRule="exact"/>
        <w:rPr>
          <w:rFonts w:ascii="Times New Roman" w:cs="Times New Roman" w:eastAsia="Times New Roman" w:hAnsi="Times New Roman"/>
          <w:sz w:val="20"/>
          <w:szCs w:val="20"/>
          <w:color w:val="auto"/>
        </w:rPr>
      </w:pPr>
    </w:p>
    <w:p>
      <w:pPr>
        <w:ind w:left="580" w:right="400" w:hanging="191"/>
        <w:spacing w:after="0" w:line="282"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sufficiency of our financial and other resources to complete the necessary preclinical studies and clinical trials;</w:t>
      </w:r>
    </w:p>
    <w:p>
      <w:pPr>
        <w:spacing w:after="0" w:line="54" w:lineRule="exact"/>
        <w:rPr>
          <w:rFonts w:ascii="Times New Roman" w:cs="Times New Roman" w:eastAsia="Times New Roman" w:hAnsi="Times New Roman"/>
          <w:sz w:val="20"/>
          <w:szCs w:val="20"/>
          <w:color w:val="auto"/>
        </w:rPr>
      </w:pPr>
    </w:p>
    <w:p>
      <w:pPr>
        <w:ind w:left="580" w:right="460" w:hanging="191"/>
        <w:spacing w:after="0" w:line="282"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enrollment and completion of clinical trials, including under the FDA’s current Good Clinical Practices, or GCPs, and current Good Laboratory Practices;</w:t>
      </w:r>
    </w:p>
    <w:p>
      <w:pPr>
        <w:spacing w:after="0" w:line="54" w:lineRule="exact"/>
        <w:rPr>
          <w:rFonts w:ascii="Times New Roman" w:cs="Times New Roman" w:eastAsia="Times New Roman" w:hAnsi="Times New Roman"/>
          <w:sz w:val="20"/>
          <w:szCs w:val="20"/>
          <w:color w:val="auto"/>
        </w:rPr>
      </w:pPr>
    </w:p>
    <w:p>
      <w:pPr>
        <w:ind w:left="580" w:right="580" w:hanging="191"/>
        <w:spacing w:after="0" w:line="264"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development of, or making arrangements with third-party manufacturers for, our commercial manufacturing processes for any of our product candidates that receive regulatory approval;</w:t>
      </w:r>
    </w:p>
    <w:p>
      <w:pPr>
        <w:spacing w:after="0" w:line="73"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timely marketing approvals from applicable regulatory authorities;</w:t>
      </w:r>
    </w:p>
    <w:p>
      <w:pPr>
        <w:sectPr>
          <w:pgSz w:w="11880" w:h="15480" w:orient="portrait"/>
          <w:cols w:equalWidth="0" w:num="1">
            <w:col w:w="9100"/>
          </w:cols>
          <w:pgMar w:left="1400" w:top="1025" w:right="1380" w:bottom="71"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100"/>
          </w:cols>
          <w:pgMar w:left="1400" w:top="1025" w:right="1380" w:bottom="71" w:gutter="0" w:footer="0" w:header="0"/>
          <w:type w:val="continuous"/>
        </w:sectPr>
      </w:pPr>
    </w:p>
    <w:bookmarkStart w:id="39" w:name="page40"/>
    <w:bookmarkEnd w:id="39"/>
    <w:p>
      <w:pPr>
        <w:ind w:left="580" w:hanging="191"/>
        <w:spacing w:after="0"/>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products, if approved, whether alone or in collaboration with others;</w:t>
      </w:r>
    </w:p>
    <w:p>
      <w:pPr>
        <w:spacing w:after="0" w:line="115"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benefits and use of our products, including method of administration, if approved, by patients, the medical community and third-party payors, for their approved indications;</w:t>
      </w:r>
    </w:p>
    <w:p>
      <w:pPr>
        <w:spacing w:after="0" w:line="46"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adverse events experienced by our product candidates;</w:t>
      </w:r>
    </w:p>
    <w:p>
      <w:pPr>
        <w:spacing w:after="0" w:line="113" w:lineRule="exact"/>
        <w:rPr>
          <w:rFonts w:ascii="Times New Roman" w:cs="Times New Roman" w:eastAsia="Times New Roman" w:hAnsi="Times New Roman"/>
          <w:sz w:val="20"/>
          <w:szCs w:val="20"/>
          <w:color w:val="auto"/>
        </w:rPr>
      </w:pPr>
    </w:p>
    <w:p>
      <w:pPr>
        <w:ind w:left="580" w:right="680" w:hanging="191"/>
        <w:spacing w:after="0" w:line="279" w:lineRule="auto"/>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perceived advantages, cost, safety and efficacy of alternative therapies for any product candidate, and any indications for such product candidate, that we develop;</w:t>
      </w:r>
    </w:p>
    <w:p>
      <w:pPr>
        <w:spacing w:after="0" w:line="4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any product candidates we develop on a commercial scale;</w:t>
      </w:r>
    </w:p>
    <w:p>
      <w:pPr>
        <w:spacing w:after="0" w:line="113" w:lineRule="exact"/>
        <w:rPr>
          <w:rFonts w:ascii="Times New Roman" w:cs="Times New Roman" w:eastAsia="Times New Roman" w:hAnsi="Times New Roman"/>
          <w:sz w:val="20"/>
          <w:szCs w:val="20"/>
          <w:color w:val="auto"/>
        </w:rPr>
      </w:pPr>
    </w:p>
    <w:p>
      <w:pPr>
        <w:ind w:left="580" w:right="60" w:hanging="191"/>
        <w:spacing w:after="0" w:line="279" w:lineRule="auto"/>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trademark and trade secret protection and regulatory exclusivity for our product candidates and otherwise protecting our rights in our intellectual property portfolio;</w:t>
      </w:r>
    </w:p>
    <w:p>
      <w:pPr>
        <w:spacing w:after="0" w:line="44" w:lineRule="exact"/>
        <w:rPr>
          <w:rFonts w:ascii="Times New Roman" w:cs="Times New Roman" w:eastAsia="Times New Roman" w:hAnsi="Times New Roman"/>
          <w:sz w:val="20"/>
          <w:szCs w:val="20"/>
          <w:color w:val="auto"/>
        </w:rPr>
      </w:pPr>
    </w:p>
    <w:p>
      <w:pPr>
        <w:ind w:left="580" w:right="800" w:hanging="191"/>
        <w:spacing w:after="0" w:line="279" w:lineRule="auto"/>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compliance with regulatory requirements, including the FDA’s current Good Manufacturing Practices, or cGMPs, and complying effectively with other procedures;</w:t>
      </w:r>
    </w:p>
    <w:p>
      <w:pPr>
        <w:spacing w:after="0" w:line="44"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third-party coverage and adequate reimbursement and patients’ willingness to pay out-of-pocket in the absence of such coverage and adequate reimbursement; and</w:t>
      </w:r>
    </w:p>
    <w:p>
      <w:pPr>
        <w:spacing w:after="0" w:line="44" w:lineRule="exact"/>
        <w:rPr>
          <w:rFonts w:ascii="Times New Roman" w:cs="Times New Roman" w:eastAsia="Times New Roman" w:hAnsi="Times New Roman"/>
          <w:sz w:val="20"/>
          <w:szCs w:val="20"/>
          <w:color w:val="auto"/>
        </w:rPr>
      </w:pPr>
    </w:p>
    <w:p>
      <w:pPr>
        <w:ind w:left="580" w:right="100" w:hanging="191"/>
        <w:spacing w:after="0" w:line="279" w:lineRule="auto"/>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tolerability and efficacy profile of the products following approval.</w:t>
      </w:r>
    </w:p>
    <w:p>
      <w:pPr>
        <w:spacing w:after="0" w:line="80"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16"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9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27"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ectPr>
          <w:pgSz w:w="11880" w:h="15480" w:orient="portrait"/>
          <w:cols w:equalWidth="0" w:num="1">
            <w:col w:w="9100"/>
          </w:cols>
          <w:pgMar w:left="1400" w:top="1025" w:right="1380" w:bottom="71"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100"/>
          </w:cols>
          <w:pgMar w:left="1400" w:top="1025" w:right="1380" w:bottom="71" w:gutter="0" w:footer="0" w:header="0"/>
          <w:type w:val="continuous"/>
        </w:sectPr>
      </w:pPr>
    </w:p>
    <w:bookmarkStart w:id="40" w:name="page41"/>
    <w:bookmarkEnd w:id="40"/>
    <w:p>
      <w:pPr>
        <w:ind w:right="220" w:firstLine="399"/>
        <w:spacing w:after="0" w:line="279" w:lineRule="auto"/>
        <w:rPr>
          <w:sz w:val="20"/>
          <w:szCs w:val="20"/>
          <w:color w:val="auto"/>
        </w:rPr>
      </w:pPr>
      <w:r>
        <w:rPr>
          <w:rFonts w:ascii="Times New Roman" w:cs="Times New Roman" w:eastAsia="Times New Roman" w:hAnsi="Times New Roman"/>
          <w:sz w:val="20"/>
          <w:szCs w:val="20"/>
          <w:color w:val="auto"/>
        </w:rPr>
        <w:t>We may also experience delays in completing planned clinical trials for a variety of reasons, including delays related to:</w:t>
      </w:r>
    </w:p>
    <w:p>
      <w:pPr>
        <w:spacing w:after="0" w:line="56" w:lineRule="exact"/>
        <w:rPr>
          <w:sz w:val="20"/>
          <w:szCs w:val="20"/>
          <w:color w:val="auto"/>
        </w:rPr>
      </w:pPr>
    </w:p>
    <w:p>
      <w:pPr>
        <w:ind w:left="580" w:hanging="191"/>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financial resources to commence and complete the planned trials;</w:t>
      </w:r>
    </w:p>
    <w:p>
      <w:pPr>
        <w:spacing w:after="0" w:line="125" w:lineRule="exact"/>
        <w:rPr>
          <w:rFonts w:ascii="Times New Roman" w:cs="Times New Roman" w:eastAsia="Times New Roman" w:hAnsi="Times New Roman"/>
          <w:sz w:val="20"/>
          <w:szCs w:val="20"/>
          <w:color w:val="auto"/>
        </w:rPr>
      </w:pPr>
    </w:p>
    <w:p>
      <w:pPr>
        <w:ind w:left="580" w:right="240" w:hanging="191"/>
        <w:spacing w:after="0" w:line="262" w:lineRule="auto"/>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7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approval by an independent institutional review board, or IRB, at each clinical trial site;</w:t>
      </w:r>
    </w:p>
    <w:p>
      <w:pPr>
        <w:spacing w:after="0" w:line="12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suitable patients to participate in a trial;</w:t>
      </w:r>
    </w:p>
    <w:p>
      <w:pPr>
        <w:spacing w:after="0" w:line="12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patients complete a trial or return for post-treatment follow-up;</w:t>
      </w:r>
    </w:p>
    <w:p>
      <w:pPr>
        <w:spacing w:after="0" w:line="12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 sites deviating from trial protocol or dropping out of a trial;</w:t>
      </w:r>
    </w:p>
    <w:p>
      <w:pPr>
        <w:spacing w:after="0" w:line="12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adding new clinical trial sites; or</w:t>
      </w:r>
    </w:p>
    <w:p>
      <w:pPr>
        <w:spacing w:after="0" w:line="125" w:lineRule="exact"/>
        <w:rPr>
          <w:rFonts w:ascii="Times New Roman" w:cs="Times New Roman" w:eastAsia="Times New Roman" w:hAnsi="Times New Roman"/>
          <w:sz w:val="20"/>
          <w:szCs w:val="20"/>
          <w:color w:val="auto"/>
        </w:rPr>
      </w:pPr>
    </w:p>
    <w:p>
      <w:pPr>
        <w:ind w:left="580" w:right="400" w:hanging="191"/>
        <w:spacing w:after="0" w:line="279" w:lineRule="auto"/>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sufficient quantities of qualified materials under cGMPs and applying them on a subject by subject basis for use in clinical trials.</w:t>
      </w:r>
    </w:p>
    <w:p>
      <w:pPr>
        <w:spacing w:after="0" w:line="96"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Further, the performance of our CROs may also be interrupted by health epidemics or other disruptions, such as the ongoing COVID-19 pandemic,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200" w:lineRule="exact"/>
        <w:rPr>
          <w:sz w:val="20"/>
          <w:szCs w:val="20"/>
          <w:color w:val="auto"/>
        </w:rPr>
      </w:pPr>
    </w:p>
    <w:p>
      <w:pPr>
        <w:spacing w:after="0" w:line="257"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1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29" w:lineRule="exact"/>
        <w:rPr>
          <w:sz w:val="20"/>
          <w:szCs w:val="20"/>
          <w:color w:val="auto"/>
        </w:rPr>
      </w:pPr>
    </w:p>
    <w:p>
      <w:pPr>
        <w:ind w:right="80" w:firstLine="399"/>
        <w:spacing w:after="0" w:line="254" w:lineRule="auto"/>
        <w:rPr>
          <w:sz w:val="20"/>
          <w:szCs w:val="20"/>
          <w:color w:val="auto"/>
        </w:rPr>
      </w:pPr>
      <w:r>
        <w:rPr>
          <w:rFonts w:ascii="Times New Roman" w:cs="Times New Roman" w:eastAsia="Times New Roman" w:hAnsi="Times New Roman"/>
          <w:sz w:val="20"/>
          <w:szCs w:val="20"/>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the initial estimates of the clinical cost of development may prove to be inadequate, particularly if clinical trial timing or outcome is different than predicted or regulatory agencies require further testing</w:t>
      </w:r>
    </w:p>
    <w:p>
      <w:pPr>
        <w:sectPr>
          <w:pgSz w:w="11880" w:h="15480" w:orient="portrait"/>
          <w:cols w:equalWidth="0" w:num="1">
            <w:col w:w="9100"/>
          </w:cols>
          <w:pgMar w:left="1400" w:top="1025" w:right="1380" w:bottom="71"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100"/>
          </w:cols>
          <w:pgMar w:left="1400" w:top="1025" w:right="1380" w:bottom="71" w:gutter="0" w:footer="0" w:header="0"/>
          <w:type w:val="continuous"/>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20"/>
          <w:szCs w:val="20"/>
          <w:color w:val="auto"/>
        </w:rPr>
        <w:t>before approval. For example, we previously experienced temporary delays in enrollment due to the COVID-19 pandemic and in satisfying certain FDA requirements for our Phase 2 trial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has increased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3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or our regulators, may suspend or terminate our clinical trials for a variety of reasons.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 in the fourth quarter of 2019 the FDA placed a clinical hold on our IND of MT-401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treatment of patients with post-transplant AML and requested certain information regarding quality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technical specifications for two reagents supplied by third party vendors that are used in our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process but not present in the final product infused to patients. In January 2021, the FDA lifted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hold, permitting us to initiate a Phase 2 clinical trial for the treatment of post-transplant AML,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safety lead-in portion. We completed the safety lead-in portion of the trial in June 2021, and we initiated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remainder of the Phase 2 trial in July 2021 and have completed enrollment of approximately 20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voluntarily suspend or terminate our clinical trials at any time if we believe they present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unacceptable risk to the patients enrolled in our clinical trials or do not demonstrate clinical benefit.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 in November 2019 we elected to suspend our Phase 2 clinical trial of TPIV200 for the treatment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platinum-sensitive advanced ovarian cancer based on an unblinded review of interim results conducted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independent Data and Safety Monitoring Board, or DSMB. Although the DSMB did not express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safety concerns with respect to TPIV200, we elected to suspend the trial because it did not meet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threshold for probability of clinical benefit based upon our pre-specified criteria. In addition,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agencies may order the temporary or permanent discontinuation of our clinical trials at any time if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believe that the clinical trials are not being conducted in accordance with applicable regulatory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that they present an unacceptable safety risk to the patients enrolled in our clinical trials.</w:t>
      </w:r>
    </w:p>
    <w:p>
      <w:pPr>
        <w:spacing w:after="0" w:line="169" w:lineRule="exact"/>
        <w:rPr>
          <w:sz w:val="20"/>
          <w:szCs w:val="20"/>
          <w:color w:val="auto"/>
        </w:rPr>
      </w:pPr>
    </w:p>
    <w:p>
      <w:pPr>
        <w:ind w:right="60" w:firstLine="399"/>
        <w:spacing w:after="0" w:line="253" w:lineRule="auto"/>
        <w:rPr>
          <w:sz w:val="20"/>
          <w:szCs w:val="20"/>
          <w:color w:val="auto"/>
        </w:rPr>
      </w:pPr>
      <w:r>
        <w:rPr>
          <w:rFonts w:ascii="Times New Roman" w:cs="Times New Roman" w:eastAsia="Times New Roman" w:hAnsi="Times New Roman"/>
          <w:sz w:val="20"/>
          <w:szCs w:val="20"/>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ectPr>
          <w:pgSz w:w="11880" w:h="15480" w:orient="portrait"/>
          <w:cols w:equalWidth="0" w:num="1">
            <w:col w:w="9100"/>
          </w:cols>
          <w:pgMar w:left="1400" w:top="1025" w:right="1380" w:bottom="70" w:gutter="0" w:footer="0" w:header="0"/>
        </w:sect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100"/>
          </w:cols>
          <w:pgMar w:left="1400" w:top="1025" w:right="1380" w:bottom="7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auto"/>
        </w:rPr>
        <w:t>The results of earlier preclinical and clinical trials may not be predictive of future clinical trial results.</w:t>
      </w:r>
    </w:p>
    <w:p>
      <w:pPr>
        <w:spacing w:after="0" w:line="162" w:lineRule="exact"/>
        <w:rPr>
          <w:sz w:val="20"/>
          <w:szCs w:val="20"/>
          <w:color w:val="auto"/>
        </w:rPr>
      </w:pPr>
    </w:p>
    <w:p>
      <w:pPr>
        <w:ind w:firstLine="399"/>
        <w:spacing w:after="0" w:line="246" w:lineRule="auto"/>
        <w:rPr>
          <w:sz w:val="20"/>
          <w:szCs w:val="20"/>
          <w:color w:val="auto"/>
        </w:rPr>
      </w:pPr>
      <w:r>
        <w:rPr>
          <w:rFonts w:ascii="Times New Roman" w:cs="Times New Roman" w:eastAsia="Times New Roman" w:hAnsi="Times New Roman"/>
          <w:sz w:val="20"/>
          <w:szCs w:val="20"/>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Baylor College of Medicine, or BCM,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200" w:lineRule="exact"/>
        <w:rPr>
          <w:sz w:val="20"/>
          <w:szCs w:val="20"/>
          <w:color w:val="auto"/>
        </w:rPr>
      </w:pPr>
    </w:p>
    <w:p>
      <w:pPr>
        <w:spacing w:after="0" w:line="254"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achieve our projected development goals in the time frames we announce and expect, the commercialization of our products may be delayed.</w:t>
      </w:r>
    </w:p>
    <w:p>
      <w:pPr>
        <w:spacing w:after="0" w:line="99"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364"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200" w:lineRule="exact"/>
        <w:rPr>
          <w:sz w:val="20"/>
          <w:szCs w:val="20"/>
          <w:color w:val="auto"/>
        </w:rPr>
      </w:pPr>
    </w:p>
    <w:p>
      <w:pPr>
        <w:spacing w:after="0" w:line="245"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adversely affected by the effects of health epidemics, including the COVID-19 pandemic.</w:t>
      </w:r>
    </w:p>
    <w:p>
      <w:pPr>
        <w:spacing w:after="0" w:line="99" w:lineRule="exact"/>
        <w:rPr>
          <w:sz w:val="20"/>
          <w:szCs w:val="20"/>
          <w:color w:val="auto"/>
        </w:rPr>
      </w:pPr>
    </w:p>
    <w:p>
      <w:pPr>
        <w:ind w:right="120" w:firstLine="399"/>
        <w:spacing w:after="0" w:line="279" w:lineRule="auto"/>
        <w:rPr>
          <w:sz w:val="20"/>
          <w:szCs w:val="20"/>
          <w:color w:val="auto"/>
        </w:rPr>
      </w:pPr>
      <w:r>
        <w:rPr>
          <w:rFonts w:ascii="Times New Roman" w:cs="Times New Roman" w:eastAsia="Times New Roman" w:hAnsi="Times New Roman"/>
          <w:sz w:val="20"/>
          <w:szCs w:val="20"/>
          <w:color w:val="auto"/>
        </w:rPr>
        <w:t>Our business and operations could be adversely affected by the effects of health epidemics, including the ongoing COVID-19 virus, which was declared by the World Health Organization as a global pandemic.</w:t>
      </w:r>
    </w:p>
    <w:p>
      <w:pPr>
        <w:spacing w:after="0" w:line="9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Remote work policies, quarantines, shelter-in-place and similar government orders, shutdowns or other restrictions on the conduct of business operations related to the COVID-19 pandemic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w:t>
      </w:r>
    </w:p>
    <w:p>
      <w:pPr>
        <w:sectPr>
          <w:pgSz w:w="11880" w:h="15480" w:orient="portrait"/>
          <w:cols w:equalWidth="0" w:num="1">
            <w:col w:w="9100"/>
          </w:cols>
          <w:pgMar w:left="1400" w:top="1026" w:right="1380" w:bottom="71"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100"/>
          </w:cols>
          <w:pgMar w:left="1400" w:top="1026" w:right="1380" w:bottom="71" w:gutter="0" w:footer="0" w:header="0"/>
          <w:type w:val="continuous"/>
        </w:sectPr>
      </w:pPr>
    </w:p>
    <w:bookmarkStart w:id="43" w:name="page44"/>
    <w:bookmarkEnd w:id="43"/>
    <w:p>
      <w:pPr>
        <w:spacing w:after="0" w:line="260" w:lineRule="auto"/>
        <w:rPr>
          <w:sz w:val="20"/>
          <w:szCs w:val="20"/>
          <w:color w:val="auto"/>
        </w:rPr>
      </w:pPr>
      <w:r>
        <w:rPr>
          <w:rFonts w:ascii="Times New Roman" w:cs="Times New Roman" w:eastAsia="Times New Roman" w:hAnsi="Times New Roman"/>
          <w:sz w:val="20"/>
          <w:szCs w:val="20"/>
          <w:color w:val="auto"/>
        </w:rPr>
        <w:t>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13"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Health epidemics may also affect the conduct of our clinical trials. Although we are enrolling patients and initiating clinical sites in our Phase 2 trial of MT-401 (zedenoleucel) for post-transplant AML, we previously experienced temporary delays in enrollment due to the COVID-19 pandemic and in satisfying certain FDA requirements to move forward with the trial, which together resulted in a delay in our overall timelines for this trial. Our ongoing and future clinical trials may be also affected by the COVID-19 pandemic. Patient enrollment and clinical site initiation, while ongoing, may be delayed due to prioritization of hospital resources toward the COVID-19 pandemic or other health emergencies, if they arise.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w:t>
      </w:r>
    </w:p>
    <w:p>
      <w:pPr>
        <w:spacing w:after="0" w:line="364" w:lineRule="exact"/>
        <w:rPr>
          <w:sz w:val="20"/>
          <w:szCs w:val="20"/>
          <w:color w:val="auto"/>
        </w:rPr>
      </w:pPr>
    </w:p>
    <w:p>
      <w:pPr>
        <w:ind w:right="20" w:firstLine="399"/>
        <w:spacing w:after="0" w:line="249" w:lineRule="auto"/>
        <w:rPr>
          <w:sz w:val="20"/>
          <w:szCs w:val="20"/>
          <w:color w:val="auto"/>
        </w:rPr>
      </w:pPr>
      <w:r>
        <w:rPr>
          <w:rFonts w:ascii="Times New Roman" w:cs="Times New Roman" w:eastAsia="Times New Roman" w:hAnsi="Times New Roman"/>
          <w:sz w:val="20"/>
          <w:szCs w:val="20"/>
          <w:color w:val="auto"/>
        </w:rPr>
        <w:t>The global COVID-19 pandemic continues to evolve. The extent to which the COVID-19 pandemic impacts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In addition, to the extent the ongoing COVID-19 pandemic adversely affects our business and results of operations, it may also have the effect of heightening many of the other risks and uncertainties described in this “Risk Factors” section.</w:t>
      </w:r>
    </w:p>
    <w:p>
      <w:pPr>
        <w:spacing w:after="0" w:line="2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20"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1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In addition to side effects caused by the product candidate, the administration process or related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procedures also can cause adverse side effects. If any such adverse events occur, our clinical trials could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suspended or terminated. If we cannot demonstrate that any adverse events were not caused by the drug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administration process or related procedures, the FDA, EMA or foreign regulatory authorities could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order us to cease further development of, or deny approval of, our product candidates for any or all targeted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indications. Even if we are able to demonstrate that all future serious adverse events are not product-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such occurrences could affect patient recruitment or the ability of enrolled patients to complete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trial. Moreover, if we elect, or are required, to not initiate, delay, suspend or terminate any future clinical trial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any of our product candidates, the commercial prospects of such product candidates may be harmed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our ability to generate product revenues from any of these product candidates may be delayed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eliminated. In addition, these side effects may not be appropriately recognized or managed by the treating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medical staff, as toxicities resulting from personalized cell therapy, as with our multiTAA-specific T cell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therapy products, are not normally encountered in the general patient population and by medical personnel.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these occurrences may harm our ability to develop other product candidates, and may harm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financial condition and prospects significantly.</w:t>
      </w:r>
    </w:p>
    <w:p>
      <w:pPr>
        <w:spacing w:after="0" w:line="165" w:lineRule="exact"/>
        <w:rPr>
          <w:sz w:val="20"/>
          <w:szCs w:val="20"/>
          <w:color w:val="auto"/>
        </w:rPr>
      </w:pPr>
    </w:p>
    <w:p>
      <w:pPr>
        <w:jc w:val="both"/>
        <w:ind w:right="80" w:firstLine="399"/>
        <w:spacing w:after="0" w:line="257" w:lineRule="auto"/>
        <w:rPr>
          <w:sz w:val="20"/>
          <w:szCs w:val="20"/>
          <w:color w:val="auto"/>
        </w:rPr>
      </w:pPr>
      <w:r>
        <w:rPr>
          <w:rFonts w:ascii="Times New Roman" w:cs="Times New Roman" w:eastAsia="Times New Roman" w:hAnsi="Times New Roman"/>
          <w:sz w:val="20"/>
          <w:szCs w:val="20"/>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w:t>
      </w:r>
    </w:p>
    <w:p>
      <w:pPr>
        <w:sectPr>
          <w:pgSz w:w="11880" w:h="15480" w:orient="portrait"/>
          <w:cols w:equalWidth="0" w:num="1">
            <w:col w:w="9100"/>
          </w:cols>
          <w:pgMar w:left="1400" w:top="1025" w:right="1380" w:bottom="71"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100"/>
          </w:cols>
          <w:pgMar w:left="1400" w:top="1025" w:right="1380" w:bottom="71" w:gutter="0" w:footer="0" w:header="0"/>
          <w:type w:val="continuous"/>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20"/>
          <w:szCs w:val="20"/>
          <w:color w:val="auto"/>
        </w:rPr>
        <w:t>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24" w:lineRule="exact"/>
        <w:rPr>
          <w:sz w:val="20"/>
          <w:szCs w:val="20"/>
          <w:color w:val="auto"/>
        </w:rPr>
      </w:pPr>
    </w:p>
    <w:p>
      <w:pPr>
        <w:ind w:right="180" w:firstLine="399"/>
        <w:spacing w:after="0" w:line="264" w:lineRule="auto"/>
        <w:rPr>
          <w:sz w:val="20"/>
          <w:szCs w:val="20"/>
          <w:color w:val="auto"/>
        </w:rPr>
      </w:pPr>
      <w:r>
        <w:rPr>
          <w:rFonts w:ascii="Times New Roman" w:cs="Times New Roman" w:eastAsia="Times New Roman" w:hAnsi="Times New Roman"/>
          <w:sz w:val="20"/>
          <w:szCs w:val="20"/>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73" w:lineRule="exact"/>
        <w:rPr>
          <w:sz w:val="20"/>
          <w:szCs w:val="20"/>
          <w:color w:val="auto"/>
        </w:rPr>
      </w:pPr>
    </w:p>
    <w:p>
      <w:pPr>
        <w:ind w:left="580" w:hanging="191"/>
        <w:spacing w:after="0"/>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withdraw approvals of such product;</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labels;</w:t>
      </w:r>
    </w:p>
    <w:p>
      <w:pPr>
        <w:spacing w:after="0" w:line="127" w:lineRule="exact"/>
        <w:rPr>
          <w:rFonts w:ascii="Times New Roman" w:cs="Times New Roman" w:eastAsia="Times New Roman" w:hAnsi="Times New Roman"/>
          <w:sz w:val="20"/>
          <w:szCs w:val="20"/>
          <w:color w:val="auto"/>
        </w:rPr>
      </w:pPr>
    </w:p>
    <w:p>
      <w:pPr>
        <w:ind w:left="580" w:hanging="191"/>
        <w:spacing w:after="0" w:line="282" w:lineRule="auto"/>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create a medication guide outlining the risks of such side effects for distribution to patients or other requirements subject to a REMS;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w:t>
      </w:r>
    </w:p>
    <w:p>
      <w:pPr>
        <w:spacing w:after="0" w:line="127" w:lineRule="exact"/>
        <w:rPr>
          <w:rFonts w:ascii="Times New Roman" w:cs="Times New Roman" w:eastAsia="Times New Roman" w:hAnsi="Times New Roman"/>
          <w:sz w:val="20"/>
          <w:szCs w:val="20"/>
          <w:color w:val="auto"/>
        </w:rPr>
      </w:pPr>
    </w:p>
    <w:p>
      <w:pPr>
        <w:ind w:left="580" w:right="100" w:hanging="191"/>
        <w:spacing w:after="0" w:line="261" w:lineRule="auto"/>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achieve or maintain third-party payor coverage and adequate reimbursement; and</w:t>
      </w:r>
    </w:p>
    <w:p>
      <w:pPr>
        <w:spacing w:after="0" w:line="34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and physician or patient acceptance of our products may suffer.</w:t>
      </w:r>
    </w:p>
    <w:p>
      <w:pPr>
        <w:spacing w:after="0" w:line="167" w:lineRule="exact"/>
        <w:rPr>
          <w:sz w:val="20"/>
          <w:szCs w:val="20"/>
          <w:color w:val="auto"/>
        </w:rPr>
      </w:pPr>
    </w:p>
    <w:p>
      <w:pPr>
        <w:ind w:right="140" w:firstLine="399"/>
        <w:spacing w:after="0" w:line="259" w:lineRule="auto"/>
        <w:rPr>
          <w:sz w:val="20"/>
          <w:szCs w:val="20"/>
          <w:color w:val="auto"/>
        </w:rPr>
      </w:pPr>
      <w:r>
        <w:rPr>
          <w:rFonts w:ascii="Times New Roman" w:cs="Times New Roman" w:eastAsia="Times New Roman" w:hAnsi="Times New Roman"/>
          <w:sz w:val="20"/>
          <w:szCs w:val="20"/>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97"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not obtain or maintain the benefits associated with orphan drug designation, including market exclusivity.</w:t>
      </w:r>
    </w:p>
    <w:p>
      <w:pPr>
        <w:spacing w:after="0" w:line="99"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w:t>
      </w:r>
    </w:p>
    <w:p>
      <w:pPr>
        <w:spacing w:after="0" w:line="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20"/>
          <w:szCs w:val="20"/>
          <w:color w:val="auto"/>
        </w:rPr>
        <w:t>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11" w:lineRule="exact"/>
        <w:rPr>
          <w:sz w:val="20"/>
          <w:szCs w:val="20"/>
          <w:color w:val="auto"/>
        </w:rPr>
      </w:pPr>
    </w:p>
    <w:p>
      <w:pPr>
        <w:ind w:right="80" w:firstLine="399"/>
        <w:spacing w:after="0" w:line="252" w:lineRule="auto"/>
        <w:rPr>
          <w:sz w:val="20"/>
          <w:szCs w:val="20"/>
          <w:color w:val="auto"/>
        </w:rPr>
      </w:pPr>
      <w:r>
        <w:rPr>
          <w:rFonts w:ascii="Times New Roman" w:cs="Times New Roman" w:eastAsia="Times New Roman" w:hAnsi="Times New Roman"/>
          <w:sz w:val="20"/>
          <w:szCs w:val="20"/>
          <w:color w:val="auto"/>
        </w:rPr>
        <w:t>The FDA has granted orphan drug designation for MT-401 for the treatment of AML after receiving an allogeneic stem cell transplant and for MT-601 for the treatment of patients with pancreatic cancer.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w:t>
      </w:r>
    </w:p>
    <w:p>
      <w:pPr>
        <w:sectPr>
          <w:pgSz w:w="11880" w:h="15480" w:orient="portrait"/>
          <w:cols w:equalWidth="0" w:num="1">
            <w:col w:w="9100"/>
          </w:cols>
          <w:pgMar w:left="1400" w:top="1025" w:right="1380" w:bottom="70" w:gutter="0" w:footer="0" w:header="0"/>
        </w:sect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100"/>
          </w:cols>
          <w:pgMar w:left="1400" w:top="1025" w:right="1380" w:bottom="70" w:gutter="0" w:footer="0" w:header="0"/>
          <w:type w:val="continuous"/>
        </w:sectPr>
      </w:pPr>
    </w:p>
    <w:bookmarkStart w:id="45" w:name="page46"/>
    <w:bookmarkEnd w:id="45"/>
    <w:p>
      <w:pPr>
        <w:ind w:right="20"/>
        <w:spacing w:after="0" w:line="257" w:lineRule="auto"/>
        <w:rPr>
          <w:sz w:val="20"/>
          <w:szCs w:val="20"/>
          <w:color w:val="auto"/>
        </w:rPr>
      </w:pPr>
      <w:r>
        <w:rPr>
          <w:rFonts w:ascii="Times New Roman" w:cs="Times New Roman" w:eastAsia="Times New Roman" w:hAnsi="Times New Roman"/>
          <w:sz w:val="20"/>
          <w:szCs w:val="20"/>
          <w:color w:val="auto"/>
        </w:rPr>
        <w:t>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Manufacturing</w:t>
      </w:r>
    </w:p>
    <w:p>
      <w:pPr>
        <w:spacing w:after="0" w:line="2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Establishing and maintaining our own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 July 2021, we opened an in-house cGMP manufacturing facility in Houston, Texas, which is now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fully operational and is manufacturing MT-401 for the Phase 2 clinical trial for the treatment of post-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transplant AML. We also intend to manufacture clinical supply of our other product candidates in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manufacturing facility, such as MT-601. Establishing and maintaining our own manufacturing facility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many risks. We have limited prior experience in establishing a manufacturing facility and, although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facility is fully operational, we may encounter challenges given the complexity of manufacturing cell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therapies. We will also compete for the small number of individuals with expertise in cell therapy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manufacturing. Even with an operational facility, our manufacturing capabilities could be affected by cost-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overruns, unexpected delays, equipment failures, labor shortages, natural disasters, power failures,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transportation difficulties and numerous other factors that could prevent us from fully realizing the intended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of our manufacturing strategy and have a material adverse effect on our clinical development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and/or commercialization plans. In addition, the manufacturing process for any product candidates that we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develop is subject to the FDA and foreign regulatory authority approval process, and we may need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 with manufacturers who can meet all applicable FDA and foreign regulatory authority requirements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an ongoing basis. If we or our contract manufacturing organizations, or CMOs, are unable to reliably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produce products to specifications acceptable to the FDA or other regulatory authorities, we may not obtain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maintain the approvals we need to commercialize any approved products. Even if we obtain regulatory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for any of our product candidates, there is no assurance that either we or our CMOs will be able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manufacture the approved product to specifications acceptable to the FDA or other regulatory authorities,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produce it in sufficient quantities to meet the requirements for the potential launch of the product, or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meet potential future demand. Further, we may be required to establish multiple manufacturing facilities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expand our commercial footprint for any approved products, which may lead to regulatory delays or prove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costly. Any of these challenges could delay completion of clinical trials, require bridging clinical trials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repetition of one or more clinical trials, increase clinical trial costs, delay approval of our product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candidate, impair commercialization efforts, increase our cost of goods, and have an adverse effect on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development and/or commercialization plans.</w:t>
      </w:r>
    </w:p>
    <w:p>
      <w:pPr>
        <w:spacing w:after="0" w:line="167"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Although we expect our in-house cGMP manufacturing facility to be our primary source of multiTAA-specific T cell therapy-based product candidates and for commercial manufacturing of any products, if approved, we intend to evaluate potential third- party manufacturing capabilities in order to provide potential multiple sources of clinical and commercial supply.</w:t>
      </w:r>
    </w:p>
    <w:p>
      <w:pPr>
        <w:spacing w:after="0" w:line="117"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BCM or other third-party manufacturers, if any,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w:t>
      </w:r>
    </w:p>
    <w:p>
      <w:pPr>
        <w:sectPr>
          <w:pgSz w:w="11880" w:h="15480" w:orient="portrait"/>
          <w:cols w:equalWidth="0" w:num="1">
            <w:col w:w="9100"/>
          </w:cols>
          <w:pgMar w:left="1400" w:top="1025" w:right="1380" w:bottom="71" w:gutter="0" w:footer="0" w:header="0"/>
        </w:sect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100"/>
          </w:cols>
          <w:pgMar w:left="1400" w:top="1025" w:right="1380" w:bottom="71" w:gutter="0" w:footer="0" w:header="0"/>
          <w:type w:val="continuous"/>
        </w:sectPr>
      </w:pPr>
    </w:p>
    <w:bookmarkStart w:id="46" w:name="page47"/>
    <w:bookmarkEnd w:id="46"/>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manufacturing process is reliant upon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20"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We depend on a limited number of vendors for supply of certain materials and equipment used in the manufacture of our multiTAA-specific T cell therapy-based product candidates. For example, we purchase equipment and reagents critical for the manufacture of our product candidates from Wilson Wolf (a company controlled by our director John Wilson), Almac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26"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25"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20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suppliers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25" w:lineRule="exact"/>
        <w:rPr>
          <w:sz w:val="20"/>
          <w:szCs w:val="20"/>
          <w:color w:val="auto"/>
        </w:rPr>
      </w:pPr>
    </w:p>
    <w:p>
      <w:pPr>
        <w:ind w:right="20" w:firstLine="399"/>
        <w:spacing w:after="0" w:line="252" w:lineRule="auto"/>
        <w:rPr>
          <w:sz w:val="20"/>
          <w:szCs w:val="20"/>
          <w:color w:val="auto"/>
        </w:rPr>
      </w:pPr>
      <w:r>
        <w:rPr>
          <w:rFonts w:ascii="Times New Roman" w:cs="Times New Roman" w:eastAsia="Times New Roman" w:hAnsi="Times New Roman"/>
          <w:sz w:val="20"/>
          <w:szCs w:val="20"/>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w:t>
      </w:r>
    </w:p>
    <w:p>
      <w:pPr>
        <w:sectPr>
          <w:pgSz w:w="11880" w:h="15480" w:orient="portrait"/>
          <w:cols w:equalWidth="0" w:num="1">
            <w:col w:w="9100"/>
          </w:cols>
          <w:pgMar w:left="1400" w:top="1026" w:right="1380" w:bottom="70" w:gutter="0" w:footer="0" w:header="0"/>
        </w:sect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100"/>
          </w:cols>
          <w:pgMar w:left="1400" w:top="1026" w:right="1380" w:bottom="70" w:gutter="0" w:footer="0" w:header="0"/>
          <w:type w:val="continuous"/>
        </w:sectPr>
      </w:pPr>
    </w:p>
    <w:bookmarkStart w:id="47" w:name="page48"/>
    <w:bookmarkEnd w:id="47"/>
    <w:p>
      <w:pPr>
        <w:ind w:right="100"/>
        <w:spacing w:after="0" w:line="259" w:lineRule="auto"/>
        <w:rPr>
          <w:sz w:val="20"/>
          <w:szCs w:val="20"/>
          <w:color w:val="auto"/>
        </w:rPr>
      </w:pPr>
      <w:r>
        <w:rPr>
          <w:rFonts w:ascii="Times New Roman" w:cs="Times New Roman" w:eastAsia="Times New Roman" w:hAnsi="Times New Roman"/>
          <w:sz w:val="20"/>
          <w:szCs w:val="20"/>
          <w:color w:val="auto"/>
        </w:rPr>
        <w:t>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1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367"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Although we currently manufacture our clinical supply at our manufacturing facilities,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208"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1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In cooperation with our current contract manufacturers and suppliers, we developed and have implemented a new nine-day multiTAA-specific T cell manufacturing process for our current Phase 2 AML trial as well as future clinical trials using a patient-specific manufacturing approach. The new manufacturing process marks additional manufacturing improvements compared to the processes used in the BCM Phase 1 and 2 trials (36-day manufacturing time) and the current AML trial reflecting the improved manufacturing process (9 -day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(including our new in-house facility)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spacing w:after="0" w:line="368"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We may have difficulty demonstrating that the product candidates produced from our new processes are identical to the existing products. The FDA may require additional clinical testing before permitting a larger clinical trial with the new processes, and such drug product may not be as efficacious in the new clinical</w:t>
      </w:r>
    </w:p>
    <w:p>
      <w:pPr>
        <w:sectPr>
          <w:pgSz w:w="11880" w:h="15480" w:orient="portrait"/>
          <w:cols w:equalWidth="0" w:num="1">
            <w:col w:w="9100"/>
          </w:cols>
          <w:pgMar w:left="1400" w:top="1025" w:right="1380" w:bottom="70" w:gutter="0" w:footer="0" w:header="0"/>
        </w:sect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100"/>
          </w:cols>
          <w:pgMar w:left="1400" w:top="1025" w:right="1380" w:bottom="70" w:gutter="0" w:footer="0" w:header="0"/>
          <w:type w:val="continuous"/>
        </w:sectPr>
      </w:pPr>
    </w:p>
    <w:bookmarkStart w:id="48" w:name="page49"/>
    <w:bookmarkEnd w:id="48"/>
    <w:p>
      <w:pPr>
        <w:spacing w:after="0" w:line="251" w:lineRule="auto"/>
        <w:rPr>
          <w:sz w:val="20"/>
          <w:szCs w:val="20"/>
          <w:color w:val="auto"/>
        </w:rPr>
      </w:pPr>
      <w:r>
        <w:rPr>
          <w:rFonts w:ascii="Times New Roman" w:cs="Times New Roman" w:eastAsia="Times New Roman" w:hAnsi="Times New Roman"/>
          <w:sz w:val="20"/>
          <w:szCs w:val="20"/>
          <w:color w:val="auto"/>
        </w:rPr>
        <w:t>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 Including BCM</w:t>
      </w:r>
    </w:p>
    <w:p>
      <w:pPr>
        <w:spacing w:after="0" w:line="2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strategic relationship with BCM is dependent, in part, upon our ongoing relationship with key medical and scientific personnel and advisors.</w:t>
      </w:r>
    </w:p>
    <w:p>
      <w:pPr>
        <w:spacing w:after="0" w:line="9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Our multiTAA-specific 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Chief Operating Officer and Chief Scientific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36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2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207" w:lineRule="exact"/>
        <w:rPr>
          <w:sz w:val="20"/>
          <w:szCs w:val="20"/>
          <w:color w:val="auto"/>
        </w:rPr>
      </w:pPr>
    </w:p>
    <w:p>
      <w:pPr>
        <w:ind w:right="320"/>
        <w:spacing w:after="0" w:line="308"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77"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w:t>
      </w:r>
    </w:p>
    <w:p>
      <w:pPr>
        <w:sectPr>
          <w:pgSz w:w="11880" w:h="15480" w:orient="portrait"/>
          <w:cols w:equalWidth="0" w:num="1">
            <w:col w:w="9100"/>
          </w:cols>
          <w:pgMar w:left="1400" w:top="1025" w:right="1380" w:bottom="70"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100"/>
          </w:cols>
          <w:pgMar w:left="1400" w:top="1025" w:right="1380" w:bottom="70" w:gutter="0" w:footer="0" w:header="0"/>
          <w:type w:val="continuous"/>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20"/>
          <w:szCs w:val="20"/>
          <w:color w:val="auto"/>
        </w:rPr>
        <w:t>of our research and development programs with the research and development priorities of our collaborators and effective allocation of our resources to multiple projects.</w:t>
      </w:r>
    </w:p>
    <w:p>
      <w:pPr>
        <w:spacing w:after="0" w:line="94" w:lineRule="exact"/>
        <w:rPr>
          <w:sz w:val="20"/>
          <w:szCs w:val="20"/>
          <w:color w:val="auto"/>
        </w:rPr>
      </w:pPr>
    </w:p>
    <w:p>
      <w:pPr>
        <w:ind w:right="20" w:firstLine="399"/>
        <w:spacing w:after="0" w:line="251" w:lineRule="auto"/>
        <w:rPr>
          <w:sz w:val="20"/>
          <w:szCs w:val="20"/>
          <w:color w:val="auto"/>
        </w:rPr>
      </w:pPr>
      <w:r>
        <w:rPr>
          <w:rFonts w:ascii="Times New Roman" w:cs="Times New Roman" w:eastAsia="Times New Roman" w:hAnsi="Times New Roman"/>
          <w:sz w:val="20"/>
          <w:szCs w:val="20"/>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26"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13" w:lineRule="exact"/>
        <w:rPr>
          <w:sz w:val="20"/>
          <w:szCs w:val="20"/>
          <w:color w:val="auto"/>
        </w:rPr>
      </w:pPr>
    </w:p>
    <w:p>
      <w:pPr>
        <w:ind w:right="140"/>
        <w:spacing w:after="0" w:line="306"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7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377"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w:t>
      </w:r>
    </w:p>
    <w:p>
      <w:pPr>
        <w:sectPr>
          <w:pgSz w:w="11880" w:h="15480" w:orient="portrait"/>
          <w:cols w:equalWidth="0" w:num="1">
            <w:col w:w="9100"/>
          </w:cols>
          <w:pgMar w:left="1400" w:top="1025" w:right="1380" w:bottom="70" w:gutter="0" w:footer="0" w:header="0"/>
        </w:sect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100"/>
          </w:cols>
          <w:pgMar w:left="1400" w:top="1025" w:right="1380" w:bottom="70" w:gutter="0" w:footer="0" w:header="0"/>
          <w:type w:val="continuous"/>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20"/>
          <w:szCs w:val="20"/>
          <w:color w:val="auto"/>
        </w:rPr>
        <w:t>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our Product Candidates</w:t>
      </w:r>
    </w:p>
    <w:p>
      <w:pPr>
        <w:spacing w:after="0" w:line="25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99"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20"/>
          <w:szCs w:val="20"/>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73" w:lineRule="exact"/>
        <w:rPr>
          <w:sz w:val="20"/>
          <w:szCs w:val="20"/>
          <w:color w:val="auto"/>
        </w:rPr>
      </w:pPr>
    </w:p>
    <w:p>
      <w:pPr>
        <w:ind w:left="580" w:right="220" w:hanging="191"/>
        <w:spacing w:after="0" w:line="282" w:lineRule="auto"/>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efficacy and safety of our product candidates as demonstrated in clinical trials and post-marketing experience;</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indications for which our product candidates may be approved;</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by physicians and patients of our product candidates as safe and effective;</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and perceived advantages of our product candidates over alternative treatments;</w:t>
      </w:r>
    </w:p>
    <w:p>
      <w:pPr>
        <w:spacing w:after="0" w:line="127" w:lineRule="exact"/>
        <w:rPr>
          <w:rFonts w:ascii="Times New Roman" w:cs="Times New Roman" w:eastAsia="Times New Roman" w:hAnsi="Times New Roman"/>
          <w:sz w:val="20"/>
          <w:szCs w:val="20"/>
          <w:color w:val="auto"/>
        </w:rPr>
      </w:pPr>
    </w:p>
    <w:p>
      <w:pPr>
        <w:ind w:left="580" w:right="540" w:hanging="191"/>
        <w:spacing w:after="0" w:line="282" w:lineRule="auto"/>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of our product candidates seen in a broader patient group, including our use outside the approved indications should physicians choose to prescribe for such uses;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prevalence and severity of any side effects;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labeling, or product insert requirements of the FDA or other regulatory authorities;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of market introduction of our product candidates as well as competitive products;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in relation to alternative treatments;</w:t>
      </w:r>
    </w:p>
    <w:p>
      <w:pPr>
        <w:spacing w:after="0" w:line="127" w:lineRule="exact"/>
        <w:rPr>
          <w:rFonts w:ascii="Times New Roman" w:cs="Times New Roman" w:eastAsia="Times New Roman" w:hAnsi="Times New Roman"/>
          <w:sz w:val="20"/>
          <w:szCs w:val="20"/>
          <w:color w:val="auto"/>
        </w:rPr>
      </w:pPr>
    </w:p>
    <w:p>
      <w:pPr>
        <w:ind w:left="580" w:right="520" w:hanging="191"/>
        <w:spacing w:after="0" w:line="282" w:lineRule="auto"/>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and the availability of coverage and adequate reimbursement by third-party payors and government authorities;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 and</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effectiveness of any sales and marketing efforts.</w:t>
      </w:r>
    </w:p>
    <w:p>
      <w:pPr>
        <w:spacing w:after="0" w:line="167" w:lineRule="exact"/>
        <w:rPr>
          <w:sz w:val="20"/>
          <w:szCs w:val="20"/>
          <w:color w:val="auto"/>
        </w:rPr>
      </w:pPr>
    </w:p>
    <w:p>
      <w:pPr>
        <w:ind w:right="60" w:firstLine="399"/>
        <w:spacing w:after="0" w:line="264" w:lineRule="auto"/>
        <w:rPr>
          <w:sz w:val="20"/>
          <w:szCs w:val="20"/>
          <w:color w:val="auto"/>
        </w:rPr>
      </w:pPr>
      <w:r>
        <w:rPr>
          <w:rFonts w:ascii="Times New Roman" w:cs="Times New Roman" w:eastAsia="Times New Roman" w:hAnsi="Times New Roman"/>
          <w:sz w:val="20"/>
          <w:szCs w:val="20"/>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13"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28"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w:t>
      </w:r>
    </w:p>
    <w:p>
      <w:pPr>
        <w:sectPr>
          <w:pgSz w:w="11880" w:h="15480" w:orient="portrait"/>
          <w:cols w:equalWidth="0" w:num="1">
            <w:col w:w="9100"/>
          </w:cols>
          <w:pgMar w:left="1400" w:top="1025" w:right="1380" w:bottom="70"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100"/>
          </w:cols>
          <w:pgMar w:left="1400" w:top="1025" w:right="1380" w:bottom="70" w:gutter="0" w:footer="0" w:header="0"/>
          <w:type w:val="continuous"/>
        </w:sectPr>
      </w:pPr>
    </w:p>
    <w:bookmarkStart w:id="51" w:name="page52"/>
    <w:bookmarkEnd w:id="51"/>
    <w:p>
      <w:pPr>
        <w:ind w:right="280"/>
        <w:spacing w:after="0" w:line="273" w:lineRule="auto"/>
        <w:rPr>
          <w:sz w:val="20"/>
          <w:szCs w:val="20"/>
          <w:color w:val="auto"/>
        </w:rPr>
      </w:pPr>
      <w:r>
        <w:rPr>
          <w:rFonts w:ascii="Times New Roman" w:cs="Times New Roman" w:eastAsia="Times New Roman" w:hAnsi="Times New Roman"/>
          <w:sz w:val="20"/>
          <w:szCs w:val="20"/>
          <w:color w:val="auto"/>
        </w:rPr>
        <w:t>adequate coverage and reimbursement levels for any of our products if approved, market acceptance and commercial success would be reduced.</w:t>
      </w:r>
    </w:p>
    <w:p>
      <w:pPr>
        <w:spacing w:after="0" w:line="95"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Any product candidates we develop may become subject to unfavorable third-party coverage and reimbursement practices, as well as pricing regulations.</w:t>
      </w:r>
    </w:p>
    <w:p>
      <w:pPr>
        <w:spacing w:after="0" w:line="100" w:lineRule="exact"/>
        <w:rPr>
          <w:sz w:val="20"/>
          <w:szCs w:val="20"/>
          <w:color w:val="auto"/>
        </w:rPr>
      </w:pPr>
    </w:p>
    <w:p>
      <w:pPr>
        <w:ind w:firstLine="399"/>
        <w:spacing w:after="0" w:line="241"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366"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24"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15" w:lineRule="exact"/>
        <w:rPr>
          <w:sz w:val="20"/>
          <w:szCs w:val="20"/>
          <w:color w:val="auto"/>
        </w:rPr>
      </w:pPr>
    </w:p>
    <w:p>
      <w:pPr>
        <w:ind w:right="80" w:firstLine="399"/>
        <w:spacing w:after="0" w:line="275"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w:t>
      </w:r>
    </w:p>
    <w:p>
      <w:pPr>
        <w:sectPr>
          <w:pgSz w:w="11880" w:h="15480" w:orient="portrait"/>
          <w:cols w:equalWidth="0" w:num="1">
            <w:col w:w="9100"/>
          </w:cols>
          <w:pgMar w:left="1400" w:top="1025" w:right="1380" w:bottom="73" w:gutter="0" w:footer="0" w:header="0"/>
        </w:sect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100"/>
          </w:cols>
          <w:pgMar w:left="1400" w:top="1025" w:right="1380" w:bottom="73" w:gutter="0" w:footer="0" w:header="0"/>
          <w:type w:val="continuous"/>
        </w:sectPr>
      </w:pPr>
    </w:p>
    <w:bookmarkStart w:id="52" w:name="page53"/>
    <w:bookmarkEnd w:id="52"/>
    <w:p>
      <w:pPr>
        <w:spacing w:after="0" w:line="252" w:lineRule="auto"/>
        <w:rPr>
          <w:sz w:val="20"/>
          <w:szCs w:val="20"/>
          <w:color w:val="auto"/>
        </w:rPr>
      </w:pPr>
      <w:r>
        <w:rPr>
          <w:rFonts w:ascii="Times New Roman" w:cs="Times New Roman" w:eastAsia="Times New Roman" w:hAnsi="Times New Roman"/>
          <w:sz w:val="20"/>
          <w:szCs w:val="20"/>
          <w:color w:val="auto"/>
        </w:rPr>
        <w:t>highly dependent on our management, scientific, and medical personnel and consultants, including Peter Hoang, our President and Chief Executive Officer, Juan Vera, M.D., our Chief Operating Officer and Chief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28"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24"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21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9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2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Potential competitors in the market for treating hematological malignancies are companies such as Amgen, GlaxoSmithKline, Juno Therapeutics/Celgene/Bristol-Myers Squibb, Kite Pharma/Gilead, Merck, Novartis, Pfizer, and Roche/Genentech, which already have products on the market or in development. Other companies, such as Adaptimmune, Bluebird Bio and Cellectis, which are focused on genetically engineered T cell technologies to treat cancer, may also be competitors. Furthermore, companies such as Iovance, Immatics, NexImmune, Repertoire Immune Medicines, Tessa Therapeutics and WindMIL Therapeutics are developing non-genetically modified T cell therapies such as tumor infiltrating lymphocytes and marrow infiltrating lymphocytes therapies that may compete with our product candidates. All these</w:t>
      </w:r>
    </w:p>
    <w:p>
      <w:pPr>
        <w:sectPr>
          <w:pgSz w:w="11880" w:h="15480" w:orient="portrait"/>
          <w:cols w:equalWidth="0" w:num="1">
            <w:col w:w="9100"/>
          </w:cols>
          <w:pgMar w:left="1400" w:top="1025" w:right="1380" w:bottom="70" w:gutter="0" w:footer="0" w:header="0"/>
        </w:sect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100"/>
          </w:cols>
          <w:pgMar w:left="1400" w:top="1025" w:right="1380" w:bottom="70" w:gutter="0" w:footer="0" w:header="0"/>
          <w:type w:val="continuous"/>
        </w:sectPr>
      </w:pPr>
    </w:p>
    <w:bookmarkStart w:id="53" w:name="page54"/>
    <w:bookmarkEnd w:id="53"/>
    <w:p>
      <w:pPr>
        <w:ind w:right="40"/>
        <w:spacing w:after="0" w:line="252" w:lineRule="auto"/>
        <w:rPr>
          <w:sz w:val="20"/>
          <w:szCs w:val="20"/>
          <w:color w:val="auto"/>
        </w:rPr>
      </w:pPr>
      <w:r>
        <w:rPr>
          <w:rFonts w:ascii="Times New Roman" w:cs="Times New Roman" w:eastAsia="Times New Roman" w:hAnsi="Times New Roman"/>
          <w:sz w:val="20"/>
          <w:szCs w:val="20"/>
          <w:color w:val="auto"/>
        </w:rPr>
        <w:t>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24"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Our lead product candidate is a therapy to treat patients with AML after receiving an allogeneic stem cell transplant.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364" w:lineRule="exact"/>
        <w:rPr>
          <w:sz w:val="20"/>
          <w:szCs w:val="20"/>
          <w:color w:val="auto"/>
        </w:rPr>
      </w:pPr>
    </w:p>
    <w:p>
      <w:pPr>
        <w:ind w:right="20" w:firstLine="399"/>
        <w:spacing w:after="0" w:line="273" w:lineRule="auto"/>
        <w:rPr>
          <w:sz w:val="20"/>
          <w:szCs w:val="20"/>
          <w:color w:val="auto"/>
        </w:rPr>
      </w:pPr>
      <w:r>
        <w:rPr>
          <w:rFonts w:ascii="Times New Roman" w:cs="Times New Roman" w:eastAsia="Times New Roman" w:hAnsi="Times New Roman"/>
          <w:sz w:val="20"/>
          <w:szCs w:val="20"/>
          <w:color w:val="auto"/>
        </w:rPr>
        <w:t>In addition, certain of our immunotherapies may be subject to competition from investigational new drugs and/or products developed using other technologies, some of which have completed numerous clinical trials.</w:t>
      </w:r>
    </w:p>
    <w:p>
      <w:pPr>
        <w:spacing w:after="0" w:line="200" w:lineRule="exact"/>
        <w:rPr>
          <w:sz w:val="20"/>
          <w:szCs w:val="20"/>
          <w:color w:val="auto"/>
        </w:rPr>
      </w:pPr>
    </w:p>
    <w:p>
      <w:pPr>
        <w:spacing w:after="0" w:line="22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our product candidates may be limited to those patients who are ineligible for or have failed prior treatments and may be small.</w:t>
      </w:r>
    </w:p>
    <w:p>
      <w:pPr>
        <w:spacing w:after="0" w:line="101"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25"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w:t>
      </w:r>
    </w:p>
    <w:p>
      <w:pPr>
        <w:sectPr>
          <w:pgSz w:w="11880" w:h="15480" w:orient="portrait"/>
          <w:cols w:equalWidth="0" w:num="1">
            <w:col w:w="9100"/>
          </w:cols>
          <w:pgMar w:left="1400" w:top="1025" w:right="1380" w:bottom="70" w:gutter="0" w:footer="0" w:header="0"/>
        </w:sect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100"/>
          </w:cols>
          <w:pgMar w:left="1400" w:top="1025" w:right="1380" w:bottom="70" w:gutter="0" w:footer="0" w:header="0"/>
          <w:type w:val="continuous"/>
        </w:sectPr>
      </w:pPr>
    </w:p>
    <w:bookmarkStart w:id="54" w:name="page55"/>
    <w:bookmarkEnd w:id="54"/>
    <w:p>
      <w:pPr>
        <w:ind w:right="280"/>
        <w:spacing w:after="0" w:line="279" w:lineRule="auto"/>
        <w:rPr>
          <w:sz w:val="20"/>
          <w:szCs w:val="20"/>
          <w:color w:val="auto"/>
        </w:rPr>
      </w:pPr>
      <w:r>
        <w:rPr>
          <w:rFonts w:ascii="Times New Roman" w:cs="Times New Roman" w:eastAsia="Times New Roman" w:hAnsi="Times New Roman"/>
          <w:sz w:val="20"/>
          <w:szCs w:val="20"/>
          <w:color w:val="auto"/>
        </w:rPr>
        <w:t>approval for additional indications, and we may spend large amounts of money trying to obtain approval for product candidates that have an uncertain commercial market.</w:t>
      </w:r>
    </w:p>
    <w:p>
      <w:pPr>
        <w:spacing w:after="0" w:line="17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New regulatory pathways for biosimilar competition could reduce the duration of market exclusivity for our products.</w:t>
      </w:r>
    </w:p>
    <w:p>
      <w:pPr>
        <w:spacing w:after="0" w:line="99"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w:t>
      </w:r>
    </w:p>
    <w:p>
      <w:pPr>
        <w:spacing w:after="0" w:line="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16" w:lineRule="exact"/>
        <w:rPr>
          <w:sz w:val="20"/>
          <w:szCs w:val="20"/>
          <w:color w:val="auto"/>
        </w:rPr>
      </w:pPr>
    </w:p>
    <w:p>
      <w:pPr>
        <w:ind w:right="20" w:firstLine="399"/>
        <w:spacing w:after="0" w:line="250" w:lineRule="auto"/>
        <w:rPr>
          <w:sz w:val="20"/>
          <w:szCs w:val="20"/>
          <w:color w:val="auto"/>
        </w:rPr>
      </w:pPr>
      <w:r>
        <w:rPr>
          <w:rFonts w:ascii="Times New Roman" w:cs="Times New Roman" w:eastAsia="Times New Roman" w:hAnsi="Times New Roman"/>
          <w:sz w:val="20"/>
          <w:szCs w:val="20"/>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1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99"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9" w:lineRule="exact"/>
        <w:rPr>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 candidates;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to defend the related litigation;</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diversion of management’s time and our resources;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pacing w:after="0" w:line="12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exhaustion of any available insurance and our capital resources; and</w:t>
      </w:r>
    </w:p>
    <w:p>
      <w:pPr>
        <w:sectPr>
          <w:pgSz w:w="11880" w:h="15480" w:orient="portrait"/>
          <w:cols w:equalWidth="0" w:num="1">
            <w:col w:w="9100"/>
          </w:cols>
          <w:pgMar w:left="1400" w:top="1025" w:right="1380" w:bottom="71"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100"/>
          </w:cols>
          <w:pgMar w:left="1400" w:top="1025" w:right="1380" w:bottom="71" w:gutter="0" w:footer="0" w:header="0"/>
          <w:type w:val="continuous"/>
        </w:sectPr>
      </w:pPr>
    </w:p>
    <w:bookmarkStart w:id="55" w:name="page56"/>
    <w:bookmarkEnd w:id="55"/>
    <w:p>
      <w:pPr>
        <w:ind w:left="380"/>
        <w:spacing w:after="0"/>
        <w:rPr>
          <w:sz w:val="20"/>
          <w:szCs w:val="20"/>
          <w:color w:val="auto"/>
        </w:rPr>
      </w:pPr>
      <w:r>
        <w:rPr>
          <w:rFonts w:ascii="Times New Roman" w:cs="Times New Roman" w:eastAsia="Times New Roman" w:hAnsi="Times New Roman"/>
          <w:sz w:val="20"/>
          <w:szCs w:val="20"/>
          <w:color w:val="auto"/>
        </w:rPr>
        <w:t>• the inability to commercialize any product candidate.</w:t>
      </w:r>
    </w:p>
    <w:p>
      <w:pPr>
        <w:spacing w:after="0" w:line="171"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The multiple roles of certain of Dr. Vera, our Chief Scientific Officer and Chief Operating Officer, could limit his time and availability to us, and create, or appear to create, conflicts of interest.</w:t>
      </w:r>
    </w:p>
    <w:p>
      <w:pPr>
        <w:spacing w:after="0" w:line="99"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Dr. Vera is a co-founder and director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25"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Further, Dr. Vera has certain fiduciary or other obligations to us and certain fiduciary or other obligations to Allovir and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he may be faced with decisions that could have different implications for us than for Allovir.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52"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our proprietary rights, we may not be able to compete effectively or operate profitably.</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commercial success is dependent in part on our ability to obtain, maintain, and enforce the patents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other proprietary rights that we have licensed and may develop, and on our ability to avoid infringing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proprietary rights of others. We generally seek to protect our proprietary position by filing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applications in the United States and abroad related to our product candidates, proprietary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their uses that are important to our business. Our patent applications cannot be enforced against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practicing the technology claimed in such applications unless, and until, patents issue from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applications, and then only to the extent the issued claims are directed to the technology. There can be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assurance that our patent applications or those of our licensor will result in additional patents being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that issued patents will afford sufficient protection against competitors with similar technology, nor 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be any assurance that the patents issued will not be infringed, designed around or invalidated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parties. Even issued patents may later be found invalid or unenforceable or may be modified or revoked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proceedings instituted by third parties before various patent offices or in courts. The degree of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protection for our proprietary rights is uncertain. Only limited protection may be available and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adequately protect our rights or permit us to gain or keep any competitive advantage. This failure to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protect the intellectual property rights relating to our product candidates could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 on our financial condition and results of operations.</w:t>
      </w:r>
    </w:p>
    <w:p>
      <w:pPr>
        <w:spacing w:after="0" w:line="169"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w:t>
      </w:r>
    </w:p>
    <w:p>
      <w:pPr>
        <w:sectPr>
          <w:pgSz w:w="11880" w:h="15480" w:orient="portrait"/>
          <w:cols w:equalWidth="0" w:num="1">
            <w:col w:w="9100"/>
          </w:cols>
          <w:pgMar w:left="1400" w:top="1025" w:right="1380" w:bottom="70" w:gutter="0" w:footer="0" w:header="0"/>
        </w:sect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100"/>
          </w:cols>
          <w:pgMar w:left="1400" w:top="1025" w:right="1380" w:bottom="70" w:gutter="0" w:footer="0" w:header="0"/>
          <w:type w:val="continuous"/>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20"/>
          <w:szCs w:val="20"/>
          <w:color w:val="auto"/>
        </w:rPr>
        <w:t>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20"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spacing w:after="0" w:line="124" w:lineRule="exact"/>
        <w:rPr>
          <w:sz w:val="20"/>
          <w:szCs w:val="20"/>
          <w:color w:val="auto"/>
        </w:rPr>
      </w:pPr>
    </w:p>
    <w:p>
      <w:pPr>
        <w:ind w:right="20" w:firstLine="399"/>
        <w:spacing w:after="0" w:line="249" w:lineRule="auto"/>
        <w:rPr>
          <w:sz w:val="20"/>
          <w:szCs w:val="20"/>
          <w:color w:val="auto"/>
        </w:rPr>
      </w:pPr>
      <w:r>
        <w:rPr>
          <w:rFonts w:ascii="Times New Roman" w:cs="Times New Roman" w:eastAsia="Times New Roman" w:hAnsi="Times New Roman"/>
          <w:sz w:val="20"/>
          <w:szCs w:val="20"/>
          <w:color w:val="auto"/>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1" w:lineRule="exact"/>
        <w:rPr>
          <w:sz w:val="20"/>
          <w:szCs w:val="20"/>
          <w:color w:val="auto"/>
        </w:rPr>
      </w:pPr>
    </w:p>
    <w:p>
      <w:pPr>
        <w:ind w:left="580" w:hanging="191"/>
        <w:spacing w:after="0" w:line="259" w:lineRule="auto"/>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6"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applications may not result in any patents being issued;</w:t>
      </w:r>
    </w:p>
    <w:p>
      <w:pPr>
        <w:spacing w:after="0" w:line="127" w:lineRule="exact"/>
        <w:rPr>
          <w:rFonts w:ascii="Times New Roman" w:cs="Times New Roman" w:eastAsia="Times New Roman" w:hAnsi="Times New Roman"/>
          <w:sz w:val="20"/>
          <w:szCs w:val="20"/>
          <w:color w:val="auto"/>
        </w:rPr>
      </w:pPr>
    </w:p>
    <w:p>
      <w:pPr>
        <w:ind w:left="580" w:right="200" w:hanging="191"/>
        <w:spacing w:after="0" w:line="282" w:lineRule="auto"/>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that may be issued or in-licensed may be challenged, invalidated, modified, revoked, circumvented, found to be unenforceable or otherwise may not provide any competitive advantage;</w:t>
      </w:r>
    </w:p>
    <w:p>
      <w:pPr>
        <w:spacing w:after="0" w:line="54" w:lineRule="exact"/>
        <w:rPr>
          <w:rFonts w:ascii="Times New Roman" w:cs="Times New Roman" w:eastAsia="Times New Roman" w:hAnsi="Times New Roman"/>
          <w:sz w:val="20"/>
          <w:szCs w:val="20"/>
          <w:color w:val="auto"/>
        </w:rPr>
      </w:pPr>
    </w:p>
    <w:p>
      <w:pPr>
        <w:ind w:left="580" w:hanging="191"/>
        <w:spacing w:after="0" w:line="259" w:lineRule="auto"/>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76" w:lineRule="exact"/>
        <w:rPr>
          <w:rFonts w:ascii="Times New Roman" w:cs="Times New Roman" w:eastAsia="Times New Roman" w:hAnsi="Times New Roman"/>
          <w:sz w:val="20"/>
          <w:szCs w:val="20"/>
          <w:color w:val="auto"/>
        </w:rPr>
      </w:pPr>
    </w:p>
    <w:p>
      <w:pPr>
        <w:ind w:left="580" w:right="80" w:hanging="191"/>
        <w:spacing w:after="0" w:line="264" w:lineRule="auto"/>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3"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13"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w:t>
      </w:r>
    </w:p>
    <w:p>
      <w:pPr>
        <w:sectPr>
          <w:pgSz w:w="11880" w:h="15480" w:orient="portrait"/>
          <w:cols w:equalWidth="0" w:num="1">
            <w:col w:w="9100"/>
          </w:cols>
          <w:pgMar w:left="1400" w:top="1025" w:right="1380" w:bottom="71" w:gutter="0" w:footer="0" w:header="0"/>
        </w:sect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100"/>
          </w:cols>
          <w:pgMar w:left="1400" w:top="1025" w:right="1380" w:bottom="71" w:gutter="0" w:footer="0" w:header="0"/>
          <w:type w:val="continuous"/>
        </w:sectPr>
      </w:pPr>
    </w:p>
    <w:bookmarkStart w:id="57" w:name="page58"/>
    <w:bookmarkEnd w:id="57"/>
    <w:p>
      <w:pPr>
        <w:ind w:right="200"/>
        <w:spacing w:after="0" w:line="279" w:lineRule="auto"/>
        <w:rPr>
          <w:sz w:val="20"/>
          <w:szCs w:val="20"/>
          <w:color w:val="auto"/>
        </w:rPr>
      </w:pPr>
      <w:r>
        <w:rPr>
          <w:rFonts w:ascii="Times New Roman" w:cs="Times New Roman" w:eastAsia="Times New Roman" w:hAnsi="Times New Roman"/>
          <w:sz w:val="20"/>
          <w:szCs w:val="20"/>
          <w:color w:val="auto"/>
        </w:rPr>
        <w:t>commercialize products or product candidates may be adversely affected and we may be unable to prevent competitors from making, using and selling competing products.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 addition, identification of third-party patent rights that may be relevant to our technology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difficult because patent searching is imperfect due to differences in terminology among patents, incomplete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databases and the difficulty in assessing the meaning of patent claims. The issuance of a patent is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conclusive as to its inventorship, scope, validity or enforceability and it is uncertain how much protection, if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will be given to the patents we have licensed from a licensor if either the licensor or we attempt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enforce the patents and/or if they are challenged in court or in other proceedings, such as oppositions,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invalidations, or like proceedings, which may be brought in foreign jurisdictions to challenge the validity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patent. A third party may challenge our patents, if issued, or the patent rights that we license from others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courts or patent offices in the United States and abroad. It is possible that a competitor may successfully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challenge our patents or that a challenge will result in loss of exclusivity or in patent claims being narrowed,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invalidated or held unenforceable, which could limit our ability to stop others from using or commercializing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similar or identical products, or limit the duration of the patent protection of our products and product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candidates. Moreover, the cost of litigation to defend the validity of patents and to prevent or remedy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infringement can be substantial. If the outcome of litigation is adverse to us, third parties may be able to use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patented invention without payment to us. Moreover, it is possible that competitors may infringe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patents or successfully avoid them through design innovation. To stop violation of our patent rights, we may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 to file a lawsuit. These lawsuits are expensive and would consume time and other resources, even if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were successful in stopping or remedying the violation of our patent rights. In addition, there is a risk that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court would decide that our patents are not valid and that we do not have the right to stop the other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 from using the inventions. There is also the risk that, even if the validity of our patents was upheld,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court would refuse to stop the other party on the ground that its activities are not covered by, that is, do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infringe, our patents.</w:t>
      </w:r>
    </w:p>
    <w:p>
      <w:pPr>
        <w:spacing w:after="0" w:line="16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29"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w:t>
      </w:r>
    </w:p>
    <w:p>
      <w:pPr>
        <w:sectPr>
          <w:pgSz w:w="11880" w:h="15480" w:orient="portrait"/>
          <w:cols w:equalWidth="0" w:num="1">
            <w:col w:w="9100"/>
          </w:cols>
          <w:pgMar w:left="1400" w:top="1025" w:right="1380" w:bottom="71" w:gutter="0" w:footer="0" w:header="0"/>
        </w:sect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100"/>
          </w:cols>
          <w:pgMar w:left="1400" w:top="1025" w:right="1380" w:bottom="71" w:gutter="0" w:footer="0" w:header="0"/>
          <w:type w:val="continuous"/>
        </w:sectPr>
      </w:pPr>
    </w:p>
    <w:bookmarkStart w:id="58" w:name="page59"/>
    <w:bookmarkEnd w:id="58"/>
    <w:p>
      <w:pPr>
        <w:ind w:right="160"/>
        <w:spacing w:after="0" w:line="252" w:lineRule="auto"/>
        <w:rPr>
          <w:sz w:val="20"/>
          <w:szCs w:val="20"/>
          <w:color w:val="auto"/>
        </w:rPr>
      </w:pPr>
      <w:r>
        <w:rPr>
          <w:rFonts w:ascii="Times New Roman" w:cs="Times New Roman" w:eastAsia="Times New Roman" w:hAnsi="Times New Roman"/>
          <w:sz w:val="20"/>
          <w:szCs w:val="20"/>
          <w:color w:val="auto"/>
        </w:rPr>
        <w:t>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use of our technologies could potentially conflict with the rights of others.</w:t>
      </w:r>
    </w:p>
    <w:p>
      <w:pPr>
        <w:spacing w:after="0" w:line="164"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 xml:space="preserve">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34"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213"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could diminish the value of patents in general, thereby impairing our ability to protect our product candidates.</w:t>
      </w:r>
    </w:p>
    <w:p>
      <w:pPr>
        <w:spacing w:after="0" w:line="99"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 xml:space="preserve">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Times New Roman" w:cs="Times New Roman" w:eastAsia="Times New Roman" w:hAnsi="Times New Roman"/>
          <w:sz w:val="20"/>
          <w:szCs w:val="20"/>
          <w:i w:val="1"/>
          <w:iCs w:val="1"/>
          <w:color w:val="auto"/>
        </w:rPr>
        <w:t>inter-partes</w:t>
      </w:r>
      <w:r>
        <w:rPr>
          <w:rFonts w:ascii="Times New Roman" w:cs="Times New Roman" w:eastAsia="Times New Roman" w:hAnsi="Times New Roman"/>
          <w:sz w:val="20"/>
          <w:szCs w:val="20"/>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w:t>
      </w:r>
    </w:p>
    <w:p>
      <w:pPr>
        <w:sectPr>
          <w:pgSz w:w="11880" w:h="15480" w:orient="portrait"/>
          <w:cols w:equalWidth="0" w:num="1">
            <w:col w:w="9100"/>
          </w:cols>
          <w:pgMar w:left="1400" w:top="1025" w:right="1380" w:bottom="71" w:gutter="0" w:footer="0" w:header="0"/>
        </w:sect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100"/>
          </w:cols>
          <w:pgMar w:left="1400" w:top="1025" w:right="1380" w:bottom="71" w:gutter="0" w:footer="0" w:header="0"/>
          <w:type w:val="continuous"/>
        </w:sectPr>
      </w:pPr>
    </w:p>
    <w:bookmarkStart w:id="59" w:name="page60"/>
    <w:bookmarkEnd w:id="59"/>
    <w:p>
      <w:pPr>
        <w:spacing w:after="0" w:line="253" w:lineRule="auto"/>
        <w:rPr>
          <w:sz w:val="20"/>
          <w:szCs w:val="20"/>
          <w:color w:val="auto"/>
        </w:rPr>
      </w:pPr>
      <w:r>
        <w:rPr>
          <w:rFonts w:ascii="Times New Roman" w:cs="Times New Roman" w:eastAsia="Times New Roman" w:hAnsi="Times New Roman"/>
          <w:sz w:val="20"/>
          <w:szCs w:val="20"/>
          <w:color w:val="auto"/>
        </w:rPr>
        <w:t>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200" w:lineRule="exact"/>
        <w:rPr>
          <w:sz w:val="20"/>
          <w:szCs w:val="20"/>
          <w:color w:val="auto"/>
        </w:rPr>
      </w:pPr>
    </w:p>
    <w:p>
      <w:pPr>
        <w:spacing w:after="0" w:line="248"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have limited foreign intellectual property rights and may not be able to protect our intellectual property rights throughout the world.</w:t>
      </w:r>
    </w:p>
    <w:p>
      <w:pPr>
        <w:spacing w:after="0" w:line="99"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364"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For example, the complexity and uncertainty of European patent laws have also increased in recent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Europe, a new unitary patent system will likely be introduced by the end of 2023, which would significantly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impact European patents, including those granted before the introduction of such a system.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unitary patent system, European applications will have the option, upon grant of a patent, of becoming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Unitary Patent which will be subject to the jurisdiction of the Unitary Patent Court, or UPC. As the UPC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new court system, there is no precedent for the court, increasing the uncertainty of any litigation. Patents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 before the implementation of the UPC will have the option of opting out of the jurisdiction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UPC and remaining as national patents in the UPC countries. Patents that remain under the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UPC will be potentially vulnerable to a single UPC-based revocation challenge that, if successful,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invalidate the patent in all countries who are signatories to the UPC. We cannot predict with certainty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effects of any potential changes.</w:t>
      </w:r>
    </w:p>
    <w:p>
      <w:pPr>
        <w:spacing w:after="0" w:line="25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of third parties.</w:t>
      </w:r>
    </w:p>
    <w:p>
      <w:pPr>
        <w:spacing w:after="0" w:line="99"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w:t>
      </w:r>
    </w:p>
    <w:p>
      <w:pPr>
        <w:sectPr>
          <w:pgSz w:w="11880" w:h="15480" w:orient="portrait"/>
          <w:cols w:equalWidth="0" w:num="1">
            <w:col w:w="9100"/>
          </w:cols>
          <w:pgMar w:left="1400" w:top="1025" w:right="1380" w:bottom="70" w:gutter="0" w:footer="0" w:header="0"/>
        </w:sect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100"/>
          </w:cols>
          <w:pgMar w:left="1400" w:top="1025" w:right="1380" w:bottom="70" w:gutter="0" w:footer="0" w:header="0"/>
          <w:type w:val="continuous"/>
        </w:sectPr>
      </w:pPr>
    </w:p>
    <w:bookmarkStart w:id="60" w:name="page61"/>
    <w:bookmarkEnd w:id="60"/>
    <w:p>
      <w:pPr>
        <w:ind w:right="40"/>
        <w:spacing w:after="0" w:line="269" w:lineRule="auto"/>
        <w:rPr>
          <w:sz w:val="20"/>
          <w:szCs w:val="20"/>
          <w:color w:val="auto"/>
        </w:rPr>
      </w:pPr>
      <w:r>
        <w:rPr>
          <w:rFonts w:ascii="Times New Roman" w:cs="Times New Roman" w:eastAsia="Times New Roman" w:hAnsi="Times New Roman"/>
          <w:sz w:val="20"/>
          <w:szCs w:val="20"/>
          <w:color w:val="auto"/>
        </w:rPr>
        <w:t>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16"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324" w:lineRule="exact"/>
        <w:rPr>
          <w:sz w:val="20"/>
          <w:szCs w:val="20"/>
          <w:color w:val="auto"/>
        </w:rPr>
      </w:pPr>
    </w:p>
    <w:p>
      <w:pPr>
        <w:ind w:left="580" w:hanging="191"/>
        <w:spacing w:after="0"/>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29" w:lineRule="exact"/>
        <w:rPr>
          <w:rFonts w:ascii="Times New Roman" w:cs="Times New Roman" w:eastAsia="Times New Roman" w:hAnsi="Times New Roman"/>
          <w:sz w:val="20"/>
          <w:szCs w:val="20"/>
          <w:color w:val="auto"/>
        </w:rPr>
      </w:pPr>
    </w:p>
    <w:p>
      <w:pPr>
        <w:ind w:left="580" w:right="380" w:hanging="191"/>
        <w:spacing w:after="0" w:line="284" w:lineRule="auto"/>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sublicensing of patent and other rights;</w:t>
      </w:r>
    </w:p>
    <w:p>
      <w:pPr>
        <w:spacing w:after="0" w:line="129" w:lineRule="exact"/>
        <w:rPr>
          <w:rFonts w:ascii="Times New Roman" w:cs="Times New Roman" w:eastAsia="Times New Roman" w:hAnsi="Times New Roman"/>
          <w:sz w:val="20"/>
          <w:szCs w:val="20"/>
          <w:color w:val="auto"/>
        </w:rPr>
      </w:pPr>
    </w:p>
    <w:p>
      <w:pPr>
        <w:ind w:left="580" w:right="540" w:hanging="191"/>
        <w:spacing w:after="0" w:line="284" w:lineRule="auto"/>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54" w:lineRule="exact"/>
        <w:rPr>
          <w:rFonts w:ascii="Times New Roman" w:cs="Times New Roman" w:eastAsia="Times New Roman" w:hAnsi="Times New Roman"/>
          <w:sz w:val="20"/>
          <w:szCs w:val="20"/>
          <w:color w:val="auto"/>
        </w:rPr>
      </w:pPr>
    </w:p>
    <w:p>
      <w:pPr>
        <w:ind w:left="580" w:right="780" w:hanging="191"/>
        <w:spacing w:after="0" w:line="284" w:lineRule="auto"/>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and know-how resulting from the creation or use of intellectual property by us, alone or with our licensors and collaborators;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and duration of our payment obligations;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rights upon termination of such agreement; and</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and duration of exclusivity obligations of each party to the agreement.</w:t>
      </w:r>
    </w:p>
    <w:p>
      <w:pPr>
        <w:spacing w:after="0" w:line="169"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25"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spacing w:after="0" w:line="125"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20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patents and other intellectual property.</w:t>
      </w:r>
    </w:p>
    <w:p>
      <w:pPr>
        <w:spacing w:after="0" w:line="99"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w:t>
      </w:r>
    </w:p>
    <w:p>
      <w:pPr>
        <w:sectPr>
          <w:pgSz w:w="11880" w:h="15480" w:orient="portrait"/>
          <w:cols w:equalWidth="0" w:num="1">
            <w:col w:w="9100"/>
          </w:cols>
          <w:pgMar w:left="1400" w:top="1025" w:right="1380" w:bottom="70" w:gutter="0" w:footer="0" w:header="0"/>
        </w:sect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100"/>
          </w:cols>
          <w:pgMar w:left="1400" w:top="1025" w:right="1380" w:bottom="70" w:gutter="0" w:footer="0" w:header="0"/>
          <w:type w:val="continuous"/>
        </w:sectPr>
      </w:pPr>
    </w:p>
    <w:bookmarkStart w:id="61" w:name="page62"/>
    <w:bookmarkEnd w:id="61"/>
    <w:p>
      <w:pPr>
        <w:ind w:right="60"/>
        <w:spacing w:after="0" w:line="288" w:lineRule="auto"/>
        <w:rPr>
          <w:sz w:val="20"/>
          <w:szCs w:val="20"/>
          <w:color w:val="auto"/>
        </w:rPr>
      </w:pPr>
      <w:r>
        <w:rPr>
          <w:rFonts w:ascii="Times New Roman" w:cs="Times New Roman" w:eastAsia="Times New Roman" w:hAnsi="Times New Roman"/>
          <w:sz w:val="20"/>
          <w:szCs w:val="20"/>
          <w:color w:val="auto"/>
        </w:rPr>
        <w:t>outcome could have a material adverse effect on our business. Even if we are successful in defending against such claims, litigation could result in substantial costs and distraction to management and other employees.</w:t>
      </w:r>
    </w:p>
    <w:p>
      <w:pPr>
        <w:spacing w:after="0" w:line="175"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00"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200" w:lineRule="exact"/>
        <w:rPr>
          <w:sz w:val="20"/>
          <w:szCs w:val="20"/>
          <w:color w:val="auto"/>
        </w:rPr>
      </w:pPr>
    </w:p>
    <w:p>
      <w:pPr>
        <w:spacing w:after="0" w:line="254"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Certain of our technologies are in-licensed from third parties, and the protection of those technologies is not entirely within our control.</w:t>
      </w:r>
    </w:p>
    <w:p>
      <w:pPr>
        <w:spacing w:after="0" w:line="100" w:lineRule="exact"/>
        <w:rPr>
          <w:sz w:val="20"/>
          <w:szCs w:val="20"/>
          <w:color w:val="auto"/>
        </w:rPr>
      </w:pPr>
    </w:p>
    <w:p>
      <w:pPr>
        <w:ind w:right="40" w:firstLine="399"/>
        <w:spacing w:after="0" w:line="271" w:lineRule="auto"/>
        <w:rPr>
          <w:sz w:val="20"/>
          <w:szCs w:val="20"/>
          <w:color w:val="auto"/>
        </w:rPr>
      </w:pPr>
      <w:r>
        <w:rPr>
          <w:rFonts w:ascii="Times New Roman" w:cs="Times New Roman" w:eastAsia="Times New Roman" w:hAnsi="Times New Roman"/>
          <w:sz w:val="20"/>
          <w:szCs w:val="20"/>
          <w:color w:val="auto"/>
        </w:rPr>
        <w:t>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71" w:lineRule="exact"/>
        <w:rPr>
          <w:sz w:val="20"/>
          <w:szCs w:val="20"/>
          <w:color w:val="auto"/>
        </w:rPr>
      </w:pPr>
    </w:p>
    <w:p>
      <w:pPr>
        <w:ind w:left="580" w:right="720" w:hanging="191"/>
        <w:spacing w:after="0" w:line="288" w:lineRule="auto"/>
        <w:tabs>
          <w:tab w:leader="none" w:pos="5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 (s) of the patent rights underlying the technologies that we license do not properly maintain or enforce the patents and intellectual property underlying those properties,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BCM seeks to terminate our license in contravention of the license agreements;</w:t>
      </w:r>
    </w:p>
    <w:p>
      <w:pPr>
        <w:spacing w:after="0" w:line="133"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make all payments due and owing under any of the licenses; or</w:t>
      </w:r>
    </w:p>
    <w:p>
      <w:pPr>
        <w:spacing w:after="0" w:line="133" w:lineRule="exact"/>
        <w:rPr>
          <w:rFonts w:ascii="Times New Roman" w:cs="Times New Roman" w:eastAsia="Times New Roman" w:hAnsi="Times New Roman"/>
          <w:sz w:val="20"/>
          <w:szCs w:val="20"/>
          <w:color w:val="auto"/>
        </w:rPr>
      </w:pPr>
    </w:p>
    <w:p>
      <w:pPr>
        <w:ind w:left="580" w:right="460" w:hanging="191"/>
        <w:spacing w:after="0" w:line="288" w:lineRule="auto"/>
        <w:tabs>
          <w:tab w:leader="none" w:pos="5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obtain on commercially reasonable terms, if at all, in-licenses from BCM or others for other rights that are necessary to develop the technology that we have already in-licensed.</w:t>
      </w:r>
    </w:p>
    <w:p>
      <w:pPr>
        <w:spacing w:after="0" w:line="95" w:lineRule="exact"/>
        <w:rPr>
          <w:sz w:val="20"/>
          <w:szCs w:val="20"/>
          <w:color w:val="auto"/>
        </w:rPr>
      </w:pPr>
    </w:p>
    <w:p>
      <w:pPr>
        <w:ind w:right="140" w:firstLine="399"/>
        <w:spacing w:after="0" w:line="265" w:lineRule="auto"/>
        <w:rPr>
          <w:sz w:val="20"/>
          <w:szCs w:val="20"/>
          <w:color w:val="auto"/>
        </w:rPr>
      </w:pPr>
      <w:r>
        <w:rPr>
          <w:rFonts w:ascii="Times New Roman" w:cs="Times New Roman" w:eastAsia="Times New Roman" w:hAnsi="Times New Roman"/>
          <w:sz w:val="20"/>
          <w:szCs w:val="20"/>
          <w:color w:val="auto"/>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spacing w:after="0" w:line="198"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76"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ectPr>
          <w:pgSz w:w="11880" w:h="15480" w:orient="portrait"/>
          <w:cols w:equalWidth="0" w:num="1">
            <w:col w:w="9100"/>
          </w:cols>
          <w:pgMar w:left="1400" w:top="1025" w:right="1380" w:bottom="69" w:gutter="0" w:footer="0" w:header="0"/>
        </w:sect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100"/>
          </w:cols>
          <w:pgMar w:left="1400" w:top="1025" w:right="1380" w:bottom="69" w:gutter="0" w:footer="0" w:header="0"/>
          <w:type w:val="continuous"/>
        </w:sectPr>
      </w:pPr>
    </w:p>
    <w:bookmarkStart w:id="62" w:name="page63"/>
    <w:bookmarkEnd w:id="62"/>
    <w:p>
      <w:pPr>
        <w:ind w:firstLine="399"/>
        <w:spacing w:after="0" w:line="251" w:lineRule="auto"/>
        <w:rPr>
          <w:sz w:val="20"/>
          <w:szCs w:val="20"/>
          <w:color w:val="auto"/>
        </w:rPr>
      </w:pPr>
      <w:r>
        <w:rPr>
          <w:rFonts w:ascii="Times New Roman" w:cs="Times New Roman" w:eastAsia="Times New Roman" w:hAnsi="Times New Roman"/>
          <w:sz w:val="20"/>
          <w:szCs w:val="20"/>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367" w:lineRule="exact"/>
        <w:rPr>
          <w:sz w:val="20"/>
          <w:szCs w:val="20"/>
          <w:color w:val="auto"/>
        </w:rPr>
      </w:pPr>
    </w:p>
    <w:p>
      <w:pPr>
        <w:ind w:right="40" w:firstLine="399"/>
        <w:spacing w:after="0" w:line="251" w:lineRule="auto"/>
        <w:rPr>
          <w:sz w:val="20"/>
          <w:szCs w:val="20"/>
          <w:color w:val="auto"/>
        </w:rPr>
      </w:pPr>
      <w:r>
        <w:rPr>
          <w:rFonts w:ascii="Times New Roman" w:cs="Times New Roman" w:eastAsia="Times New Roman" w:hAnsi="Times New Roman"/>
          <w:sz w:val="20"/>
          <w:szCs w:val="20"/>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29" w:lineRule="exact"/>
        <w:rPr>
          <w:sz w:val="20"/>
          <w:szCs w:val="20"/>
          <w:color w:val="auto"/>
        </w:rPr>
      </w:pPr>
    </w:p>
    <w:p>
      <w:pPr>
        <w:ind w:right="100" w:firstLine="399"/>
        <w:spacing w:after="0" w:line="264" w:lineRule="auto"/>
        <w:rPr>
          <w:sz w:val="20"/>
          <w:szCs w:val="20"/>
          <w:color w:val="auto"/>
        </w:rPr>
      </w:pPr>
      <w:r>
        <w:rPr>
          <w:rFonts w:ascii="Times New Roman" w:cs="Times New Roman" w:eastAsia="Times New Roman" w:hAnsi="Times New Roman"/>
          <w:sz w:val="20"/>
          <w:szCs w:val="20"/>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9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 which could be expensive, time-consuming and unsuccessful.</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may face legal claims involving stockholders, consumers, competitors, entities from whom we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 technology, entities with whom we collaborate, persons claiming that we are infringing on their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intellectual property and others. The biotechnology and pharmaceutical industries have been characterized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extensive litigation regarding patents and other intellectual property rights, and companies have employed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intellectual property litigation to gain a competitive advantage. Competitors may infringe our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rights or those of our licensor. To counter infringement or unauthorized use, we may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 infringement claims, which can be expensive and time-consuming. In addition, in a patent infringement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proceeding, a court may decide that one or more of the patents which we own or in-license is not valid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 unenforceable, and/or is not infringed. An adverse result in any litigation or defense proceedings could put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or more of our patents at risk of being invalidated, held unenforceable, or interpreted narrowly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put our patent applications at risk of not issuing. Defense of these claims, regardless of their merit,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would involve substantial litigation expense and would be a substantial diversion of employee resources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In addition, litigation may be necessary to enforce our issued patents, to protect our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secrets and know-how, or to determine the enforceability, scope, and validity of the proprietary rights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others. We may not prevail in any lawsuits that we initiate, and the damages or other remedies awarded,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not be commercially meaningful. In the event of a successful claim of infringement against us,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have to pay substantial damages, including treble damages and attorneys’ fees for willful infringement,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obtain one or more licenses from third parties, pay royalties or redesign our infringing products, which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impossible or require substantial time and monetary expenditure.</w:t>
      </w:r>
    </w:p>
    <w:p>
      <w:pPr>
        <w:spacing w:after="0" w:line="169" w:lineRule="exact"/>
        <w:rPr>
          <w:sz w:val="20"/>
          <w:szCs w:val="20"/>
          <w:color w:val="auto"/>
        </w:rPr>
      </w:pPr>
    </w:p>
    <w:p>
      <w:pPr>
        <w:ind w:right="20" w:firstLine="399"/>
        <w:spacing w:after="0" w:line="255"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w:t>
      </w:r>
    </w:p>
    <w:p>
      <w:pPr>
        <w:sectPr>
          <w:pgSz w:w="11880" w:h="15480" w:orient="portrait"/>
          <w:cols w:equalWidth="0" w:num="1">
            <w:col w:w="9100"/>
          </w:cols>
          <w:pgMar w:left="1400" w:top="1025" w:right="1380" w:bottom="70"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100"/>
          </w:cols>
          <w:pgMar w:left="1400" w:top="1025" w:right="1380" w:bottom="70" w:gutter="0" w:footer="0" w:header="0"/>
          <w:type w:val="continuous"/>
        </w:sectPr>
      </w:pPr>
    </w:p>
    <w:bookmarkStart w:id="63" w:name="page64"/>
    <w:bookmarkEnd w:id="63"/>
    <w:p>
      <w:pPr>
        <w:spacing w:after="0" w:line="267" w:lineRule="auto"/>
        <w:rPr>
          <w:sz w:val="20"/>
          <w:szCs w:val="20"/>
          <w:color w:val="auto"/>
        </w:rPr>
      </w:pPr>
      <w:r>
        <w:rPr>
          <w:rFonts w:ascii="Times New Roman" w:cs="Times New Roman" w:eastAsia="Times New Roman" w:hAnsi="Times New Roman"/>
          <w:sz w:val="20"/>
          <w:szCs w:val="20"/>
          <w:color w:val="auto"/>
        </w:rPr>
        <w:t>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35"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color w:val="auto"/>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395"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prevent disclosure of trade secrets and other proprietary information.</w:t>
      </w:r>
    </w:p>
    <w:p>
      <w:pPr>
        <w:spacing w:after="0" w:line="192" w:lineRule="exact"/>
        <w:rPr>
          <w:sz w:val="20"/>
          <w:szCs w:val="20"/>
          <w:color w:val="auto"/>
        </w:rPr>
      </w:pPr>
    </w:p>
    <w:p>
      <w:pPr>
        <w:ind w:right="40" w:firstLine="399"/>
        <w:spacing w:after="0" w:line="264" w:lineRule="auto"/>
        <w:rPr>
          <w:sz w:val="20"/>
          <w:szCs w:val="20"/>
          <w:color w:val="auto"/>
        </w:rPr>
      </w:pPr>
      <w:r>
        <w:rPr>
          <w:rFonts w:ascii="Times New Roman" w:cs="Times New Roman" w:eastAsia="Times New Roman" w:hAnsi="Times New Roman"/>
          <w:sz w:val="20"/>
          <w:szCs w:val="20"/>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30" w:lineRule="exact"/>
        <w:rPr>
          <w:sz w:val="20"/>
          <w:szCs w:val="20"/>
          <w:color w:val="auto"/>
        </w:rPr>
      </w:pPr>
    </w:p>
    <w:p>
      <w:pPr>
        <w:ind w:firstLine="399"/>
        <w:spacing w:after="0" w:line="265" w:lineRule="auto"/>
        <w:rPr>
          <w:sz w:val="20"/>
          <w:szCs w:val="20"/>
          <w:color w:val="auto"/>
        </w:rPr>
      </w:pPr>
      <w:r>
        <w:rPr>
          <w:rFonts w:ascii="Times New Roman" w:cs="Times New Roman" w:eastAsia="Times New Roman" w:hAnsi="Times New Roman"/>
          <w:sz w:val="20"/>
          <w:szCs w:val="20"/>
          <w:color w:val="auto"/>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391" w:lineRule="exact"/>
        <w:rPr>
          <w:sz w:val="20"/>
          <w:szCs w:val="20"/>
          <w:color w:val="auto"/>
        </w:rPr>
      </w:pPr>
    </w:p>
    <w:p>
      <w:pPr>
        <w:ind w:firstLine="399"/>
        <w:spacing w:after="0" w:line="268" w:lineRule="auto"/>
        <w:rPr>
          <w:sz w:val="20"/>
          <w:szCs w:val="20"/>
          <w:color w:val="auto"/>
        </w:rPr>
      </w:pPr>
      <w:r>
        <w:rPr>
          <w:rFonts w:ascii="Times New Roman" w:cs="Times New Roman" w:eastAsia="Times New Roman" w:hAnsi="Times New Roman"/>
          <w:sz w:val="20"/>
          <w:szCs w:val="20"/>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ectPr>
          <w:pgSz w:w="11880" w:h="15480" w:orient="portrait"/>
          <w:cols w:equalWidth="0" w:num="1">
            <w:col w:w="9100"/>
          </w:cols>
          <w:pgMar w:left="1400" w:top="1025" w:right="1380" w:bottom="68"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100"/>
          </w:cols>
          <w:pgMar w:left="1400" w:top="1025" w:right="1380" w:bottom="68"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4"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24" w:lineRule="exact"/>
        <w:rPr>
          <w:sz w:val="20"/>
          <w:szCs w:val="20"/>
          <w:color w:val="auto"/>
        </w:rPr>
      </w:pPr>
    </w:p>
    <w:p>
      <w:pPr>
        <w:ind w:right="20" w:firstLine="399"/>
        <w:spacing w:after="0" w:line="251" w:lineRule="auto"/>
        <w:rPr>
          <w:sz w:val="20"/>
          <w:szCs w:val="20"/>
          <w:color w:val="auto"/>
        </w:rPr>
      </w:pPr>
      <w:r>
        <w:rPr>
          <w:rFonts w:ascii="Times New Roman" w:cs="Times New Roman" w:eastAsia="Times New Roman" w:hAnsi="Times New Roman"/>
          <w:sz w:val="20"/>
          <w:szCs w:val="20"/>
          <w:color w:val="auto"/>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24"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32"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1" w:lineRule="exact"/>
        <w:rPr>
          <w:sz w:val="20"/>
          <w:szCs w:val="20"/>
          <w:color w:val="auto"/>
        </w:rPr>
      </w:pPr>
    </w:p>
    <w:p>
      <w:pPr>
        <w:ind w:left="580" w:right="700" w:hanging="191"/>
        <w:spacing w:after="0" w:line="282" w:lineRule="auto"/>
        <w:tabs>
          <w:tab w:leader="none" w:pos="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our product candidates, withdrawal of the product from the market, or voluntary or mandatory product recalls;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127" w:lineRule="exact"/>
        <w:rPr>
          <w:rFonts w:ascii="Times New Roman" w:cs="Times New Roman" w:eastAsia="Times New Roman" w:hAnsi="Times New Roman"/>
          <w:sz w:val="20"/>
          <w:szCs w:val="20"/>
          <w:color w:val="auto"/>
        </w:rPr>
      </w:pPr>
    </w:p>
    <w:p>
      <w:pPr>
        <w:ind w:left="580" w:right="240" w:hanging="191"/>
        <w:spacing w:after="0" w:line="282" w:lineRule="auto"/>
        <w:tabs>
          <w:tab w:leader="none" w:pos="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license approvals;</w:t>
      </w:r>
    </w:p>
    <w:p>
      <w:pPr>
        <w:sectPr>
          <w:pgSz w:w="11880" w:h="15480" w:orient="portrait"/>
          <w:cols w:equalWidth="0" w:num="1">
            <w:col w:w="9100"/>
          </w:cols>
          <w:pgMar w:left="1400" w:top="1023" w:right="1380" w:bottom="71" w:gutter="0" w:footer="0" w:header="0"/>
        </w:sect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100"/>
          </w:cols>
          <w:pgMar w:left="1400" w:top="1023" w:right="1380" w:bottom="71" w:gutter="0" w:footer="0" w:header="0"/>
          <w:type w:val="continuous"/>
        </w:sectPr>
      </w:pPr>
    </w:p>
    <w:bookmarkStart w:id="65" w:name="page66"/>
    <w:bookmarkEnd w:id="65"/>
    <w:p>
      <w:pPr>
        <w:ind w:left="580" w:right="300" w:hanging="191"/>
        <w:spacing w:after="0" w:line="263" w:lineRule="auto"/>
        <w:tabs>
          <w:tab w:leader="none" w:pos="5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350"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71"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7" w:lineRule="exact"/>
        <w:rPr>
          <w:sz w:val="20"/>
          <w:szCs w:val="20"/>
          <w:color w:val="auto"/>
        </w:rPr>
      </w:pPr>
    </w:p>
    <w:p>
      <w:pPr>
        <w:ind w:right="360"/>
        <w:spacing w:after="0" w:line="308"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77"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367" w:lineRule="exact"/>
        <w:rPr>
          <w:sz w:val="20"/>
          <w:szCs w:val="20"/>
          <w:color w:val="auto"/>
        </w:rPr>
      </w:pPr>
    </w:p>
    <w:p>
      <w:pPr>
        <w:ind w:right="20" w:firstLine="399"/>
        <w:spacing w:after="0" w:line="255"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200" w:lineRule="exact"/>
        <w:rPr>
          <w:sz w:val="20"/>
          <w:szCs w:val="20"/>
          <w:color w:val="auto"/>
        </w:rPr>
      </w:pPr>
    </w:p>
    <w:p>
      <w:pPr>
        <w:spacing w:after="0" w:line="24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25"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Such laws include:</w:t>
      </w:r>
    </w:p>
    <w:p>
      <w:pPr>
        <w:spacing w:after="0" w:line="129" w:lineRule="exact"/>
        <w:rPr>
          <w:sz w:val="20"/>
          <w:szCs w:val="20"/>
          <w:color w:val="auto"/>
        </w:rPr>
      </w:pPr>
    </w:p>
    <w:p>
      <w:pPr>
        <w:ind w:left="580" w:hanging="191"/>
        <w:spacing w:after="0" w:line="267" w:lineRule="auto"/>
        <w:tabs>
          <w:tab w:leader="none" w:pos="5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w:t>
      </w:r>
    </w:p>
    <w:p>
      <w:pPr>
        <w:sectPr>
          <w:pgSz w:w="11880" w:h="15480" w:orient="portrait"/>
          <w:cols w:equalWidth="0" w:num="1">
            <w:col w:w="9100"/>
          </w:cols>
          <w:pgMar w:left="1400" w:top="1025" w:right="1380" w:bottom="70" w:gutter="0" w:footer="0" w:header="0"/>
        </w:sect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100"/>
          </w:cols>
          <w:pgMar w:left="1400" w:top="1025" w:right="1380" w:bottom="70" w:gutter="0" w:footer="0" w:header="0"/>
          <w:type w:val="continuous"/>
        </w:sectPr>
      </w:pPr>
    </w:p>
    <w:bookmarkStart w:id="66" w:name="page67"/>
    <w:bookmarkEnd w:id="66"/>
    <w:p>
      <w:pPr>
        <w:ind w:left="580" w:right="380"/>
        <w:spacing w:after="0" w:line="292" w:lineRule="auto"/>
        <w:rPr>
          <w:sz w:val="20"/>
          <w:szCs w:val="20"/>
          <w:color w:val="auto"/>
        </w:rPr>
      </w:pPr>
      <w:r>
        <w:rPr>
          <w:rFonts w:ascii="Times New Roman" w:cs="Times New Roman" w:eastAsia="Times New Roman" w:hAnsi="Times New Roman"/>
          <w:sz w:val="20"/>
          <w:szCs w:val="20"/>
          <w:color w:val="auto"/>
        </w:rPr>
        <w:t>the purchase, order or recommendation of, any good or service, for which payment may be made under a federal healthcare program such as Medicare and Medicaid;</w:t>
      </w:r>
    </w:p>
    <w:p>
      <w:pPr>
        <w:spacing w:after="0" w:line="55" w:lineRule="exact"/>
        <w:rPr>
          <w:sz w:val="20"/>
          <w:szCs w:val="20"/>
          <w:color w:val="auto"/>
        </w:rPr>
      </w:pPr>
    </w:p>
    <w:p>
      <w:pPr>
        <w:ind w:left="580" w:right="80" w:hanging="191"/>
        <w:spacing w:after="0" w:line="266"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2" w:lineRule="exact"/>
        <w:rPr>
          <w:rFonts w:ascii="Times New Roman" w:cs="Times New Roman" w:eastAsia="Times New Roman" w:hAnsi="Times New Roman"/>
          <w:sz w:val="20"/>
          <w:szCs w:val="20"/>
          <w:color w:val="auto"/>
        </w:rPr>
      </w:pPr>
    </w:p>
    <w:p>
      <w:pPr>
        <w:ind w:left="580" w:hanging="191"/>
        <w:spacing w:after="0" w:line="275"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71" w:lineRule="exact"/>
        <w:rPr>
          <w:rFonts w:ascii="Times New Roman" w:cs="Times New Roman" w:eastAsia="Times New Roman" w:hAnsi="Times New Roman"/>
          <w:sz w:val="20"/>
          <w:szCs w:val="20"/>
          <w:color w:val="auto"/>
        </w:rPr>
      </w:pPr>
    </w:p>
    <w:p>
      <w:pPr>
        <w:ind w:left="580" w:hanging="191"/>
        <w:spacing w:after="0" w:line="263"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87" w:lineRule="exact"/>
        <w:rPr>
          <w:rFonts w:ascii="Times New Roman" w:cs="Times New Roman" w:eastAsia="Times New Roman" w:hAnsi="Times New Roman"/>
          <w:sz w:val="20"/>
          <w:szCs w:val="20"/>
          <w:color w:val="auto"/>
        </w:rPr>
      </w:pPr>
    </w:p>
    <w:p>
      <w:pPr>
        <w:ind w:left="580" w:hanging="191"/>
        <w:spacing w:after="0" w:line="263"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w:t>
      </w:r>
    </w:p>
    <w:p>
      <w:pPr>
        <w:spacing w:after="0" w:line="87" w:lineRule="exact"/>
        <w:rPr>
          <w:rFonts w:ascii="Times New Roman" w:cs="Times New Roman" w:eastAsia="Times New Roman" w:hAnsi="Times New Roman"/>
          <w:sz w:val="20"/>
          <w:szCs w:val="20"/>
          <w:color w:val="auto"/>
        </w:rPr>
      </w:pPr>
    </w:p>
    <w:p>
      <w:pPr>
        <w:ind w:left="580" w:hanging="191"/>
        <w:spacing w:after="0" w:line="261"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31"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379" w:lineRule="exact"/>
        <w:rPr>
          <w:sz w:val="20"/>
          <w:szCs w:val="20"/>
          <w:color w:val="auto"/>
        </w:rPr>
      </w:pPr>
    </w:p>
    <w:p>
      <w:pPr>
        <w:ind w:right="80" w:firstLine="399"/>
        <w:spacing w:after="0" w:line="290" w:lineRule="auto"/>
        <w:rPr>
          <w:sz w:val="20"/>
          <w:szCs w:val="20"/>
          <w:color w:val="auto"/>
        </w:rPr>
      </w:pPr>
      <w:r>
        <w:rPr>
          <w:rFonts w:ascii="Times New Roman" w:cs="Times New Roman" w:eastAsia="Times New Roman" w:hAnsi="Times New Roman"/>
          <w:sz w:val="20"/>
          <w:szCs w:val="20"/>
          <w:color w:val="auto"/>
        </w:rPr>
        <w:t>In addition, any sales of our product once commercialized outside the U.S. will also likely subject us to foreign equivalents of the healthcare laws mentioned above, among other foreign laws.</w:t>
      </w:r>
    </w:p>
    <w:p>
      <w:pPr>
        <w:sectPr>
          <w:pgSz w:w="11880" w:h="15480" w:orient="portrait"/>
          <w:cols w:equalWidth="0" w:num="1">
            <w:col w:w="9100"/>
          </w:cols>
          <w:pgMar w:left="1400" w:top="1025" w:right="1380" w:bottom="68"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100"/>
          </w:cols>
          <w:pgMar w:left="1400" w:top="1025" w:right="1380" w:bottom="68" w:gutter="0" w:footer="0" w:header="0"/>
          <w:type w:val="continuous"/>
        </w:sectPr>
      </w:pPr>
    </w:p>
    <w:bookmarkStart w:id="67" w:name="page68"/>
    <w:bookmarkEnd w:id="67"/>
    <w:p>
      <w:pPr>
        <w:ind w:right="60"/>
        <w:spacing w:after="0" w:line="306" w:lineRule="auto"/>
        <w:rPr>
          <w:sz w:val="20"/>
          <w:szCs w:val="20"/>
          <w:color w:val="auto"/>
        </w:rPr>
      </w:pPr>
      <w:r>
        <w:rPr>
          <w:rFonts w:ascii="Times New Roman" w:cs="Times New Roman" w:eastAsia="Times New Roman" w:hAnsi="Times New Roman"/>
          <w:sz w:val="19"/>
          <w:szCs w:val="19"/>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77"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362"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spacing w:after="0" w:line="373"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377"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w:t>
      </w:r>
    </w:p>
    <w:p>
      <w:pPr>
        <w:sectPr>
          <w:pgSz w:w="11880" w:h="15480" w:orient="portrait"/>
          <w:cols w:equalWidth="0" w:num="1">
            <w:col w:w="9100"/>
          </w:cols>
          <w:pgMar w:left="1400" w:top="1026" w:right="1380" w:bottom="70" w:gutter="0" w:footer="0" w:header="0"/>
        </w:sect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100"/>
          </w:cols>
          <w:pgMar w:left="1400" w:top="1026" w:right="1380" w:bottom="70" w:gutter="0" w:footer="0" w:header="0"/>
          <w:type w:val="continuous"/>
        </w:sectPr>
      </w:pPr>
    </w:p>
    <w:bookmarkStart w:id="68" w:name="page69"/>
    <w:bookmarkEnd w:id="68"/>
    <w:p>
      <w:pPr>
        <w:spacing w:after="0" w:line="248" w:lineRule="auto"/>
        <w:rPr>
          <w:sz w:val="20"/>
          <w:szCs w:val="20"/>
          <w:color w:val="auto"/>
        </w:rPr>
      </w:pPr>
      <w:r>
        <w:rPr>
          <w:rFonts w:ascii="Times New Roman" w:cs="Times New Roman" w:eastAsia="Times New Roman" w:hAnsi="Times New Roman"/>
          <w:sz w:val="20"/>
          <w:szCs w:val="20"/>
          <w:color w:val="auto"/>
        </w:rPr>
        <w:t>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spacing w:after="0" w:line="365"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60"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17" w:lineRule="exact"/>
        <w:rPr>
          <w:sz w:val="20"/>
          <w:szCs w:val="20"/>
          <w:color w:val="auto"/>
        </w:rPr>
      </w:pPr>
    </w:p>
    <w:p>
      <w:pPr>
        <w:ind w:right="220" w:firstLine="399"/>
        <w:spacing w:after="0" w:line="256" w:lineRule="auto"/>
        <w:rPr>
          <w:sz w:val="20"/>
          <w:szCs w:val="20"/>
          <w:color w:val="auto"/>
        </w:rPr>
      </w:pPr>
      <w:r>
        <w:rPr>
          <w:rFonts w:ascii="Times New Roman" w:cs="Times New Roman" w:eastAsia="Times New Roman" w:hAnsi="Times New Roman"/>
          <w:sz w:val="20"/>
          <w:szCs w:val="20"/>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20"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spacing w:after="0" w:line="124" w:lineRule="exact"/>
        <w:rPr>
          <w:sz w:val="20"/>
          <w:szCs w:val="20"/>
          <w:color w:val="auto"/>
        </w:rPr>
      </w:pPr>
    </w:p>
    <w:p>
      <w:pPr>
        <w:ind w:right="100" w:firstLine="399"/>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28" w:lineRule="exact"/>
        <w:rPr>
          <w:sz w:val="20"/>
          <w:szCs w:val="20"/>
          <w:color w:val="auto"/>
        </w:rPr>
      </w:pPr>
    </w:p>
    <w:p>
      <w:pPr>
        <w:ind w:right="40" w:firstLine="399"/>
        <w:spacing w:after="0" w:line="259"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w:t>
      </w:r>
    </w:p>
    <w:p>
      <w:pPr>
        <w:sectPr>
          <w:pgSz w:w="11880" w:h="15480" w:orient="portrait"/>
          <w:cols w:equalWidth="0" w:num="1">
            <w:col w:w="9100"/>
          </w:cols>
          <w:pgMar w:left="1400" w:top="1025" w:right="1380" w:bottom="71" w:gutter="0" w:footer="0" w:header="0"/>
        </w:sect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100"/>
          </w:cols>
          <w:pgMar w:left="1400" w:top="1025" w:right="1380" w:bottom="71" w:gutter="0" w:footer="0" w:header="0"/>
          <w:type w:val="continuous"/>
        </w:sectPr>
      </w:pPr>
    </w:p>
    <w:bookmarkStart w:id="69" w:name="page70"/>
    <w:bookmarkEnd w:id="69"/>
    <w:p>
      <w:pPr>
        <w:spacing w:after="0" w:line="247" w:lineRule="auto"/>
        <w:rPr>
          <w:sz w:val="20"/>
          <w:szCs w:val="20"/>
          <w:color w:val="auto"/>
        </w:rPr>
      </w:pPr>
      <w:r>
        <w:rPr>
          <w:rFonts w:ascii="Times New Roman" w:cs="Times New Roman" w:eastAsia="Times New Roman" w:hAnsi="Times New Roman"/>
          <w:sz w:val="20"/>
          <w:szCs w:val="20"/>
          <w:color w:val="auto"/>
        </w:rPr>
        <w:t>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376"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35"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stock may be volatile.</w:t>
      </w:r>
    </w:p>
    <w:p>
      <w:pPr>
        <w:spacing w:after="0" w:line="166"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w:t>
      </w:r>
    </w:p>
    <w:p>
      <w:pPr>
        <w:sectPr>
          <w:pgSz w:w="11880" w:h="15480" w:orient="portrait"/>
          <w:cols w:equalWidth="0" w:num="1">
            <w:col w:w="9100"/>
          </w:cols>
          <w:pgMar w:left="1400" w:top="1025" w:right="1380" w:bottom="71" w:gutter="0" w:footer="0" w:header="0"/>
        </w:sect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100"/>
          </w:cols>
          <w:pgMar w:left="1400" w:top="1025" w:right="1380" w:bottom="71" w:gutter="0" w:footer="0" w:header="0"/>
          <w:type w:val="continuous"/>
        </w:sectPr>
      </w:pPr>
    </w:p>
    <w:bookmarkStart w:id="70" w:name="page71"/>
    <w:bookmarkEnd w:id="70"/>
    <w:p>
      <w:pPr>
        <w:spacing w:after="0" w:line="250" w:lineRule="auto"/>
        <w:rPr>
          <w:sz w:val="20"/>
          <w:szCs w:val="20"/>
          <w:color w:val="auto"/>
        </w:rPr>
      </w:pPr>
      <w:r>
        <w:rPr>
          <w:rFonts w:ascii="Times New Roman" w:cs="Times New Roman" w:eastAsia="Times New Roman" w:hAnsi="Times New Roman"/>
          <w:sz w:val="20"/>
          <w:szCs w:val="20"/>
          <w:color w:val="auto"/>
        </w:rPr>
        <w:t>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79" w:lineRule="exact"/>
        <w:rPr>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of fluctuations in the overall stock market from time to time;</w:t>
      </w:r>
    </w:p>
    <w:p>
      <w:pPr>
        <w:spacing w:after="0" w:line="10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stock market prices and trading volumes of similar companies;</w:t>
      </w:r>
    </w:p>
    <w:p>
      <w:pPr>
        <w:spacing w:after="0" w:line="10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thinly traded nature of our common stock;</w:t>
      </w:r>
    </w:p>
    <w:p>
      <w:pPr>
        <w:spacing w:after="0" w:line="101" w:lineRule="exact"/>
        <w:rPr>
          <w:rFonts w:ascii="Times New Roman" w:cs="Times New Roman" w:eastAsia="Times New Roman" w:hAnsi="Times New Roman"/>
          <w:sz w:val="20"/>
          <w:szCs w:val="20"/>
          <w:color w:val="auto"/>
        </w:rPr>
      </w:pPr>
    </w:p>
    <w:p>
      <w:pPr>
        <w:ind w:left="580" w:right="740" w:hanging="191"/>
        <w:spacing w:after="0" w:line="273"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net loss or fluctuations in our operating results or in the expectations of securities analysts;</w:t>
      </w:r>
    </w:p>
    <w:p>
      <w:pPr>
        <w:spacing w:after="0" w:line="3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our preclinical studies and clinical trials or delays in anticipated timing;</w:t>
      </w:r>
    </w:p>
    <w:p>
      <w:pPr>
        <w:spacing w:after="0" w:line="101" w:lineRule="exact"/>
        <w:rPr>
          <w:rFonts w:ascii="Times New Roman" w:cs="Times New Roman" w:eastAsia="Times New Roman" w:hAnsi="Times New Roman"/>
          <w:sz w:val="20"/>
          <w:szCs w:val="20"/>
          <w:color w:val="auto"/>
        </w:rPr>
      </w:pPr>
    </w:p>
    <w:p>
      <w:pPr>
        <w:ind w:left="580" w:right="200" w:hanging="191"/>
        <w:spacing w:after="0" w:line="273"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new equity securities pursuant to a future offering, including issuances of preferred stock , or sales of large blocks of our stock and sales by insiders and our institutional investors;</w:t>
      </w:r>
    </w:p>
    <w:p>
      <w:pPr>
        <w:spacing w:after="0" w:line="37" w:lineRule="exact"/>
        <w:rPr>
          <w:rFonts w:ascii="Times New Roman" w:cs="Times New Roman" w:eastAsia="Times New Roman" w:hAnsi="Times New Roman"/>
          <w:sz w:val="20"/>
          <w:szCs w:val="20"/>
          <w:color w:val="auto"/>
        </w:rPr>
      </w:pPr>
    </w:p>
    <w:p>
      <w:pPr>
        <w:ind w:left="580" w:right="380" w:hanging="191"/>
        <w:spacing w:after="0" w:line="273"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new collaboration agreements with strategic partners or developments by our existing collaboration partners;</w:t>
      </w:r>
    </w:p>
    <w:p>
      <w:pPr>
        <w:spacing w:after="0" w:line="3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acquisitions, mergers or business combinations;</w:t>
      </w:r>
    </w:p>
    <w:p>
      <w:pPr>
        <w:spacing w:after="0" w:line="101" w:lineRule="exact"/>
        <w:rPr>
          <w:rFonts w:ascii="Times New Roman" w:cs="Times New Roman" w:eastAsia="Times New Roman" w:hAnsi="Times New Roman"/>
          <w:sz w:val="20"/>
          <w:szCs w:val="20"/>
          <w:color w:val="auto"/>
        </w:rPr>
      </w:pPr>
    </w:p>
    <w:p>
      <w:pPr>
        <w:ind w:left="580" w:right="140" w:hanging="191"/>
        <w:spacing w:after="0" w:line="273"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developments, including announcements by competitors of new products or services or significant contracts, acquisitions, strategic partnerships, joint ventures or capital commitments;</w:t>
      </w:r>
    </w:p>
    <w:p>
      <w:pPr>
        <w:spacing w:after="0" w:line="37" w:lineRule="exact"/>
        <w:rPr>
          <w:rFonts w:ascii="Times New Roman" w:cs="Times New Roman" w:eastAsia="Times New Roman" w:hAnsi="Times New Roman"/>
          <w:sz w:val="20"/>
          <w:szCs w:val="20"/>
          <w:color w:val="auto"/>
        </w:rPr>
      </w:pPr>
    </w:p>
    <w:p>
      <w:pPr>
        <w:ind w:left="580" w:right="200" w:hanging="191"/>
        <w:spacing w:after="0" w:line="256"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trends, including changes in interest rates, and other national and global conditions, including the ongoing COVID-19 pandemic and related global economic uncertainty;</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catastrophic events;</w:t>
      </w:r>
    </w:p>
    <w:p>
      <w:pPr>
        <w:spacing w:after="0" w:line="10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departures of key personnel;</w:t>
      </w:r>
    </w:p>
    <w:p>
      <w:pPr>
        <w:spacing w:after="0" w:line="10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affecting BCM or any future collaborators;</w:t>
      </w:r>
    </w:p>
    <w:p>
      <w:pPr>
        <w:spacing w:after="0" w:line="99" w:lineRule="exact"/>
        <w:rPr>
          <w:rFonts w:ascii="Times New Roman" w:cs="Times New Roman" w:eastAsia="Times New Roman" w:hAnsi="Times New Roman"/>
          <w:sz w:val="20"/>
          <w:szCs w:val="20"/>
          <w:color w:val="auto"/>
        </w:rPr>
      </w:pPr>
    </w:p>
    <w:p>
      <w:pPr>
        <w:ind w:left="580" w:right="620" w:hanging="191"/>
        <w:spacing w:after="0" w:line="273"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new product candidates or technologies, commercial relationships or other events, including the results of clinical trials, or variations in our quarterly operating results;</w:t>
      </w:r>
    </w:p>
    <w:p>
      <w:pPr>
        <w:spacing w:after="0" w:line="35" w:lineRule="exact"/>
        <w:rPr>
          <w:rFonts w:ascii="Times New Roman" w:cs="Times New Roman" w:eastAsia="Times New Roman" w:hAnsi="Times New Roman"/>
          <w:sz w:val="20"/>
          <w:szCs w:val="20"/>
          <w:color w:val="auto"/>
        </w:rPr>
      </w:pPr>
    </w:p>
    <w:p>
      <w:pPr>
        <w:ind w:left="580" w:right="20" w:hanging="191"/>
        <w:spacing w:after="0" w:line="256"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United States and other countries , including changes in the structure of healthcare payment systems, or other positive and negative events relating to healthcare and the overall pharmaceutical and biotechnology sectors;</w:t>
      </w:r>
    </w:p>
    <w:p>
      <w:pPr>
        <w:spacing w:after="0" w:line="5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our common stock to maintain listing requirements on Nasdaq;</w:t>
      </w:r>
    </w:p>
    <w:p>
      <w:pPr>
        <w:spacing w:after="0" w:line="9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any litigation to which we are a party;</w:t>
      </w:r>
    </w:p>
    <w:p>
      <w:pPr>
        <w:spacing w:after="0" w:line="9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and</w:t>
      </w:r>
    </w:p>
    <w:p>
      <w:pPr>
        <w:spacing w:after="0" w:line="99" w:lineRule="exact"/>
        <w:rPr>
          <w:rFonts w:ascii="Times New Roman" w:cs="Times New Roman" w:eastAsia="Times New Roman" w:hAnsi="Times New Roman"/>
          <w:sz w:val="20"/>
          <w:szCs w:val="20"/>
          <w:color w:val="auto"/>
        </w:rPr>
      </w:pPr>
    </w:p>
    <w:p>
      <w:pPr>
        <w:ind w:left="580" w:right="520" w:hanging="191"/>
        <w:spacing w:after="0" w:line="273" w:lineRule="auto"/>
        <w:tabs>
          <w:tab w:leader="none" w:pos="5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our company or our stock price by the financial and scientific press and in online investor communities.</w:t>
      </w:r>
    </w:p>
    <w:p>
      <w:pPr>
        <w:spacing w:after="0" w:line="68" w:lineRule="exact"/>
        <w:rPr>
          <w:sz w:val="20"/>
          <w:szCs w:val="20"/>
          <w:color w:val="auto"/>
        </w:rPr>
      </w:pPr>
    </w:p>
    <w:p>
      <w:pPr>
        <w:ind w:firstLine="399"/>
        <w:spacing w:after="0" w:line="243" w:lineRule="auto"/>
        <w:rPr>
          <w:sz w:val="20"/>
          <w:szCs w:val="20"/>
          <w:color w:val="auto"/>
        </w:rPr>
      </w:pPr>
      <w:r>
        <w:rPr>
          <w:rFonts w:ascii="Times New Roman" w:cs="Times New Roman" w:eastAsia="Times New Roman" w:hAnsi="Times New Roman"/>
          <w:sz w:val="20"/>
          <w:szCs w:val="20"/>
          <w:color w:val="auto"/>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14" w:lineRule="exact"/>
        <w:rPr>
          <w:sz w:val="20"/>
          <w:szCs w:val="20"/>
          <w:color w:val="auto"/>
        </w:rPr>
      </w:pPr>
    </w:p>
    <w:p>
      <w:pPr>
        <w:ind w:right="60" w:firstLine="399"/>
        <w:spacing w:after="0" w:line="273" w:lineRule="auto"/>
        <w:rPr>
          <w:sz w:val="20"/>
          <w:szCs w:val="20"/>
          <w:color w:val="auto"/>
        </w:rPr>
      </w:pPr>
      <w:r>
        <w:rPr>
          <w:rFonts w:ascii="Times New Roman" w:cs="Times New Roman" w:eastAsia="Times New Roman" w:hAnsi="Times New Roman"/>
          <w:sz w:val="20"/>
          <w:szCs w:val="20"/>
          <w:color w:val="auto"/>
        </w:rPr>
        <w:t>We completed a reverse stock split, or the Reverse Stock Split, of our common stock by a ratio of one-for-ten (1:10) effective January 26, 2023. The liquidity of our common stock may be adversely affected by</w:t>
      </w:r>
    </w:p>
    <w:p>
      <w:pPr>
        <w:sectPr>
          <w:pgSz w:w="11880" w:h="15480" w:orient="portrait"/>
          <w:cols w:equalWidth="0" w:num="1">
            <w:col w:w="9100"/>
          </w:cols>
          <w:pgMar w:left="1400" w:top="1025" w:right="1380" w:bottom="71" w:gutter="0" w:footer="0" w:header="0"/>
        </w:sect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100"/>
          </w:cols>
          <w:pgMar w:left="1400" w:top="1025" w:right="1380" w:bottom="71" w:gutter="0" w:footer="0" w:header="0"/>
          <w:type w:val="continuous"/>
        </w:sectPr>
      </w:pPr>
    </w:p>
    <w:bookmarkStart w:id="71" w:name="page72"/>
    <w:bookmarkEnd w:id="71"/>
    <w:p>
      <w:pPr>
        <w:spacing w:after="0" w:line="247" w:lineRule="auto"/>
        <w:rPr>
          <w:sz w:val="20"/>
          <w:szCs w:val="20"/>
          <w:color w:val="auto"/>
        </w:rPr>
      </w:pPr>
      <w:r>
        <w:rPr>
          <w:rFonts w:ascii="Times New Roman" w:cs="Times New Roman" w:eastAsia="Times New Roman" w:hAnsi="Times New Roman"/>
          <w:sz w:val="20"/>
          <w:szCs w:val="20"/>
          <w:color w:val="auto"/>
        </w:rPr>
        <w:t>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w:t>
      </w:r>
    </w:p>
    <w:p>
      <w:pPr>
        <w:spacing w:after="0" w:line="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9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1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367"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36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As of December 31, 2022, we had 8.4 million shares of our common stock issued and outstanding (as adjusted for the Reverse Stock Split). Those outstanding shares represent a minority of our authorized shares, meaning that the ownership position of the current stockholders could be diluted significantly were we to issue a large number of additional shares. In addition, as of December 31, 2022, there were outstanding warrants to purchase up to approximately 1.8 million shares of our common stock at a weighted average exercise price of $44.51 per share, and outstanding options for an aggregate of approximately 0.9 million shares of common stock at a weighted average exercise price of $42.90 per share (each as adjusted for the Reverse Stock Split).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34"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Further, in December 2022 we entered into a purchase agreement with Lincoln Park Capital Fund, LLC, or Lincoln Park, which provides that, upon the terms and subject to the conditions and limitations set forth therein, we have the right, but not the obligation, to sell to Lincoln Park up to $25,000,000 of shares of our common stock from time to time over the 24-month term of the purchase agreement. The purchase price for the shares that we may sell to Lincoln Park under the Purchase Agreement will fluctuate based on the price of our common stock. Depending on market liquidity at the time, sales of such shares may cause the trading price of our common stock to fall. We generally have the right to control the timing and amount of any future sales of our shares to Lincoln Park. Additional sales of our common stock, if any, to Lincoln</w:t>
      </w:r>
    </w:p>
    <w:p>
      <w:pPr>
        <w:sectPr>
          <w:pgSz w:w="11880" w:h="15480" w:orient="portrait"/>
          <w:cols w:equalWidth="0" w:num="1">
            <w:col w:w="9100"/>
          </w:cols>
          <w:pgMar w:left="1400" w:top="1025" w:right="1380" w:bottom="70" w:gutter="0" w:footer="0" w:header="0"/>
        </w:sect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100"/>
          </w:cols>
          <w:pgMar w:left="1400" w:top="1025" w:right="1380" w:bottom="7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Park will depend upon market conditions and other factors to be determined by us. We may ultimately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decide to sell to Lincoln Park all, some or none of the additional shares of our common stock that may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available for us to sell pursuant to the Purchase Agreement. If and when we do sell shares to Lincoln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after Lincoln Park has acquired the shares, Lincoln Park may resell all, some or none of those shares 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time or from time to time in its discretion. Therefore, sales to Lincoln Park by us could result in substantial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dilution to the interests of other holders of our common stock. Additionally, the sale of a substantial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our common stock to Lincoln Park, or the anticipation of such sales, could make 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more difficult for us to sell equity or equity-related securities in the future at a time and at a price that we might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wish to effect sales.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cash dividends.</w:t>
      </w:r>
    </w:p>
    <w:p>
      <w:pPr>
        <w:spacing w:after="0" w:line="166" w:lineRule="exact"/>
        <w:rPr>
          <w:sz w:val="20"/>
          <w:szCs w:val="20"/>
          <w:color w:val="auto"/>
        </w:rPr>
      </w:pPr>
    </w:p>
    <w:p>
      <w:pPr>
        <w:ind w:right="20" w:firstLine="399"/>
        <w:spacing w:after="0" w:line="256" w:lineRule="auto"/>
        <w:rPr>
          <w:sz w:val="20"/>
          <w:szCs w:val="20"/>
          <w:color w:val="auto"/>
        </w:rPr>
      </w:pPr>
      <w:r>
        <w:rPr>
          <w:rFonts w:ascii="Times New Roman" w:cs="Times New Roman" w:eastAsia="Times New Roman" w:hAnsi="Times New Roman"/>
          <w:sz w:val="20"/>
          <w:szCs w:val="20"/>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4" w:lineRule="exact"/>
        <w:rPr>
          <w:sz w:val="20"/>
          <w:szCs w:val="20"/>
          <w:color w:val="auto"/>
        </w:rPr>
      </w:pPr>
    </w:p>
    <w:p>
      <w:pPr>
        <w:ind w:right="60" w:firstLine="399"/>
        <w:spacing w:after="0" w:line="259"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spacing w:after="0" w:line="11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 fire, terrorism, successful breaches, personnel misconduct or error, or human or technological error, war and telecommunication and electrical failures.</w:t>
      </w:r>
    </w:p>
    <w:p>
      <w:pPr>
        <w:spacing w:after="0" w:line="132"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the COVID-19 pandemic poses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w:t>
      </w:r>
    </w:p>
    <w:p>
      <w:pPr>
        <w:sectPr>
          <w:pgSz w:w="11880" w:h="15480" w:orient="portrait"/>
          <w:cols w:equalWidth="0" w:num="1">
            <w:col w:w="9100"/>
          </w:cols>
          <w:pgMar w:left="1400" w:top="1025" w:right="1380" w:bottom="70" w:gutter="0" w:footer="0" w:header="0"/>
        </w:sect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100"/>
          </w:cols>
          <w:pgMar w:left="1400" w:top="1025" w:right="1380" w:bottom="70" w:gutter="0" w:footer="0" w:header="0"/>
          <w:type w:val="continuous"/>
        </w:sectPr>
      </w:pPr>
    </w:p>
    <w:bookmarkStart w:id="73" w:name="page74"/>
    <w:bookmarkEnd w:id="73"/>
    <w:p>
      <w:pPr>
        <w:spacing w:after="0" w:line="275" w:lineRule="auto"/>
        <w:rPr>
          <w:sz w:val="20"/>
          <w:szCs w:val="20"/>
          <w:color w:val="auto"/>
        </w:rPr>
      </w:pPr>
      <w:r>
        <w:rPr>
          <w:rFonts w:ascii="Times New Roman" w:cs="Times New Roman" w:eastAsia="Times New Roman" w:hAnsi="Times New Roman"/>
          <w:sz w:val="20"/>
          <w:szCs w:val="20"/>
          <w:color w:val="auto"/>
        </w:rPr>
        <w:t>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11"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379"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spacing w:after="0" w:line="130"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If we (or a third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 be sure that such coverage will continue to be available on commercially reasonable terms or at all, or that such coverage will pay future claims.</w:t>
      </w:r>
    </w:p>
    <w:p>
      <w:pPr>
        <w:sectPr>
          <w:pgSz w:w="11880" w:h="15480" w:orient="portrait"/>
          <w:cols w:equalWidth="0" w:num="1">
            <w:col w:w="9100"/>
          </w:cols>
          <w:pgMar w:left="1400" w:top="1025" w:right="1380" w:bottom="68"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100"/>
          </w:cols>
          <w:pgMar w:left="1400" w:top="1025" w:right="1380" w:bottom="68" w:gutter="0" w:footer="0" w:header="0"/>
          <w:type w:val="continuous"/>
        </w:sectPr>
      </w:pPr>
    </w:p>
    <w:bookmarkStart w:id="74" w:name="page75"/>
    <w:bookmarkEnd w:id="74"/>
    <w:p>
      <w:pPr>
        <w:ind w:right="160"/>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96" w:lineRule="exact"/>
        <w:rPr>
          <w:sz w:val="20"/>
          <w:szCs w:val="20"/>
          <w:color w:val="auto"/>
        </w:rPr>
      </w:pPr>
    </w:p>
    <w:p>
      <w:pPr>
        <w:ind w:firstLine="399"/>
        <w:spacing w:after="0" w:line="266" w:lineRule="auto"/>
        <w:rPr>
          <w:sz w:val="20"/>
          <w:szCs w:val="20"/>
          <w:color w:val="auto"/>
        </w:rPr>
      </w:pPr>
      <w:r>
        <w:rPr>
          <w:rFonts w:ascii="Times New Roman" w:cs="Times New Roman" w:eastAsia="Times New Roman" w:hAnsi="Times New Roman"/>
          <w:sz w:val="20"/>
          <w:szCs w:val="20"/>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361"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25"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and certain other tax attributes to offset future taxable income may be subject to limitation.</w:t>
      </w:r>
    </w:p>
    <w:p>
      <w:pPr>
        <w:spacing w:after="0" w:line="99" w:lineRule="exact"/>
        <w:rPr>
          <w:sz w:val="20"/>
          <w:szCs w:val="20"/>
          <w:color w:val="auto"/>
        </w:rPr>
      </w:pPr>
    </w:p>
    <w:p>
      <w:pPr>
        <w:ind w:right="60" w:firstLine="399"/>
        <w:spacing w:after="0" w:line="258" w:lineRule="auto"/>
        <w:rPr>
          <w:sz w:val="20"/>
          <w:szCs w:val="20"/>
          <w:color w:val="auto"/>
        </w:rPr>
      </w:pPr>
      <w:r>
        <w:rPr>
          <w:rFonts w:ascii="Times New Roman" w:cs="Times New Roman" w:eastAsia="Times New Roman" w:hAnsi="Times New Roman"/>
          <w:sz w:val="20"/>
          <w:szCs w:val="20"/>
          <w:color w:val="auto"/>
        </w:rPr>
        <w:t>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w:t>
      </w:r>
    </w:p>
    <w:p>
      <w:pPr>
        <w:spacing w:after="0" w:line="367"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25" w:lineRule="exact"/>
        <w:rPr>
          <w:sz w:val="20"/>
          <w:szCs w:val="20"/>
          <w:color w:val="auto"/>
        </w:rPr>
      </w:pPr>
    </w:p>
    <w:p>
      <w:pPr>
        <w:ind w:right="80" w:firstLine="399"/>
        <w:spacing w:after="0" w:line="269" w:lineRule="auto"/>
        <w:rPr>
          <w:sz w:val="20"/>
          <w:szCs w:val="20"/>
          <w:color w:val="auto"/>
        </w:rPr>
      </w:pPr>
      <w:r>
        <w:rPr>
          <w:rFonts w:ascii="Times New Roman" w:cs="Times New Roman" w:eastAsia="Times New Roman" w:hAnsi="Times New Roman"/>
          <w:sz w:val="20"/>
          <w:szCs w:val="20"/>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ectPr>
          <w:pgSz w:w="11880" w:h="15480" w:orient="portrait"/>
          <w:cols w:equalWidth="0" w:num="1">
            <w:col w:w="9100"/>
          </w:cols>
          <w:pgMar w:left="1400" w:top="1026" w:right="1380" w:bottom="69" w:gutter="0" w:footer="0" w:header="0"/>
        </w:sect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100"/>
          </w:cols>
          <w:pgMar w:left="1400" w:top="1026" w:right="1380" w:bottom="69"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events may disrupt our business.</w:t>
      </w:r>
    </w:p>
    <w:p>
      <w:pPr>
        <w:spacing w:after="0" w:line="180" w:lineRule="exact"/>
        <w:rPr>
          <w:sz w:val="20"/>
          <w:szCs w:val="20"/>
          <w:color w:val="auto"/>
        </w:rPr>
      </w:pPr>
    </w:p>
    <w:p>
      <w:pPr>
        <w:ind w:right="80" w:firstLine="399"/>
        <w:spacing w:after="0" w:line="267" w:lineRule="auto"/>
        <w:rPr>
          <w:sz w:val="20"/>
          <w:szCs w:val="20"/>
          <w:color w:val="auto"/>
        </w:rPr>
      </w:pPr>
      <w:r>
        <w:rPr>
          <w:rFonts w:ascii="Times New Roman" w:cs="Times New Roman" w:eastAsia="Times New Roman" w:hAnsi="Times New Roman"/>
          <w:sz w:val="20"/>
          <w:szCs w:val="20"/>
          <w:color w:val="auto"/>
        </w:rPr>
        <w:t>Our corporate headquarters and cGMP manufacturing facility are located in Houston, Texas. In the event of a major hurricane or other serious weather event or catastrophic event such as fire, power loss, cyberattack, war, terrorist attack or epidemic or pandemic, such as the COVID-19 pandemic, that impacts our corporate headquarters or other facilities, or the facilities of any third parties on which we may rely,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200" w:lineRule="exact"/>
        <w:rPr>
          <w:sz w:val="20"/>
          <w:szCs w:val="20"/>
          <w:color w:val="auto"/>
        </w:rPr>
      </w:pPr>
    </w:p>
    <w:p>
      <w:pPr>
        <w:spacing w:after="0" w:line="261"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political or economic conditions could adversely affect our business, financial condition or results of operations.</w:t>
      </w:r>
    </w:p>
    <w:p>
      <w:pPr>
        <w:spacing w:after="0" w:line="100"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the current military conflict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w:t>
      </w:r>
    </w:p>
    <w:p>
      <w:pPr>
        <w:spacing w:after="0" w:line="380" w:lineRule="exact"/>
        <w:rPr>
          <w:sz w:val="20"/>
          <w:szCs w:val="20"/>
          <w:color w:val="auto"/>
        </w:rPr>
      </w:pPr>
    </w:p>
    <w:p>
      <w:pPr>
        <w:ind w:firstLine="399"/>
        <w:spacing w:after="0" w:line="268" w:lineRule="auto"/>
        <w:rPr>
          <w:sz w:val="20"/>
          <w:szCs w:val="20"/>
          <w:color w:val="auto"/>
        </w:rPr>
      </w:pPr>
      <w:r>
        <w:rPr>
          <w:rFonts w:ascii="Times New Roman" w:cs="Times New Roman" w:eastAsia="Times New Roman" w:hAnsi="Times New Roman"/>
          <w:sz w:val="20"/>
          <w:szCs w:val="20"/>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could materially adversely affect our company.</w:t>
      </w:r>
    </w:p>
    <w:p>
      <w:pPr>
        <w:spacing w:after="0" w:line="178" w:lineRule="exact"/>
        <w:rPr>
          <w:sz w:val="20"/>
          <w:szCs w:val="20"/>
          <w:color w:val="auto"/>
        </w:rPr>
      </w:pPr>
    </w:p>
    <w:p>
      <w:pPr>
        <w:ind w:firstLine="399"/>
        <w:spacing w:after="0" w:line="265" w:lineRule="auto"/>
        <w:rPr>
          <w:sz w:val="20"/>
          <w:szCs w:val="20"/>
          <w:color w:val="auto"/>
        </w:rPr>
      </w:pPr>
      <w:r>
        <w:rPr>
          <w:rFonts w:ascii="Times New Roman" w:cs="Times New Roman" w:eastAsia="Times New Roman" w:hAnsi="Times New Roman"/>
          <w:sz w:val="20"/>
          <w:szCs w:val="20"/>
          <w:color w:val="auto"/>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100"/>
          </w:cols>
          <w:pgMar w:left="1400" w:top="1026" w:right="1380" w:bottom="67" w:gutter="0" w:footer="0" w:header="0"/>
        </w:sect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100"/>
          </w:cols>
          <w:pgMar w:left="1400" w:top="1026" w:right="1380" w:bottom="67" w:gutter="0" w:footer="0" w:header="0"/>
          <w:type w:val="continuous"/>
        </w:sectPr>
      </w:pPr>
    </w:p>
    <w:bookmarkStart w:id="76" w:name="page77"/>
    <w:bookmarkEnd w:id="76"/>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2.</w:t>
        <w:tab/>
        <w:t>PROPERTIES</w:t>
      </w:r>
    </w:p>
    <w:p>
      <w:pPr>
        <w:spacing w:after="0" w:line="171" w:lineRule="exact"/>
        <w:rPr>
          <w:sz w:val="20"/>
          <w:szCs w:val="20"/>
          <w:color w:val="auto"/>
        </w:rPr>
      </w:pPr>
    </w:p>
    <w:p>
      <w:pPr>
        <w:jc w:val="both"/>
        <w:ind w:right="60" w:firstLine="399"/>
        <w:spacing w:after="0" w:line="267" w:lineRule="auto"/>
        <w:rPr>
          <w:sz w:val="20"/>
          <w:szCs w:val="20"/>
          <w:color w:val="auto"/>
        </w:rPr>
      </w:pPr>
      <w:r>
        <w:rPr>
          <w:rFonts w:ascii="Times New Roman" w:cs="Times New Roman" w:eastAsia="Times New Roman" w:hAnsi="Times New Roman"/>
          <w:sz w:val="20"/>
          <w:szCs w:val="20"/>
          <w:color w:val="auto"/>
        </w:rPr>
        <w:t>We do not own any real estate or other properties. We lease a manufacturing facility and office space at 4551 Kennedy Commerce Drive, Houston, Texas 77032 on a ten-year agreement from rent commencement date, set to expire in November 2030, which is also our principal business office.</w:t>
      </w:r>
    </w:p>
    <w:p>
      <w:pPr>
        <w:spacing w:after="0" w:line="111" w:lineRule="exact"/>
        <w:rPr>
          <w:sz w:val="20"/>
          <w:szCs w:val="20"/>
          <w:color w:val="auto"/>
        </w:rPr>
      </w:pPr>
    </w:p>
    <w:p>
      <w:pPr>
        <w:ind w:right="660" w:firstLine="399"/>
        <w:spacing w:after="0" w:line="284" w:lineRule="auto"/>
        <w:rPr>
          <w:sz w:val="20"/>
          <w:szCs w:val="20"/>
          <w:color w:val="auto"/>
        </w:rPr>
      </w:pPr>
      <w:r>
        <w:rPr>
          <w:rFonts w:ascii="Times New Roman" w:cs="Times New Roman" w:eastAsia="Times New Roman" w:hAnsi="Times New Roman"/>
          <w:sz w:val="20"/>
          <w:szCs w:val="20"/>
          <w:color w:val="auto"/>
        </w:rPr>
        <w:t>In April 2020, we entered into a lease for a research facility in Houston, Texas. The lease term is 71 months.</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71" w:lineRule="exact"/>
        <w:rPr>
          <w:sz w:val="20"/>
          <w:szCs w:val="20"/>
          <w:color w:val="auto"/>
        </w:rPr>
      </w:pPr>
    </w:p>
    <w:p>
      <w:pPr>
        <w:jc w:val="both"/>
        <w:ind w:right="20" w:firstLine="399"/>
        <w:spacing w:after="0" w:line="261"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Other than as described below,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7"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 On March 9, 2022, the Company was notified that its motion to vacate the award was denied and the broker was awarded an additional $0.1 million in interest. Post judgment interest accrued at 1.02% until the judgment was paid. The Company paid the broker the $2.5 million judgment, which amount included accrued interest, on March 24, 2022. On January 3, 2023, the broker was awarded an additional $0.1 million in post-judgment interest, which was recorded to other expenses for the year ended December 31, 2022 and subsequently paid on January 9, 2023.</w:t>
      </w:r>
    </w:p>
    <w:p>
      <w:pPr>
        <w:spacing w:after="0" w:line="200" w:lineRule="exact"/>
        <w:rPr>
          <w:sz w:val="20"/>
          <w:szCs w:val="20"/>
          <w:color w:val="auto"/>
        </w:rPr>
      </w:pP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4.</w:t>
        <w:tab/>
        <w:t>MINE SAFETY DISCLOSURE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100"/>
          </w:cols>
          <w:pgMar w:left="1400" w:top="1023" w:right="1380" w:bottom="7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49" w:lineRule="exact"/>
        <w:rPr>
          <w:sz w:val="20"/>
          <w:szCs w:val="20"/>
          <w:color w:val="auto"/>
        </w:rPr>
      </w:pPr>
    </w:p>
    <w:p>
      <w:pPr>
        <w:ind w:left="940" w:right="600" w:hanging="957"/>
        <w:spacing w:after="0" w:line="275" w:lineRule="auto"/>
        <w:tabs>
          <w:tab w:leader="none" w:pos="92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71"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20"/>
          <w:szCs w:val="20"/>
          <w:color w:val="auto"/>
        </w:rPr>
        <w:t>Our common stock is listed for trading on the Nasdaq Capital Market under the symbol “MRKR”. As of March 1, 2023, we had 174 stockholders of record whom are holding shares. The price of our common stock on March 1, 2023 was $2.05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71" w:lineRule="exact"/>
        <w:rPr>
          <w:sz w:val="20"/>
          <w:szCs w:val="20"/>
          <w:color w:val="auto"/>
        </w:rPr>
      </w:pPr>
    </w:p>
    <w:p>
      <w:pPr>
        <w:ind w:right="80" w:firstLine="399"/>
        <w:spacing w:after="0" w:line="284" w:lineRule="auto"/>
        <w:rPr>
          <w:sz w:val="20"/>
          <w:szCs w:val="20"/>
          <w:color w:val="auto"/>
        </w:rPr>
      </w:pPr>
      <w:r>
        <w:rPr>
          <w:rFonts w:ascii="Times New Roman" w:cs="Times New Roman" w:eastAsia="Times New Roman" w:hAnsi="Times New Roman"/>
          <w:sz w:val="20"/>
          <w:szCs w:val="20"/>
          <w:color w:val="auto"/>
        </w:rPr>
        <w:t>No dividends have been declared or paid on our common stock. We have incurred recurring losses and do not currently intend to pay any cash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did not record any issuances of unregistered securities during the fourth quarter of 2022.</w:t>
      </w:r>
    </w:p>
    <w:p>
      <w:pPr>
        <w:spacing w:after="0" w:line="2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49" w:lineRule="exact"/>
        <w:rPr>
          <w:sz w:val="20"/>
          <w:szCs w:val="20"/>
          <w:color w:val="auto"/>
        </w:rPr>
      </w:pPr>
    </w:p>
    <w:p>
      <w:pPr>
        <w:ind w:left="940" w:right="260" w:hanging="957"/>
        <w:spacing w:after="0" w:line="275" w:lineRule="auto"/>
        <w:tabs>
          <w:tab w:leader="none" w:pos="92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14"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The following discussion of our financial condition, changes in financial condition, plan of operations and results of operations should be read in conjunction with (i) our audited consolidated financial statements as of December 31, 2022 and December 31, 2021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71" w:lineRule="exact"/>
        <w:rPr>
          <w:sz w:val="20"/>
          <w:szCs w:val="20"/>
          <w:color w:val="auto"/>
        </w:rPr>
      </w:pPr>
    </w:p>
    <w:p>
      <w:pPr>
        <w:ind w:right="40" w:firstLine="399"/>
        <w:spacing w:after="0" w:line="254" w:lineRule="auto"/>
        <w:rPr>
          <w:sz w:val="20"/>
          <w:szCs w:val="20"/>
          <w:color w:val="auto"/>
        </w:rPr>
      </w:pPr>
      <w:r>
        <w:rPr>
          <w:rFonts w:ascii="Times New Roman" w:cs="Times New Roman" w:eastAsia="Times New Roman" w:hAnsi="Times New Roman"/>
          <w:sz w:val="20"/>
          <w:szCs w:val="20"/>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 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28"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We licensed the underlying technology for multiTAA-specific T cell therapy from BCM in March 2018. BCM had utilized the therapy in seven exploratory clinical trials. In these studies, BCM treated over 150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are advancing three product candidates as part of our multiTAA-specific T cell program for:</w:t>
      </w:r>
    </w:p>
    <w:p>
      <w:pPr>
        <w:spacing w:after="0" w:line="169" w:lineRule="exact"/>
        <w:rPr>
          <w:sz w:val="20"/>
          <w:szCs w:val="20"/>
          <w:color w:val="auto"/>
        </w:rPr>
      </w:pPr>
    </w:p>
    <w:p>
      <w:pPr>
        <w:ind w:left="780" w:hanging="391"/>
        <w:spacing w:after="0"/>
        <w:tabs>
          <w:tab w:leader="none" w:pos="7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autologous treatment of lymphoma, and selected solid tumors</w:t>
      </w:r>
    </w:p>
    <w:p>
      <w:pPr>
        <w:spacing w:after="0" w:line="169"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allogeneic T cells for the treatment of acute myeloid leukemia, or AML</w:t>
      </w:r>
    </w:p>
    <w:p>
      <w:pPr>
        <w:spacing w:after="0" w:line="169"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off-the-shelf products in various indications</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100"/>
          </w:cols>
          <w:pgMar w:left="1400" w:top="1023" w:right="1380" w:bottom="70" w:gutter="0" w:footer="0" w:header="0"/>
          <w:type w:val="continuous"/>
        </w:sectPr>
      </w:pPr>
    </w:p>
    <w:bookmarkStart w:id="78" w:name="page79"/>
    <w:bookmarkEnd w:id="78"/>
    <w:p>
      <w:pPr>
        <w:ind w:left="380"/>
        <w:spacing w:after="0"/>
        <w:rPr>
          <w:sz w:val="20"/>
          <w:szCs w:val="20"/>
          <w:color w:val="auto"/>
        </w:rPr>
      </w:pPr>
      <w:r>
        <w:rPr>
          <w:rFonts w:ascii="Times New Roman" w:cs="Times New Roman" w:eastAsia="Times New Roman" w:hAnsi="Times New Roman"/>
          <w:sz w:val="20"/>
          <w:szCs w:val="20"/>
          <w:color w:val="auto"/>
        </w:rPr>
        <w:t>Our current clinical development programs are:</w:t>
      </w:r>
    </w:p>
    <w:p>
      <w:pPr>
        <w:spacing w:after="0" w:line="123" w:lineRule="exact"/>
        <w:rPr>
          <w:sz w:val="20"/>
          <w:szCs w:val="20"/>
          <w:color w:val="auto"/>
        </w:rPr>
      </w:pPr>
    </w:p>
    <w:p>
      <w:pPr>
        <w:ind w:left="580" w:hanging="191"/>
        <w:spacing w:after="0"/>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MT-401 for the treatment of post-transplant AML, currently in a Phase 2 clinical trial</w:t>
      </w:r>
    </w:p>
    <w:p>
      <w:pPr>
        <w:spacing w:after="0" w:line="123" w:lineRule="exact"/>
        <w:rPr>
          <w:rFonts w:ascii="Times New Roman" w:cs="Times New Roman" w:eastAsia="Times New Roman" w:hAnsi="Times New Roman"/>
          <w:sz w:val="20"/>
          <w:szCs w:val="20"/>
          <w:color w:val="auto"/>
        </w:rPr>
      </w:pPr>
    </w:p>
    <w:p>
      <w:pPr>
        <w:ind w:left="580" w:right="280" w:hanging="191"/>
        <w:spacing w:after="0" w:line="277"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MT-401-OTS for the treatment of AML, for which we expect to dose the first patient in a Phase 2 clinical trial in 2023</w:t>
      </w:r>
    </w:p>
    <w:p>
      <w:pPr>
        <w:spacing w:after="0" w:line="55" w:lineRule="exact"/>
        <w:rPr>
          <w:rFonts w:ascii="Times New Roman" w:cs="Times New Roman" w:eastAsia="Times New Roman" w:hAnsi="Times New Roman"/>
          <w:sz w:val="20"/>
          <w:szCs w:val="20"/>
          <w:color w:val="auto"/>
        </w:rPr>
      </w:pPr>
    </w:p>
    <w:p>
      <w:pPr>
        <w:ind w:left="580" w:right="240" w:hanging="191"/>
        <w:spacing w:after="0" w:line="277"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MT-601 for the treatment of pancreatic cancer, for which we have a cleared IND from the FDA to initiate a Phase 1 trial in the fourth quarter of 2023</w:t>
      </w:r>
    </w:p>
    <w:p>
      <w:pPr>
        <w:spacing w:after="0" w:line="55" w:lineRule="exact"/>
        <w:rPr>
          <w:rFonts w:ascii="Times New Roman" w:cs="Times New Roman" w:eastAsia="Times New Roman" w:hAnsi="Times New Roman"/>
          <w:sz w:val="20"/>
          <w:szCs w:val="20"/>
          <w:color w:val="auto"/>
        </w:rPr>
      </w:pPr>
    </w:p>
    <w:p>
      <w:pPr>
        <w:ind w:left="580" w:right="640" w:hanging="191"/>
        <w:spacing w:after="0" w:line="277"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MT-601 for the treatment of lymphoma, for which we have a cleared IND from the FDA and initiated a Phase 1 trial in the first quarter of 2023</w:t>
      </w:r>
    </w:p>
    <w:p>
      <w:pPr>
        <w:spacing w:after="0" w:line="96"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1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Reverse Stock Split</w:t>
      </w:r>
    </w:p>
    <w:p>
      <w:pPr>
        <w:spacing w:after="0" w:line="167" w:lineRule="exact"/>
        <w:rPr>
          <w:sz w:val="20"/>
          <w:szCs w:val="20"/>
          <w:color w:val="auto"/>
        </w:rPr>
      </w:pPr>
    </w:p>
    <w:p>
      <w:pPr>
        <w:ind w:right="20" w:firstLine="399"/>
        <w:spacing w:after="0" w:line="250" w:lineRule="auto"/>
        <w:rPr>
          <w:sz w:val="20"/>
          <w:szCs w:val="20"/>
          <w:color w:val="auto"/>
        </w:rPr>
      </w:pPr>
      <w:r>
        <w:rPr>
          <w:rFonts w:ascii="Times New Roman" w:cs="Times New Roman" w:eastAsia="Times New Roman" w:hAnsi="Times New Roman"/>
          <w:sz w:val="20"/>
          <w:szCs w:val="20"/>
          <w:color w:val="auto"/>
        </w:rPr>
        <w:t>On May 24, 2022, we held our annual meeting of stockholders at which our stockholders approved a proposal to effect an amendment to our certificate of incorporation, as amended, to implement a reverse stock split at a ratio within a range between and including one-for three (1:3) and one-for-twelve (1:12) and a corresponding reduction in the total number of authorized shares of our common stock. On January 24, 2023, our board of directors approved the filing of a certificate of amendment to our amended and restated certificate of incorporation (the “Amendment”) with the Secretary of State of the State of Delaware to affect the one-for-ten (1:10) Reverse Stock Split of our outstanding common stock and a reduction in the total number of authorized shares of our common stock from 300,000,000 to 30,000,000 (the “Shares Reduction”). The Amendment became effective at 5:00 p.m. Eastern Time on January 26, 2023.</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Pursuant to the Amendment, at the effective time of the Amendment, every ten (10) shares of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issued and outstanding common stock was automatically combined into one (1) issued and outstanding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of common stock and the authorized shares of our common stock was reduce from 300,000,000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30,000,000, without any change in par value per share. The Reverse Stock Split affected all shares of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outstanding immediately prior to the effective time of the Amendment. No fractional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were issued as a result of the Reverse Stock Split. Stockholders of record who would otherwise be entitled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receive a fractional share received a cash payment in lieu thereof. As a result of the Reverse Stock Split,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proportionate adjustments were made to the per share exercise price and/or the number of shares issuable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the exercise or vesting of all stock options and warrants issued by us and outstanding immediately prior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effective time of the Amendment, which resulted in a proportionate decrease in the number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our common stock reserved for issuance upon exercise or vesting of such stock options and warrants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 proportionate increase in the exercise price of all such stock options and warrants. In addition,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reserved for issuance under our equity compensation plans immediately prior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time of the Amendment were reduced proportionately. All share and per share amounts of common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presented in this Annual Report on Form 10-K have been retroactively adjusted to reflect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one-for-10 (1:10) Reverse Stock Split.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64" w:lineRule="exact"/>
        <w:rPr>
          <w:sz w:val="20"/>
          <w:szCs w:val="20"/>
          <w:color w:val="auto"/>
        </w:rPr>
      </w:pPr>
    </w:p>
    <w:p>
      <w:pPr>
        <w:ind w:right="160" w:firstLine="399"/>
        <w:spacing w:after="0" w:line="262" w:lineRule="auto"/>
        <w:rPr>
          <w:sz w:val="20"/>
          <w:szCs w:val="20"/>
          <w:color w:val="auto"/>
        </w:rPr>
      </w:pPr>
      <w:r>
        <w:rPr>
          <w:rFonts w:ascii="Times New Roman" w:cs="Times New Roman" w:eastAsia="Times New Roman" w:hAnsi="Times New Roman"/>
          <w:sz w:val="20"/>
          <w:szCs w:val="20"/>
          <w:color w:val="auto"/>
        </w:rPr>
        <w:t>To date, our research and development expenses have related primarily to the development of our clinical platform and the identification and development of our product candidates. Clinical and research and development expenses consist of expenses incurred in performing research and development activities,</w:t>
      </w:r>
    </w:p>
    <w:p>
      <w:pPr>
        <w:sectPr>
          <w:pgSz w:w="11880" w:h="15480" w:orient="portrait"/>
          <w:cols w:equalWidth="0" w:num="1">
            <w:col w:w="9100"/>
          </w:cols>
          <w:pgMar w:left="1400" w:top="1025" w:right="1380" w:bottom="71"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100"/>
          </w:cols>
          <w:pgMar w:left="1400" w:top="1025" w:right="1380" w:bottom="71" w:gutter="0" w:footer="0" w:header="0"/>
          <w:type w:val="continuous"/>
        </w:sectPr>
      </w:pPr>
    </w:p>
    <w:bookmarkStart w:id="79" w:name="page80"/>
    <w:bookmarkEnd w:id="79"/>
    <w:p>
      <w:pPr>
        <w:spacing w:after="0" w:line="267" w:lineRule="auto"/>
        <w:rPr>
          <w:sz w:val="20"/>
          <w:szCs w:val="20"/>
          <w:color w:val="auto"/>
        </w:rPr>
      </w:pPr>
      <w:r>
        <w:rPr>
          <w:rFonts w:ascii="Times New Roman" w:cs="Times New Roman" w:eastAsia="Times New Roman" w:hAnsi="Times New Roman"/>
          <w:sz w:val="20"/>
          <w:szCs w:val="20"/>
          <w:color w:val="auto"/>
        </w:rPr>
        <w:t>cost of our clinical trials, including compensation, share-based compensation expense and benefits for research and development employees and consultants, facilities expenses, overhead expenses, cost of supplies, manufacturing expenses, fees paid to third parties and other outside expenses.</w:t>
      </w:r>
    </w:p>
    <w:p>
      <w:pPr>
        <w:spacing w:after="0" w:line="111" w:lineRule="exact"/>
        <w:rPr>
          <w:sz w:val="20"/>
          <w:szCs w:val="20"/>
          <w:color w:val="auto"/>
        </w:rPr>
      </w:pPr>
    </w:p>
    <w:p>
      <w:pPr>
        <w:ind w:right="360" w:firstLine="399"/>
        <w:spacing w:after="0" w:line="284" w:lineRule="auto"/>
        <w:rPr>
          <w:sz w:val="20"/>
          <w:szCs w:val="20"/>
          <w:color w:val="auto"/>
        </w:rPr>
      </w:pPr>
      <w:r>
        <w:rPr>
          <w:rFonts w:ascii="Times New Roman" w:cs="Times New Roman" w:eastAsia="Times New Roman" w:hAnsi="Times New Roman"/>
          <w:sz w:val="20"/>
          <w:szCs w:val="20"/>
          <w:color w:val="auto"/>
        </w:rPr>
        <w:t>Clinical costs are expensed as incurred. Costs and timing of clinical trials and development of our product candidates will depend on a variety of factors that include, but are not limited to, the following:</w:t>
      </w:r>
    </w:p>
    <w:p>
      <w:pPr>
        <w:spacing w:after="0" w:line="54" w:lineRule="exact"/>
        <w:rPr>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 patient clinical trial costs;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that participate in the clinical trials;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sites included in the clinical trials;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length of time required to enroll eligible patients;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doses that patients receive;</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drop-out or discontinuation rates of patients;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additional safety monitoring or other studies requested by regulatory agencies;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of patient follow-up;</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profile of the product candidates; and</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successfully manufacture patient doses.</w:t>
      </w:r>
    </w:p>
    <w:p>
      <w:pPr>
        <w:spacing w:after="0" w:line="169"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research and development costs will continue to increase over the next several years due to increased spending on the clinical development and manufacturing of our product candidates.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68"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other related costs, including share-based compensation, for personnel in executive, finance, accounting, business development, legal and human resources functions. Other significant costs include facility costs not otherwise included in research and development expenses, legal fees relating to patent and corporate matters, insurance costs and professional fees for consultancy, accounting, audit and investor relations.</w:t>
      </w:r>
    </w:p>
    <w:p>
      <w:pPr>
        <w:spacing w:after="0" w:line="121" w:lineRule="exact"/>
        <w:rPr>
          <w:sz w:val="20"/>
          <w:szCs w:val="20"/>
          <w:color w:val="auto"/>
        </w:rPr>
      </w:pPr>
    </w:p>
    <w:p>
      <w:pPr>
        <w:ind w:right="300" w:firstLine="399"/>
        <w:spacing w:after="0" w:line="267"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in the future to support our continued research and development activities, and the potential commercialization of our product candidates.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did not recognize any income tax expense for the years ended December 31, 2022 and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Other income (expense), net consists of interest income and arbitration settlement expenses.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100"/>
          </w:cols>
          <w:pgMar w:left="1400" w:top="1025" w:right="1380" w:bottom="70" w:gutter="0" w:footer="0" w:header="0"/>
          <w:type w:val="continuous"/>
        </w:sectPr>
      </w:pPr>
    </w:p>
    <w:bookmarkStart w:id="80" w:name="page81"/>
    <w:bookmarkEnd w:id="80"/>
    <w:p>
      <w:pPr>
        <w:ind w:left="20"/>
        <w:spacing w:after="0"/>
        <w:rPr>
          <w:sz w:val="20"/>
          <w:szCs w:val="20"/>
          <w:color w:val="auto"/>
        </w:rPr>
      </w:pPr>
      <w:r>
        <w:rPr>
          <w:rFonts w:ascii="Times New Roman" w:cs="Times New Roman" w:eastAsia="Times New Roman" w:hAnsi="Times New Roman"/>
          <w:sz w:val="20"/>
          <w:szCs w:val="20"/>
          <w:b w:val="1"/>
          <w:bCs w:val="1"/>
          <w:color w:val="auto"/>
        </w:rPr>
        <w:t>Results of Operations For the Years Ended December 31, 2022 and 2021</w:t>
      </w:r>
    </w:p>
    <w:p>
      <w:pPr>
        <w:spacing w:after="0" w:line="140" w:lineRule="exact"/>
        <w:rPr>
          <w:sz w:val="20"/>
          <w:szCs w:val="20"/>
          <w:color w:val="auto"/>
        </w:rPr>
      </w:pPr>
    </w:p>
    <w:p>
      <w:pPr>
        <w:jc w:val="both"/>
        <w:ind w:left="20" w:right="360" w:firstLine="399"/>
        <w:spacing w:after="0" w:line="273" w:lineRule="auto"/>
        <w:rPr>
          <w:sz w:val="20"/>
          <w:szCs w:val="20"/>
          <w:color w:val="auto"/>
        </w:rPr>
      </w:pPr>
      <w:r>
        <w:rPr>
          <w:rFonts w:ascii="Times New Roman" w:cs="Times New Roman" w:eastAsia="Times New Roman" w:hAnsi="Times New Roman"/>
          <w:sz w:val="20"/>
          <w:szCs w:val="20"/>
          <w:color w:val="auto"/>
        </w:rPr>
        <w:t>The following table summarizes the results of our operations (rounded to the thousand except for per share amounts) for the years ended December 31, 2022 and 2021, together with the changes to those items: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46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Grant income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3,514,000</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1,242,000</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2,272,000</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302"/>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Related party service revenue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revenues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9,014,000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7,772,000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Research and development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26,139,000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27,795,000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(1,656,000)</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02"/>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General and administrative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12,925,000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(105,000)</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operating expenses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38,959,000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(1,761,000)</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Loss from operations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8"/>
              </w:rPr>
              <w:t>(29,946,000)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(39,478,000)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9,532,000</w:t>
            </w:r>
          </w:p>
        </w:tc>
        <w:tc>
          <w:tcPr>
            <w:tcW w:w="16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89"/>
        </w:trPr>
        <w:tc>
          <w:tcPr>
            <w:tcW w:w="4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Arbitration settlement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(233,000)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(2,407,000)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2,174,000</w:t>
            </w:r>
          </w:p>
        </w:tc>
        <w:tc>
          <w:tcPr>
            <w:tcW w:w="16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302"/>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Interest income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242,000</w:t>
            </w:r>
          </w:p>
        </w:tc>
        <w:tc>
          <w:tcPr>
            <w:tcW w:w="160" w:type="dxa"/>
            <w:vAlign w:val="bottom"/>
          </w:tcPr>
          <w:p>
            <w:pPr>
              <w:spacing w:after="0"/>
              <w:rPr>
                <w:sz w:val="24"/>
                <w:szCs w:val="24"/>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4,033%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 . . . . . . . . . . . . . . . . . . . . . . . . . . . . . . .</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(29,931,000)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8"/>
              </w:rPr>
              <w:t>(41,879,000)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11,948,000</w:t>
            </w:r>
          </w:p>
        </w:tc>
        <w:tc>
          <w:tcPr>
            <w:tcW w:w="16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loss per share, basic and diluted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16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common shares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outstanding  . .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8,351,000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7,651,000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700,000</w:t>
            </w:r>
          </w:p>
        </w:tc>
        <w:tc>
          <w:tcPr>
            <w:tcW w:w="16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37" w:lineRule="exact"/>
        <w:rPr>
          <w:sz w:val="20"/>
          <w:szCs w:val="20"/>
          <w:color w:val="auto"/>
        </w:rPr>
      </w:pPr>
    </w:p>
    <w:p>
      <w:pPr>
        <w:ind w:right="660" w:firstLine="399"/>
        <w:spacing w:after="0" w:line="273" w:lineRule="auto"/>
        <w:rPr>
          <w:sz w:val="20"/>
          <w:szCs w:val="20"/>
          <w:color w:val="auto"/>
        </w:rPr>
      </w:pPr>
      <w:r>
        <w:rPr>
          <w:rFonts w:ascii="Times New Roman" w:cs="Times New Roman" w:eastAsia="Times New Roman" w:hAnsi="Times New Roman"/>
          <w:sz w:val="20"/>
          <w:szCs w:val="20"/>
          <w:color w:val="auto"/>
        </w:rPr>
        <w:t>We did not generate any revenue during the years ended December 31, 2022 and 2021, respectively, from the sales or licensing of our product candidates.</w:t>
      </w:r>
    </w:p>
    <w:p>
      <w:pPr>
        <w:spacing w:after="0" w:line="95" w:lineRule="exact"/>
        <w:rPr>
          <w:sz w:val="20"/>
          <w:szCs w:val="20"/>
          <w:color w:val="auto"/>
        </w:rPr>
      </w:pPr>
    </w:p>
    <w:p>
      <w:pPr>
        <w:ind w:right="240" w:firstLine="399"/>
        <w:spacing w:after="0" w:line="250" w:lineRule="auto"/>
        <w:rPr>
          <w:sz w:val="20"/>
          <w:szCs w:val="20"/>
          <w:color w:val="auto"/>
        </w:rPr>
      </w:pPr>
      <w:r>
        <w:rPr>
          <w:rFonts w:ascii="Times New Roman" w:cs="Times New Roman" w:eastAsia="Times New Roman" w:hAnsi="Times New Roman"/>
          <w:sz w:val="20"/>
          <w:szCs w:val="20"/>
          <w:color w:val="auto"/>
        </w:rPr>
        <w:t>In August 2021, we received notice of a Product Development Research award totaling approximately $13.1 million from the Cancer Prevention and Research Institute of Texas, or CPRIT, to support our Phase 2 clinical trial of MT-401. During the years ended December 31, 2022 and 2021, respectively, we recognized $3.4 million and $1.2 million of revenue associated with the CPRIT grant.</w:t>
      </w:r>
    </w:p>
    <w:p>
      <w:pPr>
        <w:spacing w:after="0" w:line="119" w:lineRule="exact"/>
        <w:rPr>
          <w:sz w:val="20"/>
          <w:szCs w:val="20"/>
          <w:color w:val="auto"/>
        </w:rPr>
      </w:pPr>
    </w:p>
    <w:p>
      <w:pPr>
        <w:ind w:right="240" w:firstLine="399"/>
        <w:spacing w:after="0" w:line="250" w:lineRule="auto"/>
        <w:rPr>
          <w:sz w:val="20"/>
          <w:szCs w:val="20"/>
          <w:color w:val="auto"/>
        </w:rPr>
      </w:pPr>
      <w:r>
        <w:rPr>
          <w:rFonts w:ascii="Times New Roman" w:cs="Times New Roman" w:eastAsia="Times New Roman" w:hAnsi="Times New Roman"/>
          <w:sz w:val="20"/>
          <w:szCs w:val="20"/>
          <w:color w:val="auto"/>
        </w:rPr>
        <w:t>On September 13, 2022, we received notice from the FDA that we had been awarded a $2.0 million grant from the FDA’s Orphan Products Grant program to support our Phase 2 clinical trial of MT-401 for the treatment of post-transplant AML. During the year ended December 31, 2022, we recognized $0.1 million of revenue associated with the FDA grant.</w:t>
      </w:r>
    </w:p>
    <w:p>
      <w:pPr>
        <w:spacing w:after="0" w:line="119" w:lineRule="exact"/>
        <w:rPr>
          <w:sz w:val="20"/>
          <w:szCs w:val="20"/>
          <w:color w:val="auto"/>
        </w:rPr>
      </w:pPr>
    </w:p>
    <w:p>
      <w:pPr>
        <w:ind w:right="600" w:firstLine="399"/>
        <w:spacing w:after="0" w:line="239" w:lineRule="auto"/>
        <w:rPr>
          <w:sz w:val="20"/>
          <w:szCs w:val="20"/>
          <w:color w:val="auto"/>
        </w:rPr>
      </w:pPr>
      <w:r>
        <w:rPr>
          <w:rFonts w:ascii="Times New Roman" w:cs="Times New Roman" w:eastAsia="Times New Roman" w:hAnsi="Times New Roman"/>
          <w:sz w:val="20"/>
          <w:szCs w:val="20"/>
          <w:color w:val="auto"/>
        </w:rPr>
        <w:t>In April 2022, we entered into a binding services agreement, or the Service Agreement, with Wilson Wolf. Pursuant to the Services Agreement, Wilson Wolf made a cash payment to us in the amount of</w:t>
      </w:r>
    </w:p>
    <w:p>
      <w:pPr>
        <w:spacing w:after="0" w:line="1"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color w:val="auto"/>
        </w:rPr>
        <w:t>$8.0 million, as consideration for certain training and research services. During the year ended December 31, 2022, we recognized $5.5 million of revenue associated with the Services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37" w:lineRule="exact"/>
        <w:rPr>
          <w:sz w:val="20"/>
          <w:szCs w:val="20"/>
          <w:color w:val="auto"/>
        </w:rPr>
      </w:pPr>
    </w:p>
    <w:p>
      <w:pPr>
        <w:ind w:right="320" w:firstLine="399"/>
        <w:spacing w:after="0" w:line="256" w:lineRule="auto"/>
        <w:rPr>
          <w:sz w:val="20"/>
          <w:szCs w:val="20"/>
          <w:color w:val="auto"/>
        </w:rPr>
      </w:pPr>
      <w:r>
        <w:rPr>
          <w:rFonts w:ascii="Times New Roman" w:cs="Times New Roman" w:eastAsia="Times New Roman" w:hAnsi="Times New Roman"/>
          <w:sz w:val="20"/>
          <w:szCs w:val="20"/>
          <w:color w:val="auto"/>
        </w:rPr>
        <w:t>Operating expenses incurred during the fiscal year ended December 31, 2022 were $39.0 million compared to $40.7 million in the prior year. Significant changes and expenditures in operating expenses are outlined as follows: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Research and Development Expense</w:t>
      </w:r>
    </w:p>
    <w:p>
      <w:pPr>
        <w:spacing w:after="0" w:line="156" w:lineRule="exact"/>
        <w:rPr>
          <w:sz w:val="20"/>
          <w:szCs w:val="20"/>
          <w:color w:val="auto"/>
        </w:rPr>
      </w:pPr>
    </w:p>
    <w:p>
      <w:pPr>
        <w:ind w:left="20" w:right="280" w:firstLine="399"/>
        <w:spacing w:after="0" w:line="273" w:lineRule="auto"/>
        <w:rPr>
          <w:sz w:val="20"/>
          <w:szCs w:val="20"/>
          <w:color w:val="auto"/>
        </w:rPr>
      </w:pPr>
      <w:r>
        <w:rPr>
          <w:rFonts w:ascii="Times New Roman" w:cs="Times New Roman" w:eastAsia="Times New Roman" w:hAnsi="Times New Roman"/>
          <w:sz w:val="20"/>
          <w:szCs w:val="20"/>
          <w:color w:val="auto"/>
        </w:rPr>
        <w:t>Research and development expenses decreased by 6% to $26.1 million for the year ended December 31, 2022, compared to $27.8 million for the year ended December 31, 2021.</w:t>
      </w:r>
    </w:p>
    <w:p>
      <w:pPr>
        <w:sectPr>
          <w:pgSz w:w="11880" w:h="15480" w:orient="portrait"/>
          <w:cols w:equalWidth="0" w:num="1">
            <w:col w:w="9360"/>
          </w:cols>
          <w:pgMar w:left="1380" w:top="1023" w:right="1140" w:bottom="70" w:gutter="0" w:footer="0" w:header="0"/>
        </w:sectPr>
      </w:pPr>
    </w:p>
    <w:p>
      <w:pPr>
        <w:spacing w:after="0" w:line="2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360"/>
          </w:cols>
          <w:pgMar w:left="1380" w:top="1023" w:right="1140" w:bottom="70" w:gutter="0" w:footer="0" w:header="0"/>
          <w:type w:val="continuous"/>
        </w:sectPr>
      </w:pPr>
    </w:p>
    <w:bookmarkStart w:id="81" w:name="page82"/>
    <w:bookmarkEnd w:id="81"/>
    <w:p>
      <w:pPr>
        <w:ind w:left="380"/>
        <w:spacing w:after="0"/>
        <w:rPr>
          <w:sz w:val="20"/>
          <w:szCs w:val="20"/>
          <w:color w:val="auto"/>
        </w:rPr>
      </w:pPr>
      <w:r>
        <w:rPr>
          <w:rFonts w:ascii="Times New Roman" w:cs="Times New Roman" w:eastAsia="Times New Roman" w:hAnsi="Times New Roman"/>
          <w:sz w:val="20"/>
          <w:szCs w:val="20"/>
          <w:color w:val="auto"/>
        </w:rPr>
        <w:t>The decrease of $1.7 million in 2022 was primarily attributable to the following:</w:t>
      </w:r>
    </w:p>
    <w:p>
      <w:pPr>
        <w:spacing w:after="0" w:line="131" w:lineRule="exact"/>
        <w:rPr>
          <w:sz w:val="20"/>
          <w:szCs w:val="20"/>
          <w:color w:val="auto"/>
        </w:rPr>
      </w:pPr>
    </w:p>
    <w:p>
      <w:pPr>
        <w:ind w:left="580" w:hanging="191"/>
        <w:spacing w:after="0"/>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$1.7 million in sponsored research and consulting expenses from BCM agreements,</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$1.4 million in process development expenses,</w:t>
      </w:r>
    </w:p>
    <w:p>
      <w:pPr>
        <w:spacing w:after="0" w:line="131" w:lineRule="exact"/>
        <w:rPr>
          <w:rFonts w:ascii="Times New Roman" w:cs="Times New Roman" w:eastAsia="Times New Roman" w:hAnsi="Times New Roman"/>
          <w:sz w:val="20"/>
          <w:szCs w:val="20"/>
          <w:color w:val="auto"/>
        </w:rPr>
      </w:pPr>
    </w:p>
    <w:p>
      <w:pPr>
        <w:ind w:left="580" w:right="80" w:hanging="191"/>
        <w:spacing w:after="0" w:line="286" w:lineRule="auto"/>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$0.6 million in technology licensing fees due to termination of Mayo license agreements, described below,</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$0.3 million in consulting expenses,</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$0.2 million in stock-based compensation expenses, offset by</w:t>
      </w:r>
    </w:p>
    <w:p>
      <w:pPr>
        <w:spacing w:after="0" w:line="131" w:lineRule="exact"/>
        <w:rPr>
          <w:rFonts w:ascii="Times New Roman" w:cs="Times New Roman" w:eastAsia="Times New Roman" w:hAnsi="Times New Roman"/>
          <w:sz w:val="20"/>
          <w:szCs w:val="20"/>
          <w:color w:val="auto"/>
        </w:rPr>
      </w:pPr>
    </w:p>
    <w:p>
      <w:pPr>
        <w:ind w:left="580" w:right="240" w:hanging="191"/>
        <w:spacing w:after="0" w:line="286" w:lineRule="auto"/>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$1.5 million in headcount-related expenses as we increased the number of research and development personnel,</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$0.7 million in depreciation expense due to increased capital investments, and</w:t>
      </w:r>
    </w:p>
    <w:p>
      <w:pPr>
        <w:spacing w:after="0" w:line="131" w:lineRule="exact"/>
        <w:rPr>
          <w:rFonts w:ascii="Times New Roman" w:cs="Times New Roman" w:eastAsia="Times New Roman" w:hAnsi="Times New Roman"/>
          <w:sz w:val="20"/>
          <w:szCs w:val="20"/>
          <w:color w:val="auto"/>
        </w:rPr>
      </w:pPr>
    </w:p>
    <w:p>
      <w:pPr>
        <w:ind w:left="580" w:right="520" w:hanging="191"/>
        <w:spacing w:after="0" w:line="284" w:lineRule="auto"/>
        <w:tabs>
          <w:tab w:leader="none" w:pos="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$0.3 million in vaccine-based clinical trial expenses related to the termination of the Mayo license agreements, described below.</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Included in research and development expenses are expenses related to agreements with BCM.</w:t>
      </w:r>
    </w:p>
    <w:p>
      <w:pPr>
        <w:spacing w:after="0" w:line="169" w:lineRule="exact"/>
        <w:rPr>
          <w:sz w:val="20"/>
          <w:szCs w:val="20"/>
          <w:color w:val="auto"/>
        </w:rPr>
      </w:pPr>
    </w:p>
    <w:p>
      <w:pPr>
        <w:ind w:right="140" w:firstLine="399"/>
        <w:spacing w:after="0" w:line="261" w:lineRule="auto"/>
        <w:rPr>
          <w:sz w:val="20"/>
          <w:szCs w:val="20"/>
          <w:color w:val="auto"/>
        </w:rPr>
      </w:pPr>
      <w:r>
        <w:rPr>
          <w:rFonts w:ascii="Times New Roman" w:cs="Times New Roman" w:eastAsia="Times New Roman" w:hAnsi="Times New Roman"/>
          <w:sz w:val="20"/>
          <w:szCs w:val="20"/>
          <w:color w:val="auto"/>
        </w:rPr>
        <w:t>In November 2018 and February 2020, we entered in Sponsored Research Agreements with BCM, which provided for the conduct of research for us by credentialed personnel at BCM’s Center for Cell and Gene Therapy. During the years ended December 31, 2022 and 2021, we incurred $0 and $0.03 million of expenses related to these agreements, respectively.</w:t>
      </w:r>
    </w:p>
    <w:p>
      <w:pPr>
        <w:spacing w:after="0" w:line="117" w:lineRule="exact"/>
        <w:rPr>
          <w:sz w:val="20"/>
          <w:szCs w:val="20"/>
          <w:color w:val="auto"/>
        </w:rPr>
      </w:pPr>
    </w:p>
    <w:p>
      <w:pPr>
        <w:ind w:right="40" w:firstLine="399"/>
        <w:spacing w:after="0" w:line="267" w:lineRule="auto"/>
        <w:rPr>
          <w:sz w:val="20"/>
          <w:szCs w:val="20"/>
          <w:color w:val="auto"/>
        </w:rPr>
      </w:pPr>
      <w:r>
        <w:rPr>
          <w:rFonts w:ascii="Times New Roman" w:cs="Times New Roman" w:eastAsia="Times New Roman" w:hAnsi="Times New Roman"/>
          <w:sz w:val="20"/>
          <w:szCs w:val="20"/>
          <w:color w:val="auto"/>
        </w:rPr>
        <w:t>In September 2019, we entered in a Clinical Supply Agreement with BCM, which provided for BCM to provide to us multi tumor antigen specific products. During the years ended December 31, 2022 and 2021, we incurred $0.7 million and $1.2 million related to this agreement, respectively.</w:t>
      </w:r>
    </w:p>
    <w:p>
      <w:pPr>
        <w:spacing w:after="0" w:line="111"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20"/>
          <w:szCs w:val="20"/>
          <w:color w:val="auto"/>
        </w:rPr>
        <w:t>In October 2019, we entered in a Workforce Grant Agreement with BCM, which provided for BCM to provide to us manpower costs of projects for manufacturing, quality control testing and validation run activities. During the years ended December 31, 2022 and 2021, we incurred $0.4 million and $1.1 million related to this agreement, respectively.</w:t>
      </w:r>
    </w:p>
    <w:p>
      <w:pPr>
        <w:spacing w:after="0" w:line="117" w:lineRule="exact"/>
        <w:rPr>
          <w:sz w:val="20"/>
          <w:szCs w:val="20"/>
          <w:color w:val="auto"/>
        </w:rPr>
      </w:pPr>
    </w:p>
    <w:p>
      <w:pPr>
        <w:ind w:right="240" w:firstLine="399"/>
        <w:spacing w:after="0" w:line="267" w:lineRule="auto"/>
        <w:rPr>
          <w:sz w:val="20"/>
          <w:szCs w:val="20"/>
          <w:color w:val="auto"/>
        </w:rPr>
      </w:pPr>
      <w:r>
        <w:rPr>
          <w:rFonts w:ascii="Times New Roman" w:cs="Times New Roman" w:eastAsia="Times New Roman" w:hAnsi="Times New Roman"/>
          <w:sz w:val="20"/>
          <w:szCs w:val="20"/>
          <w:color w:val="auto"/>
        </w:rPr>
        <w:t>In August 2020, we entered in a Clinical Trial Agreement with BCM, which provided for BCM to provide to us investigator-initiated research studies. During the years ended December 31, 2022 and 2021, we incurred $0 and $0.5 million related to this agreement, respectively.</w:t>
      </w:r>
    </w:p>
    <w:p>
      <w:pPr>
        <w:spacing w:after="0" w:line="11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In October 2022, we and Mayo Foundation for Medical Education and Research, or Mayo, mutually agreed to terminate the (i) Patent and Know-How License Agreement dated March 25, 2012, the (ii) License and Assignment Agreement dated July 21, 2015, and the (iii) License and Assignment Agreement effective May 4, 2016, which we collectively refer to as the License Agreements, in accordance with and subject to the terms of those agreements, pursuant to which Mayo granted the Company license grants to patent rights, know-how and materials in each of the License Agreements (as defined therein) that were directed to our peptide-based immunotherapeutic vaccine programs.</w:t>
      </w:r>
    </w:p>
    <w:p>
      <w:pPr>
        <w:spacing w:after="0" w:line="125"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Under the terms of the termination, the License Agreements are of no further force or effect. All license grants under the License Agreements are terminated and all rights therein revert to Mayo. We also will assign Mayo all of the INDs covered under the License Agreements, including any interest in any clinical trials relating to any IND.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General and Administrative Expenses</w:t>
      </w:r>
    </w:p>
    <w:p>
      <w:pPr>
        <w:spacing w:after="0" w:line="165"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20"/>
          <w:szCs w:val="20"/>
          <w:color w:val="auto"/>
        </w:rPr>
        <w:t>General and administrative expenses decreased by 1% to $12.8 million for the year ended December 31, 2022 from $12.9 million during the prior period. The decrease in general and administrative expenses of $0.1 million mainly comprised the following:</w:t>
      </w:r>
    </w:p>
    <w:p>
      <w:pPr>
        <w:spacing w:after="0" w:line="71" w:lineRule="exact"/>
        <w:rPr>
          <w:sz w:val="20"/>
          <w:szCs w:val="20"/>
          <w:color w:val="auto"/>
        </w:rPr>
      </w:pPr>
    </w:p>
    <w:p>
      <w:pPr>
        <w:ind w:left="580" w:hanging="191"/>
        <w:spacing w:after="0"/>
        <w:tabs>
          <w:tab w:leader="none" w:pos="5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$0.6 million in severance expense related to headcount reductions,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$0.5 million in advisory and professional fees,</w:t>
      </w:r>
    </w:p>
    <w:p>
      <w:pPr>
        <w:sectPr>
          <w:pgSz w:w="11880" w:h="15480" w:orient="portrait"/>
          <w:cols w:equalWidth="0" w:num="1">
            <w:col w:w="9100"/>
          </w:cols>
          <w:pgMar w:left="1400" w:top="1025" w:right="1380" w:bottom="7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100"/>
          </w:cols>
          <w:pgMar w:left="1400" w:top="1025" w:right="1380" w:bottom="70" w:gutter="0" w:footer="0" w:header="0"/>
          <w:type w:val="continuous"/>
        </w:sectPr>
      </w:pPr>
    </w:p>
    <w:bookmarkStart w:id="82" w:name="page83"/>
    <w:bookmarkEnd w:id="82"/>
    <w:p>
      <w:pPr>
        <w:ind w:left="580" w:hanging="191"/>
        <w:spacing w:after="0"/>
        <w:tabs>
          <w:tab w:leader="none" w:pos="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$0.1 million in other general and administrative expenses, offset by</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$0.1 million in other headcount-related expenses,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$0.5 million in stock-based compensation,</w:t>
      </w:r>
    </w:p>
    <w:p>
      <w:pPr>
        <w:spacing w:after="0" w:line="129" w:lineRule="exact"/>
        <w:rPr>
          <w:rFonts w:ascii="Times New Roman" w:cs="Times New Roman" w:eastAsia="Times New Roman" w:hAnsi="Times New Roman"/>
          <w:sz w:val="20"/>
          <w:szCs w:val="20"/>
          <w:color w:val="auto"/>
        </w:rPr>
      </w:pPr>
    </w:p>
    <w:p>
      <w:pPr>
        <w:ind w:left="580" w:right="20" w:hanging="191"/>
        <w:spacing w:after="0" w:line="284" w:lineRule="auto"/>
        <w:tabs>
          <w:tab w:leader="none" w:pos="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$0.4 million in rent and utility expenses, in part due to the termination of our office lease at 3200 Southwest Freeway, Suite 2500 in Houston, and</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$0.3 million in recruiting expenses.</w:t>
      </w:r>
    </w:p>
    <w:p>
      <w:pPr>
        <w:spacing w:after="0" w:line="169" w:lineRule="exact"/>
        <w:rPr>
          <w:sz w:val="20"/>
          <w:szCs w:val="20"/>
          <w:color w:val="auto"/>
        </w:rPr>
      </w:pPr>
    </w:p>
    <w:p>
      <w:pPr>
        <w:ind w:right="40" w:firstLine="399"/>
        <w:spacing w:after="0" w:line="267" w:lineRule="auto"/>
        <w:rPr>
          <w:sz w:val="20"/>
          <w:szCs w:val="20"/>
          <w:color w:val="auto"/>
        </w:rPr>
      </w:pPr>
      <w:r>
        <w:rPr>
          <w:rFonts w:ascii="Times New Roman" w:cs="Times New Roman" w:eastAsia="Times New Roman" w:hAnsi="Times New Roman"/>
          <w:sz w:val="20"/>
          <w:szCs w:val="20"/>
          <w:color w:val="auto"/>
        </w:rPr>
        <w:t>In August 2022, we implemented changes to our organizational structure as part of an operational cost reduction plan to conserve our available capital by reducing headcount in our general and administrative function by approximately 23.5%, including the separation of the Company’s Chief Financial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Arbitration settlement</w:t>
      </w:r>
    </w:p>
    <w:p>
      <w:pPr>
        <w:spacing w:after="0" w:line="165"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we recorded an accrual of $2.4 million in accrued liabilities on our consolidated balance sheet and a $2.4 million charge to other expenses.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we were notified that our motion to vacate the award was denied and the broker was awarded an additional $0.1 million in interest. Post judgment interest accrued at 1.02% until the judgment was paid. We paid the $2.5 million judgment on March 24, 2022. On January 4, 2023, we were notified that the broker was awarded an additional $0.1 million in attorneys’ fees, which we recorded to other expenses during fiscal year ending December 31, 2022. We paid the $0.1 million on January 9,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Interest Income</w:t>
      </w:r>
    </w:p>
    <w:p>
      <w:pPr>
        <w:spacing w:after="0" w:line="165" w:lineRule="exact"/>
        <w:rPr>
          <w:sz w:val="20"/>
          <w:szCs w:val="20"/>
          <w:color w:val="auto"/>
        </w:rPr>
      </w:pPr>
    </w:p>
    <w:p>
      <w:pPr>
        <w:ind w:right="320" w:firstLine="399"/>
        <w:spacing w:after="0" w:line="267" w:lineRule="auto"/>
        <w:rPr>
          <w:sz w:val="20"/>
          <w:szCs w:val="20"/>
          <w:color w:val="auto"/>
        </w:rPr>
      </w:pPr>
      <w:r>
        <w:rPr>
          <w:rFonts w:ascii="Times New Roman" w:cs="Times New Roman" w:eastAsia="Times New Roman" w:hAnsi="Times New Roman"/>
          <w:sz w:val="20"/>
          <w:szCs w:val="20"/>
          <w:color w:val="auto"/>
        </w:rPr>
        <w:t>Interest income was $0.2 million and $6,000 for the years ended December 31, 2022 and 2021, respectively, and was attributable to interest income relating to funds that are held in U.S. Treasury notes and U.S. government agency-backed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w:t>
      </w:r>
    </w:p>
    <w:p>
      <w:pPr>
        <w:spacing w:after="0" w:line="168" w:lineRule="exact"/>
        <w:rPr>
          <w:sz w:val="20"/>
          <w:szCs w:val="20"/>
          <w:color w:val="auto"/>
        </w:rPr>
      </w:pPr>
    </w:p>
    <w:p>
      <w:pPr>
        <w:ind w:right="40" w:firstLine="399"/>
        <w:spacing w:after="0" w:line="258" w:lineRule="auto"/>
        <w:rPr>
          <w:sz w:val="20"/>
          <w:szCs w:val="20"/>
          <w:color w:val="auto"/>
        </w:rPr>
      </w:pPr>
      <w:r>
        <w:rPr>
          <w:rFonts w:ascii="Times New Roman" w:cs="Times New Roman" w:eastAsia="Times New Roman" w:hAnsi="Times New Roman"/>
          <w:sz w:val="20"/>
          <w:szCs w:val="20"/>
          <w:color w:val="auto"/>
        </w:rPr>
        <w:t>The decrease in our net loss during the year ended December 31, 2022 compared to the year ended December 31, 2021 was due to higher grant income and related party service revenue, cost reductions in our research and development activities and moderate stabilization of our clinical trial activities. We anticipate that we will continue to incur net losses in the future as we continue to invest in research and development activities, including clinical development of our multiTAA T cell product candidates.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68" w:lineRule="exact"/>
        <w:rPr>
          <w:sz w:val="20"/>
          <w:szCs w:val="20"/>
          <w:color w:val="auto"/>
        </w:rPr>
      </w:pPr>
    </w:p>
    <w:p>
      <w:pPr>
        <w:ind w:right="160" w:firstLine="399"/>
        <w:spacing w:after="0" w:line="267" w:lineRule="auto"/>
        <w:rPr>
          <w:sz w:val="20"/>
          <w:szCs w:val="20"/>
          <w:color w:val="auto"/>
        </w:rPr>
      </w:pPr>
      <w:r>
        <w:rPr>
          <w:rFonts w:ascii="Times New Roman" w:cs="Times New Roman" w:eastAsia="Times New Roman" w:hAnsi="Times New Roman"/>
          <w:sz w:val="20"/>
          <w:szCs w:val="20"/>
          <w:color w:val="auto"/>
        </w:rPr>
        <w:t>We have not generated any revenues from the sales or licensing of our product candidates since inception and only have limited revenue associated with grants. We have financed our operations primarily through public and private offerings of our stock and debt including warrants and the exercise thereof.</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100"/>
          </w:cols>
          <w:pgMar w:left="1400" w:top="1025" w:right="1380" w:bottom="70" w:gutter="0" w:footer="0" w:header="0"/>
          <w:type w:val="continuous"/>
        </w:sectPr>
      </w:pPr>
    </w:p>
    <w:bookmarkStart w:id="83" w:name="page84"/>
    <w:bookmarkEnd w:id="83"/>
    <w:p>
      <w:pPr>
        <w:ind w:left="380"/>
        <w:spacing w:after="0"/>
        <w:rPr>
          <w:sz w:val="20"/>
          <w:szCs w:val="20"/>
          <w:color w:val="auto"/>
        </w:rPr>
      </w:pPr>
      <w:r>
        <w:rPr>
          <w:rFonts w:ascii="Times New Roman" w:cs="Times New Roman" w:eastAsia="Times New Roman" w:hAnsi="Times New Roman"/>
          <w:sz w:val="20"/>
          <w:szCs w:val="20"/>
          <w:color w:val="auto"/>
        </w:rPr>
        <w:t>The following table sets forth our cash, cash equivalents and restricted cash and working capital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30"/>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11,782,000</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$43,497,000</w:t>
            </w:r>
          </w:p>
        </w:tc>
      </w:tr>
      <w:tr>
        <w:trPr>
          <w:trHeight w:val="299"/>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Working capital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8,837,000</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$33,081,000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2022 and 2021:</w:t>
      </w:r>
    </w:p>
    <w:p>
      <w:pPr>
        <w:spacing w:after="0" w:line="16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4257675</wp:posOffset>
                </wp:positionH>
                <wp:positionV relativeFrom="paragraph">
                  <wp:posOffset>33655</wp:posOffset>
                </wp:positionV>
                <wp:extent cx="15144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08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08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700" w:type="dxa"/>
            <w:vAlign w:val="bottom"/>
            <w:vMerge w:val="restart"/>
          </w:tcPr>
          <w:p>
            <w:pPr>
              <w:jc w:val="right"/>
              <w:ind w:right="3980"/>
              <w:spacing w:after="0"/>
              <w:rPr>
                <w:sz w:val="20"/>
                <w:szCs w:val="20"/>
                <w:color w:val="auto"/>
              </w:rPr>
            </w:pPr>
            <w:r>
              <w:rPr>
                <w:rFonts w:ascii="Times New Roman" w:cs="Times New Roman" w:eastAsia="Times New Roman" w:hAnsi="Times New Roman"/>
                <w:sz w:val="20"/>
                <w:szCs w:val="20"/>
                <w:color w:val="auto"/>
              </w:rPr>
              <w:t>Net cash provided by (used in):</w:t>
            </w: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Operating activities  . . . . . . . . . . . . . . . . . . . . . . . . . . . . . . . . . . . . . .</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$(26,972,000)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$(27,280,000)</w:t>
            </w:r>
          </w:p>
        </w:tc>
        <w:tc>
          <w:tcPr>
            <w:tcW w:w="0" w:type="dxa"/>
            <w:vAlign w:val="bottom"/>
          </w:tcPr>
          <w:p>
            <w:pPr>
              <w:spacing w:after="0"/>
              <w:rPr>
                <w:sz w:val="1"/>
                <w:szCs w:val="1"/>
                <w:color w:val="auto"/>
              </w:rPr>
            </w:pPr>
          </w:p>
        </w:tc>
      </w:tr>
      <w:tr>
        <w:trPr>
          <w:trHeight w:val="299"/>
        </w:trPr>
        <w:tc>
          <w:tcPr>
            <w:tcW w:w="6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Investing activities . . . . . . . . . . . . . . . . . . . . . . . . . . . . . . . . . . . . . . .</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(4,945,000)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(3,131,000)</w:t>
            </w:r>
          </w:p>
        </w:tc>
        <w:tc>
          <w:tcPr>
            <w:tcW w:w="0" w:type="dxa"/>
            <w:vAlign w:val="bottom"/>
          </w:tcPr>
          <w:p>
            <w:pPr>
              <w:spacing w:after="0"/>
              <w:rPr>
                <w:sz w:val="1"/>
                <w:szCs w:val="1"/>
                <w:color w:val="auto"/>
              </w:rPr>
            </w:pPr>
          </w:p>
        </w:tc>
      </w:tr>
      <w:tr>
        <w:trPr>
          <w:trHeight w:val="302"/>
        </w:trPr>
        <w:tc>
          <w:tcPr>
            <w:tcW w:w="6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Financing activities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202,000</w:t>
            </w:r>
          </w:p>
        </w:tc>
        <w:tc>
          <w:tcPr>
            <w:tcW w:w="24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52,556,000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  . . . . . .</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$(31,715,000)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$ 22,145,000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Operating Activities</w:t>
      </w:r>
    </w:p>
    <w:p>
      <w:pPr>
        <w:spacing w:after="0" w:line="145" w:lineRule="exact"/>
        <w:rPr>
          <w:sz w:val="20"/>
          <w:szCs w:val="20"/>
          <w:color w:val="auto"/>
        </w:rPr>
      </w:pPr>
    </w:p>
    <w:p>
      <w:pPr>
        <w:ind w:right="220" w:firstLine="399"/>
        <w:spacing w:after="0" w:line="254"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2022 was $27.0 million. The use of cash primarily related to our net loss of $29.9 million and a $5.8 million decrease from changes in assets and liabilities. This was in addition to $5.3 million of stock-based compensation, $2.8 million of depreciation expense, $0.9 million of right-of-use asset amortization and lease liability accretion and a $0.3 million gain on lease termination.</w:t>
      </w:r>
    </w:p>
    <w:p>
      <w:pPr>
        <w:spacing w:after="0" w:line="104" w:lineRule="exact"/>
        <w:rPr>
          <w:sz w:val="20"/>
          <w:szCs w:val="20"/>
          <w:color w:val="auto"/>
        </w:rPr>
      </w:pPr>
    </w:p>
    <w:p>
      <w:pPr>
        <w:ind w:right="220" w:firstLine="399"/>
        <w:spacing w:after="0" w:line="257"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2021 was $27.3 million. The use of cash primarily related to our net loss of $41.9 million and a $5.5 million increase from changes in assets and liabilities. This was in addition to $6.0 million of stock-based compensation, $2.1 million of depreciation expense and $1.0 million of right-of-use asset amortization and lease liability accretion.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Investing Activities</w:t>
      </w:r>
    </w:p>
    <w:p>
      <w:pPr>
        <w:spacing w:after="0" w:line="145" w:lineRule="exact"/>
        <w:rPr>
          <w:sz w:val="20"/>
          <w:szCs w:val="20"/>
          <w:color w:val="auto"/>
        </w:rPr>
      </w:pPr>
    </w:p>
    <w:p>
      <w:pPr>
        <w:ind w:right="60" w:firstLine="399"/>
        <w:spacing w:after="0" w:line="254" w:lineRule="auto"/>
        <w:rPr>
          <w:sz w:val="20"/>
          <w:szCs w:val="20"/>
          <w:color w:val="auto"/>
        </w:rPr>
      </w:pPr>
      <w:r>
        <w:rPr>
          <w:rFonts w:ascii="Times New Roman" w:cs="Times New Roman" w:eastAsia="Times New Roman" w:hAnsi="Times New Roman"/>
          <w:sz w:val="20"/>
          <w:szCs w:val="20"/>
          <w:color w:val="auto"/>
        </w:rPr>
        <w:t>Net cash used in investing activities was $4.9 million and $3.1 million for the purchase of property and equipment and construction in progress for the years ended December 31, 2022 and 2021, respectively. This included the purchase of $1.5 million and $1.6 million of property and equipment as well as $3.5 million and $1.6 million for the purchase of construction in progress for the years ended December 31, 2022 and 2021 respectively.</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Purchases of property and equipment for the year ended December 31, 2022 were predominantly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comprised of laboratory equipment along with $0.1 million of computers, software and equipment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$0.1 million of furniture and fixtures. $3.5 million of purchases in construction in progress related to a second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modular cleanroom and the continued buildout of our manufacturing facility.</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Purchases of property and equipment for the year ended December 31, 2021 were comprised of</w:t>
      </w:r>
    </w:p>
    <w:p>
      <w:pPr>
        <w:spacing w:after="0" w:line="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$1.0 million in laboratory equipment, $0.2 million of computers, software and equipment and $0.3 million of furniture and fixtures and $0.1 million of leasehold improvements. $1.6 million of purchases in construction in progress related to a second modular cleanroom and the continued buildout of our manufacturing facility.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Financing Activities</w:t>
      </w:r>
    </w:p>
    <w:p>
      <w:pPr>
        <w:spacing w:after="0" w:line="145" w:lineRule="exact"/>
        <w:rPr>
          <w:sz w:val="20"/>
          <w:szCs w:val="20"/>
          <w:color w:val="auto"/>
        </w:rPr>
      </w:pPr>
    </w:p>
    <w:p>
      <w:pPr>
        <w:jc w:val="both"/>
        <w:ind w:right="380" w:firstLine="399"/>
        <w:spacing w:after="0" w:line="262" w:lineRule="auto"/>
        <w:rPr>
          <w:sz w:val="20"/>
          <w:szCs w:val="20"/>
          <w:color w:val="auto"/>
        </w:rPr>
      </w:pPr>
      <w:r>
        <w:rPr>
          <w:rFonts w:ascii="Times New Roman" w:cs="Times New Roman" w:eastAsia="Times New Roman" w:hAnsi="Times New Roman"/>
          <w:sz w:val="20"/>
          <w:szCs w:val="20"/>
          <w:color w:val="auto"/>
        </w:rPr>
        <w:t>Net cash provided by financing activities was $0.2 million and $52.6 million during the years ended December 31, 2022 and 2021, respectively. primarily due to the net proceeds received from sales from the ATM Agreement (as defined below) in 2022 and the underwritten public offering in 2021.</w:t>
      </w:r>
    </w:p>
    <w:p>
      <w:pPr>
        <w:sectPr>
          <w:pgSz w:w="11880" w:h="15480" w:orient="portrait"/>
          <w:cols w:equalWidth="0" w:num="1">
            <w:col w:w="9160"/>
          </w:cols>
          <w:pgMar w:left="1400" w:top="1025" w:right="1320" w:bottom="70" w:gutter="0" w:footer="0" w:header="0"/>
        </w:sect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160"/>
          </w:cols>
          <w:pgMar w:left="1400" w:top="1025" w:right="1320" w:bottom="7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Future Capital Requirements</w:t>
      </w:r>
    </w:p>
    <w:p>
      <w:pPr>
        <w:spacing w:after="0" w:line="173"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35" w:lineRule="exact"/>
        <w:rPr>
          <w:sz w:val="20"/>
          <w:szCs w:val="20"/>
          <w:color w:val="auto"/>
        </w:rPr>
      </w:pPr>
    </w:p>
    <w:p>
      <w:pPr>
        <w:ind w:right="20" w:firstLine="399"/>
        <w:spacing w:after="0" w:line="286" w:lineRule="auto"/>
        <w:rPr>
          <w:sz w:val="20"/>
          <w:szCs w:val="20"/>
          <w:color w:val="auto"/>
        </w:rPr>
      </w:pPr>
      <w:r>
        <w:rPr>
          <w:rFonts w:ascii="Times New Roman" w:cs="Times New Roman" w:eastAsia="Times New Roman" w:hAnsi="Times New Roman"/>
          <w:sz w:val="20"/>
          <w:szCs w:val="20"/>
          <w:color w:val="auto"/>
        </w:rPr>
        <w:t>On March 16, 2021, the Company issued an aggregate of 3,228,286 shares of its common stock, for net proceeds of $52.6 million, pursuant to an underwritten public offering.</w:t>
      </w:r>
    </w:p>
    <w:p>
      <w:pPr>
        <w:spacing w:after="0" w:line="94"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In August 2021, the Company received notice of a Product Development Research award totaling approximately $13.1 million from the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Through the date of this filing, the Company has received $4.8 million of funds from the CPRIT grant. The Company recorded $3.4 million of grant income related to the CPRIT grant as revenue for the year ended December 31, 2022.</w:t>
      </w:r>
    </w:p>
    <w:p>
      <w:pPr>
        <w:spacing w:after="0" w:line="370"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On April 21, 2022, the Company entered into a binding Services Agreement, dated April 12, 2022 (see Note 9), with Wilson Wolf. Mr. John Wilson is a member of the Company’s board of directors and is serving as the CEO of Wilson Wolf, therefore Wilson Wolf is a related party. Wilson Wolf is in the business of creating products and services intended to simplify and expedite the transition of cell therapies and gene-modified cell therapies to mainstream society. Pursuant to the Services Agreement, Wilson Wolf made a cash payment to the Company in the amount of $8.0 million. For the year ending December 31, 2022, the Company recognized $5.5 million of revenue pursuant to the Services Agreement and at December 31, 2022, the Company recorded $2.5 million of related party deferred revenue on its consolidated balance sheet.</w:t>
      </w:r>
    </w:p>
    <w:p>
      <w:pPr>
        <w:spacing w:after="0" w:line="129"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25"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As of December 31, 2022, we had working capital of $8.8 million, compared to working capital of $33.1 million as of December 31, 2021. Operating expenses incurred during the fiscal year ended December 31, 2022 were $39.0 million compared to $40.7 million in the prior year. Based on our revised clinical and research and development plans and our revised timing expectations related to the progress of our programs, we expect that our cash and cash equivalents as of December 31, 2022 will enable us to fund our operating expenses and capital expenditure requirements into the third quarter of 2023.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w:t>
      </w:r>
    </w:p>
    <w:p>
      <w:pPr>
        <w:sectPr>
          <w:pgSz w:w="11880" w:h="15480" w:orient="portrait"/>
          <w:cols w:equalWidth="0" w:num="1">
            <w:col w:w="9100"/>
          </w:cols>
          <w:pgMar w:left="1400" w:top="1023" w:right="1380" w:bottom="69"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100"/>
          </w:cols>
          <w:pgMar w:left="1400" w:top="1023" w:right="1380" w:bottom="69" w:gutter="0" w:footer="0" w:header="0"/>
          <w:type w:val="continuous"/>
        </w:sectPr>
      </w:pPr>
    </w:p>
    <w:bookmarkStart w:id="85" w:name="page86"/>
    <w:bookmarkEnd w:id="85"/>
    <w:p>
      <w:pPr>
        <w:ind w:right="100"/>
        <w:spacing w:after="0" w:line="273" w:lineRule="auto"/>
        <w:rPr>
          <w:sz w:val="20"/>
          <w:szCs w:val="20"/>
          <w:color w:val="auto"/>
        </w:rPr>
      </w:pPr>
      <w:r>
        <w:rPr>
          <w:rFonts w:ascii="Times New Roman" w:cs="Times New Roman" w:eastAsia="Times New Roman" w:hAnsi="Times New Roman"/>
          <w:sz w:val="20"/>
          <w:szCs w:val="20"/>
          <w:color w:val="auto"/>
        </w:rPr>
        <w:t>unable to estimate the amounts of increased capital outlays and operating expenditures associated with our current and anticipated clinical trials. Our future funding requirements will depend on many factors, as we:</w:t>
      </w:r>
    </w:p>
    <w:p>
      <w:pPr>
        <w:spacing w:after="0" w:line="309" w:lineRule="exact"/>
        <w:rPr>
          <w:sz w:val="20"/>
          <w:szCs w:val="20"/>
          <w:color w:val="auto"/>
        </w:rPr>
      </w:pPr>
    </w:p>
    <w:p>
      <w:pPr>
        <w:ind w:left="580" w:hanging="191"/>
        <w:spacing w:after="0"/>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or continue clinical trials of our product candidates;</w:t>
      </w:r>
    </w:p>
    <w:p>
      <w:pPr>
        <w:spacing w:after="0" w:line="127"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research and development of our product candidates and seek to discover additional product candidates; seek regulatory approvals for our product candidates if they successfully complete clinical trials;</w:t>
      </w:r>
    </w:p>
    <w:p>
      <w:pPr>
        <w:spacing w:after="0" w:line="73"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development of our manufacturing capabilities and our manufacturing facility;</w:t>
      </w:r>
    </w:p>
    <w:p>
      <w:pPr>
        <w:spacing w:after="0" w:line="127" w:lineRule="exact"/>
        <w:rPr>
          <w:rFonts w:ascii="Times New Roman" w:cs="Times New Roman" w:eastAsia="Times New Roman" w:hAnsi="Times New Roman"/>
          <w:sz w:val="20"/>
          <w:szCs w:val="20"/>
          <w:color w:val="auto"/>
        </w:rPr>
      </w:pPr>
    </w:p>
    <w:p>
      <w:pPr>
        <w:ind w:left="580" w:right="160" w:hanging="191"/>
        <w:spacing w:after="0" w:line="282" w:lineRule="auto"/>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sales, marketing and distribution infrastructure and scale-up manufacturing capabilities to commercialize any product candidates that may receive regulatory approval;</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strategic transactions we may undertake; and</w:t>
      </w:r>
    </w:p>
    <w:p>
      <w:pPr>
        <w:spacing w:after="0" w:line="127"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13"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20"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37"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In addition to the foregoing, based on our current assessment, we do not expect any material impact on our long-term liquidity due to the COVID-19 pandemic. However, we will continue to assess the effect of the pandemic on our operations. Further, the COVID-19 pandemic, decades-high inflation and concerns about an economic recession in the United States or other major markets has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Agreement</w:t>
      </w:r>
    </w:p>
    <w:p>
      <w:pPr>
        <w:spacing w:after="0" w:line="150"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In August 2021, we entered into a Controlled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w:t>
      </w:r>
    </w:p>
    <w:p>
      <w:pPr>
        <w:sectPr>
          <w:pgSz w:w="11880" w:h="15480" w:orient="portrait"/>
          <w:cols w:equalWidth="0" w:num="1">
            <w:col w:w="9100"/>
          </w:cols>
          <w:pgMar w:left="1400" w:top="1025" w:right="1380" w:bottom="70" w:gutter="0" w:footer="0" w:header="0"/>
        </w:sect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100"/>
          </w:cols>
          <w:pgMar w:left="1400" w:top="1025" w:right="1380" w:bottom="70" w:gutter="0" w:footer="0" w:header="0"/>
          <w:type w:val="continuous"/>
        </w:sectPr>
      </w:pPr>
    </w:p>
    <w:bookmarkStart w:id="86" w:name="page87"/>
    <w:bookmarkEnd w:id="86"/>
    <w:p>
      <w:pPr>
        <w:ind w:right="20"/>
        <w:spacing w:after="0" w:line="273" w:lineRule="auto"/>
        <w:rPr>
          <w:sz w:val="20"/>
          <w:szCs w:val="20"/>
          <w:color w:val="auto"/>
        </w:rPr>
      </w:pPr>
      <w:r>
        <w:rPr>
          <w:rFonts w:ascii="Times New Roman" w:cs="Times New Roman" w:eastAsia="Times New Roman" w:hAnsi="Times New Roman"/>
          <w:sz w:val="20"/>
          <w:szCs w:val="20"/>
          <w:color w:val="auto"/>
        </w:rPr>
        <w:t>each of the Sales Agents with indemnification and contribution rights. During the year ended December 31, 2022, we sold 60,651 shares of our common stock under the ATM Agreement for net proceeds of $0.2 million.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Purchase Agreement</w:t>
      </w:r>
    </w:p>
    <w:p>
      <w:pPr>
        <w:spacing w:after="0" w:line="16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During the year ended December 31, 2022, we did not sell any shares of our stock under the Purchase Agreement. In January 2023, Lincoln Park was issued 180,410 shares of stock as a commitment fee at a value of $0.5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166" w:lineRule="exact"/>
        <w:rPr>
          <w:sz w:val="20"/>
          <w:szCs w:val="20"/>
          <w:color w:val="auto"/>
        </w:rPr>
      </w:pPr>
    </w:p>
    <w:p>
      <w:pPr>
        <w:ind w:right="20" w:firstLine="399"/>
        <w:spacing w:after="0" w:line="264" w:lineRule="auto"/>
        <w:rPr>
          <w:sz w:val="20"/>
          <w:szCs w:val="20"/>
          <w:color w:val="auto"/>
        </w:rPr>
      </w:pPr>
      <w:r>
        <w:rPr>
          <w:rFonts w:ascii="Times New Roman" w:cs="Times New Roman" w:eastAsia="Times New Roman" w:hAnsi="Times New Roman"/>
          <w:sz w:val="20"/>
          <w:szCs w:val="20"/>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13" w:lineRule="exact"/>
        <w:rPr>
          <w:sz w:val="20"/>
          <w:szCs w:val="20"/>
          <w:color w:val="auto"/>
        </w:rPr>
      </w:pPr>
    </w:p>
    <w:p>
      <w:pPr>
        <w:ind w:right="40" w:firstLine="399"/>
        <w:spacing w:after="0" w:line="254" w:lineRule="auto"/>
        <w:rPr>
          <w:sz w:val="20"/>
          <w:szCs w:val="20"/>
          <w:color w:val="auto"/>
        </w:rPr>
      </w:pPr>
      <w:r>
        <w:rPr>
          <w:rFonts w:ascii="Times New Roman" w:cs="Times New Roman" w:eastAsia="Times New Roman" w:hAnsi="Times New Roman"/>
          <w:sz w:val="20"/>
          <w:szCs w:val="20"/>
          <w:color w:val="auto"/>
        </w:rPr>
        <w:t>These factors raise substantial doubt regarding our ability to continue as a going concern within one year after the date that the financial statements are issued.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166"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17"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On an ongoing basis, we evaluate our estimates and judgments, including those related to accrued expenses and stock-based compensation. We base our estimates on historical experience and on various other assumptions that we believe to be reasonable under the circumstances, the results of which form the basis for making judgments about the carrying values of assets and liabilities and the reported amounts of expenses that are not readily apparent from other sources. Actual results could differ from those estimates, particularly given the significant social and economic disruptions and uncertainties associated with the ongoing coronavirus pandemic and the COVID-19 control responses.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68" w:lineRule="exact"/>
        <w:rPr>
          <w:sz w:val="20"/>
          <w:szCs w:val="20"/>
          <w:color w:val="auto"/>
        </w:rPr>
      </w:pPr>
    </w:p>
    <w:p>
      <w:pPr>
        <w:ind w:right="20" w:firstLine="399"/>
        <w:spacing w:after="0" w:line="263" w:lineRule="auto"/>
        <w:rPr>
          <w:sz w:val="20"/>
          <w:szCs w:val="20"/>
          <w:color w:val="auto"/>
        </w:rPr>
      </w:pPr>
      <w:r>
        <w:rPr>
          <w:rFonts w:ascii="Times New Roman" w:cs="Times New Roman" w:eastAsia="Times New Roman" w:hAnsi="Times New Roman"/>
          <w:sz w:val="20"/>
          <w:szCs w:val="20"/>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 Construction in Progress</w:t>
      </w:r>
    </w:p>
    <w:p>
      <w:pPr>
        <w:spacing w:after="0" w:line="168" w:lineRule="exact"/>
        <w:rPr>
          <w:sz w:val="20"/>
          <w:szCs w:val="20"/>
          <w:color w:val="auto"/>
        </w:rPr>
      </w:pPr>
    </w:p>
    <w:p>
      <w:pPr>
        <w:ind w:right="60" w:firstLine="399"/>
        <w:spacing w:after="0" w:line="258" w:lineRule="auto"/>
        <w:rPr>
          <w:sz w:val="20"/>
          <w:szCs w:val="20"/>
          <w:color w:val="auto"/>
        </w:rPr>
      </w:pPr>
      <w:r>
        <w:rPr>
          <w:rFonts w:ascii="Times New Roman" w:cs="Times New Roman" w:eastAsia="Times New Roman" w:hAnsi="Times New Roman"/>
          <w:sz w:val="20"/>
          <w:szCs w:val="20"/>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w:t>
      </w:r>
    </w:p>
    <w:p>
      <w:pPr>
        <w:sectPr>
          <w:pgSz w:w="11880" w:h="15480" w:orient="portrait"/>
          <w:cols w:equalWidth="0" w:num="1">
            <w:col w:w="9100"/>
          </w:cols>
          <w:pgMar w:left="1400" w:top="1025" w:right="1380" w:bottom="70" w:gutter="0" w:footer="0" w:header="0"/>
        </w:sect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100"/>
          </w:cols>
          <w:pgMar w:left="1400" w:top="1025" w:right="1380" w:bottom="70" w:gutter="0" w:footer="0" w:header="0"/>
          <w:type w:val="continuous"/>
        </w:sectPr>
      </w:pPr>
    </w:p>
    <w:bookmarkStart w:id="87" w:name="page88"/>
    <w:bookmarkEnd w:id="87"/>
    <w:p>
      <w:pPr>
        <w:ind w:right="360"/>
        <w:spacing w:after="0" w:line="279" w:lineRule="auto"/>
        <w:rPr>
          <w:sz w:val="20"/>
          <w:szCs w:val="20"/>
          <w:color w:val="auto"/>
        </w:rPr>
      </w:pPr>
      <w:r>
        <w:rPr>
          <w:rFonts w:ascii="Times New Roman" w:cs="Times New Roman" w:eastAsia="Times New Roman" w:hAnsi="Times New Roman"/>
          <w:sz w:val="20"/>
          <w:szCs w:val="20"/>
          <w:color w:val="auto"/>
        </w:rPr>
        <w:t>with the buildout were recorded as either manufacturing equipment and/or leasehold improvements and amortized over the estimated useful life of the asset and/or leasehold lease.</w:t>
      </w:r>
    </w:p>
    <w:p>
      <w:pPr>
        <w:spacing w:after="0" w:line="9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During the third and fourth quarters of 2021, and in connection with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Upon completion and installation of the modular cleanroom in 2022, all costs associated with the buildout, including $1.9 million of costs incurred during the first quarter of 2022, were recorded as manufacturing equipment and amortized over the estimated useful life.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Testing of Long-Lived Assets and Right-Of-Use Assets</w:t>
      </w:r>
    </w:p>
    <w:p>
      <w:pPr>
        <w:spacing w:after="0" w:line="164"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Management reviews long-lived assets (including property and equipment) and right-of-use assets for assets under operating leases for impairment whenever events or changes in circumstances indicate that their carrying amount may not be recoverable. Recoverability of assets is determined by first grouping the long-lived assets at the lowest level for which there are identifiable cash flows, and then comparing the carrying value of each asset group to its forecasted undiscounted cash flows. If the evaluation of the forecasted cash flows indicates that the carrying value of the assets is not recoverable, an impairment charge is recognized for the amount in excess of the carrying amount over its fair value. The Company performed a test for recoverability related to its manufacturing facility in Houston, Texas at December 31, 2022 and concluded that the carrying value of its long-lived assets was recoverable.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64"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364" w:lineRule="exact"/>
        <w:rPr>
          <w:sz w:val="20"/>
          <w:szCs w:val="20"/>
          <w:color w:val="auto"/>
        </w:rPr>
      </w:pPr>
    </w:p>
    <w:p>
      <w:pPr>
        <w:ind w:left="38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The expected life of stock options was estimated using the “simplified method,”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has limited 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17" w:lineRule="exact"/>
        <w:rPr>
          <w:sz w:val="20"/>
          <w:szCs w:val="20"/>
          <w:color w:val="auto"/>
        </w:rPr>
      </w:pPr>
    </w:p>
    <w:p>
      <w:pPr>
        <w:ind w:left="380" w:right="200"/>
        <w:spacing w:after="0" w:line="282"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The Company computes stock price volatility over expected terms based on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historical common stock trading prices.</w:t>
      </w:r>
    </w:p>
    <w:p>
      <w:pPr>
        <w:spacing w:after="0" w:line="94" w:lineRule="exact"/>
        <w:rPr>
          <w:sz w:val="20"/>
          <w:szCs w:val="20"/>
          <w:color w:val="auto"/>
        </w:rPr>
      </w:pPr>
    </w:p>
    <w:p>
      <w:pPr>
        <w:ind w:left="380" w:right="140"/>
        <w:spacing w:after="0" w:line="282"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Company bases the risk-free interest rate on the implied yield available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U. S. Treasury zero-coupon issues with an equivalent remaining term.</w:t>
      </w:r>
    </w:p>
    <w:p>
      <w:pPr>
        <w:spacing w:after="0" w:line="94" w:lineRule="exact"/>
        <w:rPr>
          <w:sz w:val="20"/>
          <w:szCs w:val="20"/>
          <w:color w:val="auto"/>
        </w:rPr>
      </w:pPr>
    </w:p>
    <w:p>
      <w:pPr>
        <w:ind w:left="380"/>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Expected Dividend </w:t>
      </w:r>
      <w:r>
        <w:rPr>
          <w:rFonts w:ascii="Times New Roman" w:cs="Times New Roman" w:eastAsia="Times New Roman" w:hAnsi="Times New Roman"/>
          <w:sz w:val="20"/>
          <w:szCs w:val="20"/>
          <w:color w:val="auto"/>
        </w:rPr>
        <w:t>— The Company has never declared or paid any cash dividends on its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and does not plan to pay cash dividends in the foreseeable future, and, therefore, uses an expected dividend yield of zero in its valuation models.</w:t>
      </w:r>
    </w:p>
    <w:p>
      <w:pPr>
        <w:spacing w:after="0" w:line="113"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 Income</w:t>
      </w:r>
    </w:p>
    <w:p>
      <w:pPr>
        <w:spacing w:after="0" w:line="166"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w:t>
      </w:r>
    </w:p>
    <w:p>
      <w:pPr>
        <w:sectPr>
          <w:pgSz w:w="11880" w:h="15480" w:orient="portrait"/>
          <w:cols w:equalWidth="0" w:num="1">
            <w:col w:w="9100"/>
          </w:cols>
          <w:pgMar w:left="1400" w:top="1025" w:right="1380" w:bottom="71"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100"/>
          </w:cols>
          <w:pgMar w:left="1400" w:top="1025" w:right="1380" w:bottom="71"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control of goods or services. With respect to each grant or award, the Company determines if it has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collaboration in accordance with ASC Topic 808, Collaborative Arrangements (“ASC 808”). To the extent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 or award is within the scope of ASC 808, the Company recognizes the award upon achievement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milestones as credits to research and development expenses. For grant and awards outside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scope of ASC 808, the Company applies ASC 606 by analogy, and revenue is recognized when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incurs expenses related to the grants for the amount the Company is entitled to under the provisions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w:t>
      </w:r>
    </w:p>
    <w:p>
      <w:pPr>
        <w:spacing w:after="0" w:line="167" w:lineRule="exact"/>
        <w:rPr>
          <w:sz w:val="20"/>
          <w:szCs w:val="20"/>
          <w:color w:val="auto"/>
        </w:rPr>
      </w:pPr>
    </w:p>
    <w:p>
      <w:pPr>
        <w:ind w:right="160" w:firstLine="399"/>
        <w:spacing w:after="0" w:line="282" w:lineRule="auto"/>
        <w:rPr>
          <w:sz w:val="20"/>
          <w:szCs w:val="20"/>
          <w:color w:val="auto"/>
        </w:rPr>
      </w:pPr>
      <w:r>
        <w:rPr>
          <w:rFonts w:ascii="Times New Roman" w:cs="Times New Roman" w:eastAsia="Times New Roman" w:hAnsi="Times New Roman"/>
          <w:sz w:val="20"/>
          <w:szCs w:val="20"/>
          <w:color w:val="auto"/>
        </w:rPr>
        <w:t>In August 2021, we received notice of a Product Development Research award totaling approximately $13.1 million from CPRIT to support our Phase 2 clinical trial of MT-401.</w:t>
      </w:r>
    </w:p>
    <w:p>
      <w:pPr>
        <w:spacing w:after="0" w:line="94"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20"/>
          <w:szCs w:val="20"/>
          <w:color w:val="auto"/>
        </w:rPr>
        <w:t>The Company determined that the CPRIT Contract is not in the scope of ASC 808 or ASC 606. In accordance with ASC 730-20-25-8, the financial risk associated with the research and development has been transferred to CPRIT, because repayment of the grant depends solely on the results of research and development having future economic benefit. The Company accounts for this arrangement as a contract to perform research and development for others and applies ASC 606 by analogy.</w:t>
      </w:r>
    </w:p>
    <w:p>
      <w:pPr>
        <w:spacing w:after="0" w:line="120"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The Company recognizes grant income when amounts eligible for reimbursement are determinable and have been incurred, the applicable conditions under the grant arrangements have been met, and collectability of amounts due is reasonably assured or already 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During the fourth quarter of 2021, the Company received $2.4 million advancement of funds in relation to the CPRIT grant. The Company recorded $3.4 million of grant income related to the CPRIT grant as revenue for the year ended December 31, 2022. At December 31, 2022, the Company recorded $2.3 million of grant income receivable, which represented grant income earned in advance of the next tranche of funds to be received from CPRIT. In January 2023, the Company received $2.4 million from CPRIT.</w:t>
      </w:r>
    </w:p>
    <w:p>
      <w:pPr>
        <w:spacing w:after="0" w:line="135"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71"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20"/>
          <w:szCs w:val="20"/>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Loss and Credit Carryforwards</w:t>
      </w:r>
    </w:p>
    <w:p>
      <w:pPr>
        <w:spacing w:after="0" w:line="171"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As of December 31, 2022, we have approximately $135.2 million of federal and $38.5 million of state net operating loss carryforwards that may be available to offset future taxable income, if any. The federal net operating loss carryforwards of $41.6 million, if not utilized, will expire between 2029 and 2037. The federal net operating loss carryforwards of $93.6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$16.6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372" w:lineRule="exact"/>
        <w:rPr>
          <w:sz w:val="20"/>
          <w:szCs w:val="20"/>
          <w:color w:val="auto"/>
        </w:rPr>
      </w:pPr>
    </w:p>
    <w:p>
      <w:pPr>
        <w:ind w:right="440" w:firstLine="399"/>
        <w:spacing w:after="0" w:line="284" w:lineRule="auto"/>
        <w:rPr>
          <w:sz w:val="20"/>
          <w:szCs w:val="20"/>
          <w:color w:val="auto"/>
        </w:rPr>
      </w:pPr>
      <w:r>
        <w:rPr>
          <w:rFonts w:ascii="Times New Roman" w:cs="Times New Roman" w:eastAsia="Times New Roman" w:hAnsi="Times New Roman"/>
          <w:sz w:val="20"/>
          <w:szCs w:val="20"/>
          <w:color w:val="auto"/>
        </w:rPr>
        <w:t>At December 31, 2022 and 2021, we recorded a 100% valuation allowance against our deferred tax assets of approximately $41.4 million and $36.4 million, respectively, as our management believes it is</w:t>
      </w:r>
    </w:p>
    <w:p>
      <w:pPr>
        <w:sectPr>
          <w:pgSz w:w="11880" w:h="15480" w:orient="portrait"/>
          <w:cols w:equalWidth="0" w:num="1">
            <w:col w:w="9100"/>
          </w:cols>
          <w:pgMar w:left="1400" w:top="1025" w:right="1380" w:bottom="7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100"/>
          </w:cols>
          <w:pgMar w:left="1400" w:top="1025" w:right="1380" w:bottom="70" w:gutter="0" w:footer="0" w:header="0"/>
          <w:type w:val="continuous"/>
        </w:sectPr>
      </w:pPr>
    </w:p>
    <w:bookmarkStart w:id="89" w:name="page90"/>
    <w:bookmarkEnd w:id="89"/>
    <w:p>
      <w:pPr>
        <w:jc w:val="both"/>
        <w:ind w:left="10" w:right="40"/>
        <w:spacing w:after="0" w:line="262" w:lineRule="auto"/>
        <w:rPr>
          <w:sz w:val="20"/>
          <w:szCs w:val="20"/>
          <w:color w:val="auto"/>
        </w:rPr>
      </w:pPr>
      <w:r>
        <w:rPr>
          <w:rFonts w:ascii="Times New Roman" w:cs="Times New Roman" w:eastAsia="Times New Roman" w:hAnsi="Times New Roman"/>
          <w:sz w:val="20"/>
          <w:szCs w:val="20"/>
          <w:color w:val="auto"/>
        </w:rPr>
        <w:t>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67"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200" w:lineRule="exact"/>
        <w:rPr>
          <w:sz w:val="20"/>
          <w:szCs w:val="20"/>
          <w:color w:val="auto"/>
        </w:rPr>
      </w:pPr>
    </w:p>
    <w:p>
      <w:pPr>
        <w:spacing w:after="0" w:line="2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67" w:lineRule="exact"/>
        <w:rPr>
          <w:sz w:val="20"/>
          <w:szCs w:val="20"/>
          <w:color w:val="auto"/>
        </w:rPr>
      </w:pPr>
    </w:p>
    <w:p>
      <w:pPr>
        <w:ind w:left="10" w:right="740" w:firstLine="399"/>
        <w:spacing w:after="0" w:line="279"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174" w:lineRule="exact"/>
        <w:rPr>
          <w:sz w:val="20"/>
          <w:szCs w:val="20"/>
          <w:color w:val="auto"/>
        </w:rPr>
      </w:pPr>
    </w:p>
    <w:p>
      <w:pPr>
        <w:ind w:left="10"/>
        <w:spacing w:after="0"/>
        <w:tabs>
          <w:tab w:leader="none" w:pos="929" w:val="left"/>
        </w:tabs>
        <w:rPr>
          <w:sz w:val="20"/>
          <w:szCs w:val="20"/>
          <w:color w:val="auto"/>
        </w:rPr>
      </w:pPr>
      <w:r>
        <w:rPr>
          <w:rFonts w:ascii="Times New Roman" w:cs="Times New Roman" w:eastAsia="Times New Roman" w:hAnsi="Times New Roman"/>
          <w:sz w:val="20"/>
          <w:szCs w:val="20"/>
          <w:b w:val="1"/>
          <w:bCs w:val="1"/>
          <w:color w:val="auto"/>
        </w:rPr>
        <w:t>ITEM 8.</w:t>
        <w:tab/>
        <w:t>FINANCIAL STATEMENTS</w:t>
      </w:r>
    </w:p>
    <w:p>
      <w:pPr>
        <w:spacing w:after="0" w:line="167" w:lineRule="exact"/>
        <w:rPr>
          <w:sz w:val="20"/>
          <w:szCs w:val="20"/>
          <w:color w:val="auto"/>
        </w:rPr>
      </w:pPr>
    </w:p>
    <w:p>
      <w:pPr>
        <w:ind w:left="10" w:right="200" w:firstLine="399"/>
        <w:spacing w:after="0" w:line="279" w:lineRule="auto"/>
        <w:rPr>
          <w:sz w:val="20"/>
          <w:szCs w:val="20"/>
          <w:color w:val="auto"/>
        </w:rPr>
      </w:pPr>
      <w:r>
        <w:rPr>
          <w:rFonts w:ascii="Times New Roman" w:cs="Times New Roman" w:eastAsia="Times New Roman" w:hAnsi="Times New Roman"/>
          <w:sz w:val="20"/>
          <w:szCs w:val="20"/>
          <w:color w:val="auto"/>
        </w:rPr>
        <w:t>The Financial Statements are incorporated herein by reference to pages F-1 to F-25 at the end of this report and the supplementary data is not applicable.</w:t>
      </w:r>
    </w:p>
    <w:p>
      <w:pPr>
        <w:spacing w:after="0" w:line="174" w:lineRule="exact"/>
        <w:rPr>
          <w:sz w:val="20"/>
          <w:szCs w:val="20"/>
          <w:color w:val="auto"/>
        </w:rPr>
      </w:pPr>
    </w:p>
    <w:p>
      <w:pPr>
        <w:ind w:left="950" w:right="460" w:hanging="957"/>
        <w:spacing w:after="0" w:line="271" w:lineRule="auto"/>
        <w:tabs>
          <w:tab w:leader="none" w:pos="929"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1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We have had no changes in, or disagreements with our principal independent accountants.</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67" w:lineRule="exact"/>
        <w:rPr>
          <w:sz w:val="20"/>
          <w:szCs w:val="20"/>
          <w:color w:val="auto"/>
        </w:rPr>
      </w:pPr>
    </w:p>
    <w:p>
      <w:pPr>
        <w:ind w:left="10" w:firstLine="399"/>
        <w:spacing w:after="0" w:line="247" w:lineRule="auto"/>
        <w:rPr>
          <w:sz w:val="20"/>
          <w:szCs w:val="20"/>
          <w:color w:val="auto"/>
        </w:rPr>
      </w:pPr>
      <w:r>
        <w:rPr>
          <w:rFonts w:ascii="Times New Roman" w:cs="Times New Roman" w:eastAsia="Times New Roman" w:hAnsi="Times New Roman"/>
          <w:sz w:val="20"/>
          <w:szCs w:val="20"/>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2022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2022. Based on that evaluation, our principal executive officer and principal financial officer concluded that our disclosure controls and procedures were effective as of December 31, 2022 to provide reasonable assurance that the information required to be disclosed by us in this Annual Report was (a) reported within the time periods specified by SEC rules and regulations and</w:t>
      </w:r>
    </w:p>
    <w:p>
      <w:pPr>
        <w:spacing w:after="0" w:line="6" w:lineRule="exact"/>
        <w:rPr>
          <w:sz w:val="20"/>
          <w:szCs w:val="20"/>
          <w:color w:val="auto"/>
        </w:rPr>
      </w:pPr>
    </w:p>
    <w:p>
      <w:pPr>
        <w:ind w:left="10" w:hanging="10"/>
        <w:spacing w:after="0" w:line="282" w:lineRule="auto"/>
        <w:tabs>
          <w:tab w:leader="none" w:pos="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communicated to our management, including our Chief Executive Officer and Chief Accounting Officer, to allow timely decisions regarding any required disclosure.</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69" w:lineRule="exact"/>
        <w:rPr>
          <w:sz w:val="20"/>
          <w:szCs w:val="20"/>
          <w:color w:val="auto"/>
        </w:rPr>
      </w:pPr>
    </w:p>
    <w:p>
      <w:pPr>
        <w:ind w:left="10" w:right="240" w:firstLine="399"/>
        <w:spacing w:after="0" w:line="25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w:t>
      </w:r>
    </w:p>
    <w:p>
      <w:pPr>
        <w:sectPr>
          <w:pgSz w:w="11880" w:h="15480" w:orient="portrait"/>
          <w:cols w:equalWidth="0" w:num="1">
            <w:col w:w="9110"/>
          </w:cols>
          <w:pgMar w:left="1390" w:top="1025" w:right="1380" w:bottom="71" w:gutter="0" w:footer="0" w:header="0"/>
        </w:sectPr>
      </w:pPr>
    </w:p>
    <w:p>
      <w:pPr>
        <w:spacing w:after="0" w:line="27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110"/>
          </w:cols>
          <w:pgMar w:left="1390" w:top="1025" w:right="1380" w:bottom="71" w:gutter="0" w:footer="0" w:header="0"/>
          <w:type w:val="continuous"/>
        </w:sectPr>
      </w:pPr>
    </w:p>
    <w:bookmarkStart w:id="90" w:name="page91"/>
    <w:bookmarkEnd w:id="90"/>
    <w:p>
      <w:pPr>
        <w:ind w:right="360"/>
        <w:spacing w:after="0" w:line="261" w:lineRule="auto"/>
        <w:rPr>
          <w:sz w:val="20"/>
          <w:szCs w:val="20"/>
          <w:color w:val="auto"/>
        </w:rPr>
      </w:pPr>
      <w:r>
        <w:rPr>
          <w:rFonts w:ascii="Times New Roman" w:cs="Times New Roman" w:eastAsia="Times New Roman" w:hAnsi="Times New Roman"/>
          <w:sz w:val="20"/>
          <w:szCs w:val="20"/>
          <w:color w:val="auto"/>
        </w:rPr>
        <w:t>control over financial reporting as of December 31, 2022 based on the framework in Internal Control — Integrated Framework 2013 issued by the Committee of Sponsoring Organizations of the Treadway Commission (COSO). Based on that evaluation, our management concluded that our internal control over financial reporting was effective as of December 31,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w:t>
      </w:r>
    </w:p>
    <w:p>
      <w:pPr>
        <w:spacing w:after="0" w:line="171"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20"/>
          <w:szCs w:val="20"/>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11" w:lineRule="exact"/>
        <w:rPr>
          <w:sz w:val="20"/>
          <w:szCs w:val="20"/>
          <w:color w:val="auto"/>
        </w:rPr>
      </w:pPr>
    </w:p>
    <w:p>
      <w:pPr>
        <w:ind w:right="60" w:firstLine="399"/>
        <w:spacing w:after="0" w:line="267" w:lineRule="auto"/>
        <w:rPr>
          <w:sz w:val="20"/>
          <w:szCs w:val="20"/>
          <w:color w:val="auto"/>
        </w:rPr>
      </w:pPr>
      <w:r>
        <w:rPr>
          <w:rFonts w:ascii="Times New Roman" w:cs="Times New Roman" w:eastAsia="Times New Roman" w:hAnsi="Times New Roman"/>
          <w:sz w:val="20"/>
          <w:szCs w:val="20"/>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11" w:lineRule="exact"/>
        <w:rPr>
          <w:sz w:val="20"/>
          <w:szCs w:val="20"/>
          <w:color w:val="auto"/>
        </w:rPr>
      </w:pPr>
    </w:p>
    <w:p>
      <w:pPr>
        <w:ind w:right="360" w:firstLine="399"/>
        <w:spacing w:after="0" w:line="267" w:lineRule="auto"/>
        <w:rPr>
          <w:sz w:val="20"/>
          <w:szCs w:val="20"/>
          <w:color w:val="auto"/>
        </w:rPr>
      </w:pPr>
      <w:r>
        <w:rPr>
          <w:rFonts w:ascii="Times New Roman" w:cs="Times New Roman" w:eastAsia="Times New Roman" w:hAnsi="Times New Roman"/>
          <w:sz w:val="20"/>
          <w:szCs w:val="20"/>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71" w:lineRule="exact"/>
        <w:rPr>
          <w:sz w:val="20"/>
          <w:szCs w:val="20"/>
          <w:color w:val="auto"/>
        </w:rPr>
      </w:pPr>
    </w:p>
    <w:p>
      <w:pPr>
        <w:ind w:right="220" w:firstLine="399"/>
        <w:spacing w:after="0" w:line="267"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Exchange Act Rules 13a-15(f) and 15d-15(f)) during the fiscal quarter ended December 31, 2022 that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Internal Controls</w:t>
      </w:r>
    </w:p>
    <w:p>
      <w:pPr>
        <w:spacing w:after="0" w:line="171"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9B.</w:t>
        <w:tab/>
        <w:t>OTHER INFORMATION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247" w:lineRule="exact"/>
        <w:rPr>
          <w:sz w:val="20"/>
          <w:szCs w:val="20"/>
          <w:color w:val="auto"/>
        </w:rPr>
      </w:pPr>
    </w:p>
    <w:p>
      <w:pPr>
        <w:ind w:left="1040" w:right="1100" w:hanging="1057"/>
        <w:spacing w:after="0" w:line="275" w:lineRule="auto"/>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9C.</w:t>
        <w:tab/>
        <w:t>DISCLOSURE REGARDING FOREIGN JURISDICTIONS THAT PREVENT INSPECTIONS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100"/>
          </w:cols>
          <w:pgMar w:left="1400" w:top="1025" w:right="1380" w:bottom="7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1" w:lineRule="exact"/>
        <w:rPr>
          <w:sz w:val="20"/>
          <w:szCs w:val="20"/>
          <w:color w:val="auto"/>
        </w:rPr>
      </w:pPr>
    </w:p>
    <w:p>
      <w:pPr>
        <w:ind w:right="60" w:firstLine="399"/>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and not set forth below will be set forth in the sections headed “Election of Directors,” “Executive Officers” and “Delinquent Section 16(a) Reports” in our definitive proxy statement for our 2022 Annual Meeting of Stockholders, or our Proxy Statement, to be filed with the SEC within 120 days after the end of the fiscal year ended December 31, 2022 and is incorporated herein by reference.</w:t>
      </w:r>
    </w:p>
    <w:p>
      <w:pPr>
        <w:spacing w:after="0" w:line="364"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1" w:lineRule="exact"/>
        <w:rPr>
          <w:sz w:val="20"/>
          <w:szCs w:val="20"/>
          <w:color w:val="auto"/>
        </w:rPr>
      </w:pPr>
    </w:p>
    <w:p>
      <w:pPr>
        <w:ind w:firstLine="399"/>
        <w:spacing w:after="0" w:line="28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section headed “Executive Compensation” in our Proxy Statement and is incorporated herein by reference.</w:t>
      </w:r>
    </w:p>
    <w:p>
      <w:pPr>
        <w:spacing w:after="0" w:line="172" w:lineRule="exact"/>
        <w:rPr>
          <w:sz w:val="20"/>
          <w:szCs w:val="20"/>
          <w:color w:val="auto"/>
        </w:rPr>
      </w:pPr>
    </w:p>
    <w:p>
      <w:pPr>
        <w:ind w:left="940" w:right="160" w:hanging="957"/>
        <w:spacing w:after="0" w:line="275"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4" w:lineRule="exact"/>
        <w:rPr>
          <w:sz w:val="20"/>
          <w:szCs w:val="20"/>
          <w:color w:val="auto"/>
        </w:rPr>
      </w:pPr>
    </w:p>
    <w:p>
      <w:pPr>
        <w:ind w:right="80" w:firstLine="399"/>
        <w:spacing w:after="0" w:line="267"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spacing w:after="0" w:line="111"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spacing w:after="0" w:line="188" w:lineRule="exact"/>
        <w:rPr>
          <w:sz w:val="20"/>
          <w:szCs w:val="20"/>
          <w:color w:val="auto"/>
        </w:rPr>
      </w:pPr>
    </w:p>
    <w:p>
      <w:pPr>
        <w:ind w:left="940" w:right="680" w:hanging="957"/>
        <w:spacing w:after="0" w:line="275"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14" w:lineRule="exact"/>
        <w:rPr>
          <w:sz w:val="20"/>
          <w:szCs w:val="20"/>
          <w:color w:val="auto"/>
        </w:rPr>
      </w:pPr>
    </w:p>
    <w:p>
      <w:pPr>
        <w:ind w:right="140" w:firstLine="399"/>
        <w:spacing w:after="0" w:line="267"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71" w:lineRule="exact"/>
        <w:rPr>
          <w:sz w:val="20"/>
          <w:szCs w:val="20"/>
          <w:color w:val="auto"/>
        </w:rPr>
      </w:pPr>
    </w:p>
    <w:p>
      <w:pPr>
        <w:ind w:right="380" w:firstLine="399"/>
        <w:spacing w:after="0" w:line="28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section headed “Principal Accountant Fees and Services” in our Proxy Statement and is incorporated herein by reference.</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100"/>
          </w:cols>
          <w:pgMar w:left="1400" w:top="1023" w:right="1380" w:bottom="70" w:gutter="0" w:footer="0" w:header="0"/>
          <w:type w:val="continuous"/>
        </w:sectPr>
      </w:pPr>
    </w:p>
    <w:bookmarkStart w:id="92" w:name="page93"/>
    <w:bookmarkEnd w:id="92"/>
    <w:p>
      <w:pPr>
        <w:ind w:left="4140"/>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16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15.</w:t>
        <w:tab/>
        <w:t>EXHIBITS, FINANCIAL STATEMENT SCHEDULES</w:t>
      </w:r>
    </w:p>
    <w:p>
      <w:pPr>
        <w:spacing w:after="0" w:line="114" w:lineRule="exact"/>
        <w:rPr>
          <w:sz w:val="20"/>
          <w:szCs w:val="20"/>
          <w:color w:val="auto"/>
        </w:rPr>
      </w:pPr>
    </w:p>
    <w:p>
      <w:pPr>
        <w:ind w:left="780" w:hanging="391"/>
        <w:spacing w:after="0"/>
        <w:tabs>
          <w:tab w:leader="none" w:pos="7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filed as part of this report are as follows:</w:t>
      </w:r>
    </w:p>
    <w:p>
      <w:pPr>
        <w:spacing w:after="0" w:line="159" w:lineRule="exact"/>
        <w:rPr>
          <w:rFonts w:ascii="Times New Roman" w:cs="Times New Roman" w:eastAsia="Times New Roman" w:hAnsi="Times New Roman"/>
          <w:sz w:val="20"/>
          <w:szCs w:val="20"/>
          <w:color w:val="auto"/>
        </w:rPr>
      </w:pPr>
    </w:p>
    <w:p>
      <w:pPr>
        <w:ind w:left="380" w:firstLine="408"/>
        <w:spacing w:after="0" w:line="273" w:lineRule="auto"/>
        <w:tabs>
          <w:tab w:leader="none" w:pos="113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statements and accompanying report of independent registered public accounting firm are set forth immediately following the signature page of this report on pages F-1 through F-25.</w:t>
      </w:r>
    </w:p>
    <w:p>
      <w:pPr>
        <w:spacing w:after="0" w:line="95" w:lineRule="exact"/>
        <w:rPr>
          <w:rFonts w:ascii="Times New Roman" w:cs="Times New Roman" w:eastAsia="Times New Roman" w:hAnsi="Times New Roman"/>
          <w:sz w:val="20"/>
          <w:szCs w:val="20"/>
          <w:color w:val="auto"/>
        </w:rPr>
      </w:pPr>
    </w:p>
    <w:p>
      <w:pPr>
        <w:ind w:left="380" w:right="300" w:firstLine="408"/>
        <w:spacing w:after="0" w:line="273" w:lineRule="auto"/>
        <w:tabs>
          <w:tab w:leader="none" w:pos="113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are omitted because they are inapplicable, not required or the information is included elsewhere in the financial statements or the notes thereto.</w:t>
      </w:r>
    </w:p>
    <w:p>
      <w:pPr>
        <w:spacing w:after="0" w:line="95" w:lineRule="exact"/>
        <w:rPr>
          <w:rFonts w:ascii="Times New Roman" w:cs="Times New Roman" w:eastAsia="Times New Roman" w:hAnsi="Times New Roman"/>
          <w:sz w:val="20"/>
          <w:szCs w:val="20"/>
          <w:color w:val="auto"/>
        </w:rPr>
      </w:pPr>
    </w:p>
    <w:p>
      <w:pPr>
        <w:ind w:left="1140" w:hanging="352"/>
        <w:spacing w:after="0"/>
        <w:tabs>
          <w:tab w:leader="none" w:pos="11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is a list of exhibits filed as part of this Annual Report on Form 10-K.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Incorporated by Reference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78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4"/>
              </w:rPr>
              <w:t>Filing</w:t>
            </w:r>
          </w:p>
        </w:tc>
        <w:tc>
          <w:tcPr>
            <w:tcW w:w="140" w:type="dxa"/>
            <w:vAlign w:val="bottom"/>
          </w:tcPr>
          <w:p>
            <w:pPr>
              <w:spacing w:after="0"/>
              <w:rPr>
                <w:sz w:val="15"/>
                <w:szCs w:val="15"/>
                <w:color w:val="auto"/>
              </w:rPr>
            </w:pPr>
          </w:p>
        </w:tc>
        <w:tc>
          <w:tcPr>
            <w:tcW w:w="8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5"/>
        </w:trPr>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40" w:type="dxa"/>
            <w:vAlign w:val="bottom"/>
          </w:tcPr>
          <w:p>
            <w:pPr>
              <w:spacing w:after="0"/>
              <w:rPr>
                <w:sz w:val="17"/>
                <w:szCs w:val="17"/>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40" w:type="dxa"/>
            <w:vAlign w:val="bottom"/>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herewith</w:t>
            </w:r>
          </w:p>
        </w:tc>
      </w:tr>
      <w:tr>
        <w:trPr>
          <w:trHeight w:val="248"/>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Incorporation</w:t>
            </w:r>
          </w:p>
        </w:tc>
        <w:tc>
          <w:tcPr>
            <w:tcW w:w="140" w:type="dxa"/>
            <w:vAlign w:val="bottom"/>
          </w:tcPr>
          <w:p>
            <w:pPr>
              <w:spacing w:after="0"/>
              <w:rPr>
                <w:sz w:val="21"/>
                <w:szCs w:val="2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3.4</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10/17/18</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3.2</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Amendment to</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5/27/22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Incorporation of Marker</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Therapeutics, Inc.</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Amendment to</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1/26/23</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Incorporation of Marker</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Therapeutics, Inc.</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3.4</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Bylaws of Marker Therapeutics, Inc.</w:t>
            </w:r>
          </w:p>
        </w:tc>
        <w:tc>
          <w:tcPr>
            <w:tcW w:w="140" w:type="dxa"/>
            <w:vAlign w:val="bottom"/>
          </w:tcPr>
          <w:p>
            <w:pPr>
              <w:spacing w:after="0"/>
              <w:rPr>
                <w:sz w:val="21"/>
                <w:szCs w:val="2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3.6</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10/17/18</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Common Stock Certificate of</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8-A/A</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10/17/18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Marker Therapeutics, Inc.</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4.24</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Marker Warrant</w:t>
            </w:r>
          </w:p>
        </w:tc>
        <w:tc>
          <w:tcPr>
            <w:tcW w:w="140" w:type="dxa"/>
            <w:vAlign w:val="bottom"/>
          </w:tcPr>
          <w:p>
            <w:pPr>
              <w:spacing w:after="0"/>
              <w:rPr>
                <w:sz w:val="21"/>
                <w:szCs w:val="2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5/15/18</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4.25</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Description of Common Stock of</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4.25</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3/12/20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Marker Therapeutics, Inc.</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Restructuring Agreement</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6/3/15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dated May 28, 2015</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Amended and Restated Restructuring</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6/5/15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Agreement, dated as of June 2, 2015</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Securities Purchase</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6/8/18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Agreement (including registration</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rights)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Registration Rights Agreement</w:t>
            </w:r>
          </w:p>
        </w:tc>
        <w:tc>
          <w:tcPr>
            <w:tcW w:w="140" w:type="dxa"/>
            <w:vAlign w:val="bottom"/>
          </w:tcPr>
          <w:p>
            <w:pPr>
              <w:spacing w:after="0"/>
              <w:rPr>
                <w:sz w:val="21"/>
                <w:szCs w:val="2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5/15/18</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10.5</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Exclusive License Agreement between</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3/15/19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Baylor College of Medicine and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Marker Therapeutics, Inc. dated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March 16, 2018***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10.6</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Sponsored Research Contract between</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3/15/19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Baylor College of Medicine and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Marker Therapeutics, Inc. dated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November 16, 2018***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10.7</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2009 Stock Incentive Plan*</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DEF14-C</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000-27239</w:t>
            </w:r>
          </w:p>
        </w:tc>
        <w:tc>
          <w:tcPr>
            <w:tcW w:w="1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1/29/10</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10.8</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2014 Omnibus Stock Ownership Plan,</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9/5/17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as amended through August 29, 2017*</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10.9</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Amendment to 2014 Omnibus Stock</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4.4</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10/17/18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Ownership Plan, as amended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10.10</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Stock Option Award</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10/23/18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Agreement – Employee*</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10.11</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Stock Option Award</w:t>
            </w: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333-228056</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10/30/18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3"/>
        </w:trPr>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Agreement – Non-Employee Director*</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100"/>
          </w:cols>
          <w:pgMar w:left="1400" w:top="1023" w:right="1380" w:bottom="70" w:gutter="0" w:footer="0" w:header="0"/>
        </w:sect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100"/>
          </w:cols>
          <w:pgMar w:left="1400" w:top="1023" w:right="1380" w:bottom="7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Incorporated by Reference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78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4"/>
              </w:rPr>
              <w:t>Filing</w:t>
            </w:r>
          </w:p>
        </w:tc>
        <w:tc>
          <w:tcPr>
            <w:tcW w:w="140" w:type="dxa"/>
            <w:vAlign w:val="bottom"/>
          </w:tcPr>
          <w:p>
            <w:pPr>
              <w:spacing w:after="0"/>
              <w:rPr>
                <w:sz w:val="15"/>
                <w:szCs w:val="15"/>
                <w:color w:val="auto"/>
              </w:rPr>
            </w:pPr>
          </w:p>
        </w:tc>
        <w:tc>
          <w:tcPr>
            <w:tcW w:w="8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5"/>
        </w:trPr>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40" w:type="dxa"/>
            <w:vAlign w:val="bottom"/>
          </w:tcPr>
          <w:p>
            <w:pPr>
              <w:spacing w:after="0"/>
              <w:rPr>
                <w:sz w:val="17"/>
                <w:szCs w:val="17"/>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40" w:type="dxa"/>
            <w:vAlign w:val="bottom"/>
          </w:tcPr>
          <w:p>
            <w:pPr>
              <w:spacing w:after="0"/>
              <w:rPr>
                <w:sz w:val="17"/>
                <w:szCs w:val="17"/>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herewith</w:t>
            </w:r>
          </w:p>
        </w:tc>
      </w:tr>
      <w:tr>
        <w:trPr>
          <w:trHeight w:val="238"/>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10.12</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Stock Option Award</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10/23/18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 – Consultant*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10.13</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Restricted Stock Award</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10.7</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11/16/15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 – Consultant*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between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9/25/17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TapImmune Inc. and Peter Hoang</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as of September 22, 2017*</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by and</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8/25/16</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TapImmune Inc. and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J. Loiacono dated as of</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25, 2016*</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Employment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12/3/18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between Marker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and Michael J.</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Loiacono dated as of November 27,</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2018*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between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12/3/18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Marker Therapeutics, Inc. and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Anthony Kim dated as of</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27, 2018*</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Consulting Agreement between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10/23/18</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 Juan Vera and Marker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dated October 19,</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2018*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Director and Officer</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10.39</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3/15/19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Indemnification Agreement*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Employment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10.40</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3/15/19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between Marker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and Peter Hoang,</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March 14, 2019*</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between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5/10/19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Marker Therapeutics, Inc. and Mythili</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Koneru, dated February 6, 2019.*</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Marker Therapeutics, Inc. 2020 Equity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S-8</w:t>
            </w:r>
          </w:p>
        </w:tc>
        <w:tc>
          <w:tcPr>
            <w:tcW w:w="13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333-239136</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99.1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6/12/20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Stock Option Grant Notice</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11/9/20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Stock Option Agreement under the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Marker Therapeutics, Inc. 2020 Equity</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Restricted Stock Unit Grant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11/9/20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and Restricted Stock Unit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Award Agreement under the Marker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2020 Equity</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Common Stock Purchase</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8/14/14</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4.6</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1/12/15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 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3"/>
        </w:trPr>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Series A</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100"/>
          </w:cols>
          <w:pgMar w:left="1400" w:top="1021"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100"/>
          </w:cols>
          <w:pgMar w:left="1400" w:top="1021" w:right="1380" w:bottom="7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Incorporated by Reference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78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4"/>
              </w:rPr>
              <w:t>Filing</w:t>
            </w:r>
          </w:p>
        </w:tc>
        <w:tc>
          <w:tcPr>
            <w:tcW w:w="140" w:type="dxa"/>
            <w:vAlign w:val="bottom"/>
          </w:tcPr>
          <w:p>
            <w:pPr>
              <w:spacing w:after="0"/>
              <w:rPr>
                <w:sz w:val="15"/>
                <w:szCs w:val="15"/>
                <w:color w:val="auto"/>
              </w:rPr>
            </w:pPr>
          </w:p>
        </w:tc>
        <w:tc>
          <w:tcPr>
            <w:tcW w:w="8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5"/>
        </w:trPr>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File no.</w:t>
            </w:r>
          </w:p>
        </w:tc>
        <w:tc>
          <w:tcPr>
            <w:tcW w:w="140" w:type="dxa"/>
            <w:vAlign w:val="bottom"/>
          </w:tcPr>
          <w:p>
            <w:pPr>
              <w:spacing w:after="0"/>
              <w:rPr>
                <w:sz w:val="17"/>
                <w:szCs w:val="17"/>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herewith</w:t>
            </w:r>
          </w:p>
        </w:tc>
      </w:tr>
      <w:tr>
        <w:trPr>
          <w:trHeight w:val="238"/>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10.27</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4.8</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1/12/15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Common Stock Purchase 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Series C</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10.28</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4.9</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1/12/15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Common Stock Purchase 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Series D</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10.29</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4.10</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1/12/15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Common Stock Purchase 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Series E</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10.30</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4.6</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3/10/15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Common Stock Purchase 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Series A-1</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4.10</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3/10/15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Common Stock Purchase 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Series E-1</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10.32</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Amended Series A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10.33</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Amended Series C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4.3</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10.34</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Amended Series D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4.4</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10.35</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Amended Series E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4.5</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10.36</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Amended Series A-1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4.6</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10.37</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Amended Series D-1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4.7</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10.38</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Series F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4.9</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10.39</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Series F-1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4.10</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10.40</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August 2016 Private</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Placement Warrant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2016 Private Placement Agent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4.11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Warrant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10.42</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June 2017 Private Placement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6/22/17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Warrant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10.43</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2017 Private Placement Agent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6/22/17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Warrant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10.44</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Warrant Amendment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000-27239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8/11/16</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 August 2016 Private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Placement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10.45</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Warrant Exercise Agreement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6/22/17</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10.46</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Private Placement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6/8/18</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10.47</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Private Placement Warrant</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001-37393</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6/8/18</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10.48</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Services Agreement, between Wilson</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4/26/22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Wolf Manufacturing Corporation and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Marker Therapeutics, Inc., effective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April 12, 2022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10.49</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Purchase Agreement, by and between</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001-37939</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12/13/22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Marker Therapeutics, Inc. and Lincoln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Park Capital Fund, LLC, dated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December 12, 2022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10.50</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Registration Rights Agreement, by and</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001-37393</w:t>
            </w: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9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12/13/22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between Marker Therapeutics, Inc. and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Lincoln Park Capital Fund, LLC dated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December 12, 2022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3"/>
        </w:trPr>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List of Subsidiaries</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bl>
    <w:p>
      <w:pPr>
        <w:spacing w:after="0" w:line="200" w:lineRule="exact"/>
        <w:rPr>
          <w:sz w:val="20"/>
          <w:szCs w:val="20"/>
          <w:color w:val="auto"/>
        </w:rPr>
      </w:pPr>
    </w:p>
    <w:p>
      <w:pPr>
        <w:sectPr>
          <w:pgSz w:w="11880" w:h="15480" w:orient="portrait"/>
          <w:cols w:equalWidth="0" w:num="1">
            <w:col w:w="9100"/>
          </w:cols>
          <w:pgMar w:left="1400" w:top="1021" w:right="1380" w:bottom="7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100"/>
          </w:cols>
          <w:pgMar w:left="1400" w:top="1021" w:right="1380" w:bottom="7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Incorporated by Reference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80" w:type="dxa"/>
            <w:vAlign w:val="bottom"/>
          </w:tcPr>
          <w:p>
            <w:pPr>
              <w:spacing w:after="0"/>
              <w:rPr>
                <w:sz w:val="15"/>
                <w:szCs w:val="15"/>
                <w:color w:val="auto"/>
              </w:rPr>
            </w:pPr>
          </w:p>
        </w:tc>
        <w:tc>
          <w:tcPr>
            <w:tcW w:w="78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4"/>
              </w:rPr>
              <w:t>Filing</w:t>
            </w:r>
          </w:p>
        </w:tc>
        <w:tc>
          <w:tcPr>
            <w:tcW w:w="140" w:type="dxa"/>
            <w:vAlign w:val="bottom"/>
          </w:tcPr>
          <w:p>
            <w:pPr>
              <w:spacing w:after="0"/>
              <w:rPr>
                <w:sz w:val="15"/>
                <w:szCs w:val="15"/>
                <w:color w:val="auto"/>
              </w:rPr>
            </w:pPr>
          </w:p>
        </w:tc>
        <w:tc>
          <w:tcPr>
            <w:tcW w:w="8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5"/>
        </w:trPr>
        <w:tc>
          <w:tcPr>
            <w:tcW w:w="80" w:type="dxa"/>
            <w:vAlign w:val="bottom"/>
          </w:tcPr>
          <w:p>
            <w:pPr>
              <w:spacing w:after="0"/>
              <w:rPr>
                <w:sz w:val="17"/>
                <w:szCs w:val="17"/>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40" w:type="dxa"/>
            <w:vAlign w:val="bottom"/>
          </w:tcPr>
          <w:p>
            <w:pPr>
              <w:spacing w:after="0"/>
              <w:rPr>
                <w:sz w:val="17"/>
                <w:szCs w:val="17"/>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40" w:type="dxa"/>
            <w:vAlign w:val="bottom"/>
          </w:tcPr>
          <w:p>
            <w:pPr>
              <w:spacing w:after="0"/>
              <w:rPr>
                <w:sz w:val="17"/>
                <w:szCs w:val="17"/>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herewith</w:t>
            </w:r>
          </w:p>
        </w:tc>
      </w:tr>
      <w:tr>
        <w:trPr>
          <w:trHeight w:val="238"/>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Consent of Marcum LLP, an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independent public accounting firm.</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24.1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Powers of Attorney (included on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signature page)</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31.1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Certification of Chief Executive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Officer pursuant to Securities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Exchange Act of 1934 Rule 13a-14(a)</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or 15d-14a</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31.2</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Certification of Chief Financial Officer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pursuant to Securities Exchange Act of</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1934 Rule 13a-14(a) or 15d-14a</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32.1</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Certification of Chief Executive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Officer pursuant to 18 U. S. C.</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Section 1350 as adopted pursuant to</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Section 906 of the Sarbanes-Oxley Act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 2002#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32.2</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Certification of Chief Financial Officer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pursuant to 18 U. S. C. Section 1350 as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9"/>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adopted pursuant to Section 906 of the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Sarbanes-Oxley Act of 2002#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101.INS</w:t>
            </w:r>
          </w:p>
        </w:tc>
        <w:tc>
          <w:tcPr>
            <w:tcW w:w="6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101.SCH</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XBRL Taxonomy Extension Schema</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Document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101.CAL</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XBRL Taxonomy Extension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Calculation Linkbase Document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101.DEF</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XBRL Taxonomy Extension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Definition Linkbase Document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101.LAB</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XBRL Taxonomy Extension Label</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Linkbase Document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101.PRE</w:t>
            </w:r>
          </w:p>
        </w:tc>
        <w:tc>
          <w:tcPr>
            <w:tcW w:w="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XBRL Taxonomy Extension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49"/>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Presentation Linkbase Document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ind w:left="920" w:right="4900" w:hanging="431"/>
        <w:spacing w:after="0" w:line="267" w:lineRule="auto"/>
        <w:tabs>
          <w:tab w:leader="none" w:pos="9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 filed herewith)</w:t>
      </w:r>
    </w:p>
    <w:p>
      <w:pPr>
        <w:spacing w:after="0" w:line="329" w:lineRule="exact"/>
        <w:rPr>
          <w:rFonts w:ascii="Times New Roman" w:cs="Times New Roman" w:eastAsia="Times New Roman" w:hAnsi="Times New Roman"/>
          <w:sz w:val="20"/>
          <w:szCs w:val="20"/>
          <w:color w:val="auto"/>
        </w:rPr>
      </w:pPr>
    </w:p>
    <w:p>
      <w:pPr>
        <w:ind w:left="460" w:hanging="390"/>
        <w:spacing w:after="0"/>
        <w:tabs>
          <w:tab w:leader="none" w:pos="4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management contract or compensatory plan or arrangement.</w:t>
      </w:r>
    </w:p>
    <w:p>
      <w:pPr>
        <w:spacing w:after="0" w:line="89" w:lineRule="exact"/>
        <w:rPr>
          <w:rFonts w:ascii="Times New Roman" w:cs="Times New Roman" w:eastAsia="Times New Roman" w:hAnsi="Times New Roman"/>
          <w:sz w:val="20"/>
          <w:szCs w:val="20"/>
          <w:color w:val="auto"/>
        </w:rPr>
      </w:pPr>
    </w:p>
    <w:p>
      <w:pPr>
        <w:ind w:left="460" w:right="160" w:hanging="390"/>
        <w:spacing w:after="0" w:line="276" w:lineRule="auto"/>
        <w:tabs>
          <w:tab w:leader="none" w:pos="4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as to certain portions of this exhibit pursuant to Rule 406 of the Securities Act of 1933, as amended, or Rule 24b-2 of the Securities Exchange Act of 1934, as amended.</w:t>
      </w:r>
    </w:p>
    <w:p>
      <w:pPr>
        <w:spacing w:after="0" w:line="269" w:lineRule="exact"/>
        <w:rPr>
          <w:rFonts w:ascii="Times New Roman" w:cs="Times New Roman" w:eastAsia="Times New Roman" w:hAnsi="Times New Roman"/>
          <w:sz w:val="20"/>
          <w:szCs w:val="20"/>
          <w:color w:val="auto"/>
        </w:rPr>
      </w:pPr>
    </w:p>
    <w:p>
      <w:pPr>
        <w:ind w:left="460" w:right="40" w:hanging="390"/>
        <w:spacing w:after="0" w:line="284" w:lineRule="auto"/>
        <w:tabs>
          <w:tab w:leader="none" w:pos="4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(indicated by asterisks) have been omitted pursuant to a request for conditional treatment and this exhibit has been submitted separately with the SEC.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44450</wp:posOffset>
                </wp:positionH>
                <wp:positionV relativeFrom="paragraph">
                  <wp:posOffset>-1134745</wp:posOffset>
                </wp:positionV>
                <wp:extent cx="13684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pt,-89.3499pt" to="111.25pt,-89.3499pt" o:allowincell="f" strokecolor="#000000" strokeweight="0.499pt"/>
            </w:pict>
          </mc:Fallback>
        </mc:AlternateContent>
      </w:r>
    </w:p>
    <w:p>
      <w:pPr>
        <w:ind w:left="460" w:hanging="390"/>
        <w:spacing w:after="0" w:line="261" w:lineRule="auto"/>
        <w:tabs>
          <w:tab w:leader="none" w:pos="4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180"/>
          </w:cols>
          <w:pgMar w:left="1320" w:top="1021"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180"/>
          </w:cols>
          <w:pgMar w:left="1320" w:top="1021" w:right="1380" w:bottom="7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color w:val="auto"/>
        </w:rPr>
        <w:t>Pursuant to the requirements of Section 13 and 15 (d) of the Securities Exchange Act of 1934, the registrant has duly caused this report to be signed on its behalf by the undersigned, thereunto duly authorized.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22, 2023</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Marker Therapeutics, Inc.</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/s/ Peter Hoang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3034665</wp:posOffset>
                </wp:positionH>
                <wp:positionV relativeFrom="paragraph">
                  <wp:posOffset>28575</wp:posOffset>
                </wp:positionV>
                <wp:extent cx="273748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748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95pt,2.25pt" to="454.5pt,2.25pt" o:allowincell="f" strokecolor="#000000" strokeweight="0.499pt"/>
            </w:pict>
          </mc:Fallback>
        </mc:AlternateContent>
      </w:r>
    </w:p>
    <w:p>
      <w:pPr>
        <w:spacing w:after="0" w:line="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Peter Hoang</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Chief Executive Officer (Principal Executive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Officer)</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/s/ Michael J. Loiacono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3034665</wp:posOffset>
                </wp:positionH>
                <wp:positionV relativeFrom="paragraph">
                  <wp:posOffset>28575</wp:posOffset>
                </wp:positionV>
                <wp:extent cx="273748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748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95pt,2.25pt" to="454.5pt,2.25pt" o:allowincell="f" strokecolor="#000000" strokeweight="0.499pt"/>
            </w:pict>
          </mc:Fallback>
        </mc:AlternateContent>
      </w:r>
    </w:p>
    <w:p>
      <w:pPr>
        <w:spacing w:after="0" w:line="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Michael J. Loiacono</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Chief Accounting Officer (Principal Financial and</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73"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Each of the undersigned officers and directors of Marker Therapeutics, Inc., hereby constitutes and appoints Peter Hoang and Michael J. Loiacono,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29" w:lineRule="exact"/>
        <w:rPr>
          <w:sz w:val="20"/>
          <w:szCs w:val="20"/>
          <w:color w:val="auto"/>
        </w:rPr>
      </w:pPr>
    </w:p>
    <w:p>
      <w:pPr>
        <w:ind w:firstLine="399"/>
        <w:spacing w:after="0" w:line="28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March 22, 2023 on behalf of the registrant and in the capacities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40" w:type="dxa"/>
            <w:vAlign w:val="bottom"/>
          </w:tcPr>
          <w:p>
            <w:pPr>
              <w:spacing w:after="0"/>
              <w:rPr>
                <w:sz w:val="17"/>
                <w:szCs w:val="17"/>
                <w:color w:val="auto"/>
              </w:rPr>
            </w:pPr>
          </w:p>
        </w:tc>
        <w:tc>
          <w:tcPr>
            <w:tcW w:w="43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40" w:type="dxa"/>
            <w:vAlign w:val="bottom"/>
          </w:tcPr>
          <w:p>
            <w:pPr>
              <w:spacing w:after="0"/>
              <w:rPr>
                <w:sz w:val="17"/>
                <w:szCs w:val="17"/>
                <w:color w:val="auto"/>
              </w:rPr>
            </w:pPr>
          </w:p>
        </w:tc>
        <w:tc>
          <w:tcPr>
            <w:tcW w:w="14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0"/>
        </w:trPr>
        <w:tc>
          <w:tcPr>
            <w:tcW w:w="2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9"/>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/s/ Peter Hoang</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9"/>
        </w:trPr>
        <w:tc>
          <w:tcPr>
            <w:tcW w:w="2860" w:type="dxa"/>
            <w:vAlign w:val="bottom"/>
            <w:tcBorders>
              <w:bottom w:val="single" w:sz="8" w:color="auto"/>
            </w:tcBorders>
          </w:tcPr>
          <w:p>
            <w:pPr>
              <w:spacing w:after="0"/>
              <w:rPr>
                <w:sz w:val="2"/>
                <w:szCs w:val="2"/>
                <w:color w:val="auto"/>
              </w:rPr>
            </w:pPr>
          </w:p>
        </w:tc>
        <w:tc>
          <w:tcPr>
            <w:tcW w:w="4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Peter Hoang</w:t>
            </w:r>
          </w:p>
        </w:tc>
        <w:tc>
          <w:tcPr>
            <w:tcW w:w="456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 David Eansor</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Chairman</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N. David Eansor</w:t>
            </w:r>
          </w:p>
        </w:tc>
        <w:tc>
          <w:tcPr>
            <w:tcW w:w="2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Laskow-Pooley</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David Laskow-Pooley</w:t>
            </w:r>
          </w:p>
        </w:tc>
        <w:tc>
          <w:tcPr>
            <w:tcW w:w="2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John Wilson</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John Wilson</w:t>
            </w:r>
          </w:p>
        </w:tc>
        <w:tc>
          <w:tcPr>
            <w:tcW w:w="2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Juan Vera</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Juan Vera</w:t>
            </w:r>
          </w:p>
        </w:tc>
        <w:tc>
          <w:tcPr>
            <w:tcW w:w="2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Katharine Knobil</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Katharine Knobil</w:t>
            </w:r>
          </w:p>
        </w:tc>
        <w:tc>
          <w:tcPr>
            <w:tcW w:w="2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3" w:right="1380" w:bottom="70" w:gutter="0" w:footer="0" w:header="0"/>
        </w:sect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100"/>
          </w:cols>
          <w:pgMar w:left="1400" w:top="1023" w:right="1380" w:bottom="7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3"/>
        </w:trPr>
        <w:tc>
          <w:tcPr>
            <w:tcW w:w="286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40" w:type="dxa"/>
            <w:vAlign w:val="bottom"/>
          </w:tcPr>
          <w:p>
            <w:pPr>
              <w:spacing w:after="0"/>
              <w:rPr>
                <w:sz w:val="17"/>
                <w:szCs w:val="17"/>
                <w:color w:val="auto"/>
              </w:rPr>
            </w:pPr>
          </w:p>
        </w:tc>
        <w:tc>
          <w:tcPr>
            <w:tcW w:w="43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40" w:type="dxa"/>
            <w:vAlign w:val="bottom"/>
          </w:tcPr>
          <w:p>
            <w:pPr>
              <w:spacing w:after="0"/>
              <w:rPr>
                <w:sz w:val="17"/>
                <w:szCs w:val="17"/>
                <w:color w:val="auto"/>
              </w:rPr>
            </w:pPr>
          </w:p>
        </w:tc>
        <w:tc>
          <w:tcPr>
            <w:tcW w:w="14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0"/>
        </w:trPr>
        <w:tc>
          <w:tcPr>
            <w:tcW w:w="2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6"/>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 Elms</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Steve Elms</w:t>
            </w:r>
          </w:p>
        </w:tc>
        <w:tc>
          <w:tcPr>
            <w:tcW w:w="2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/s/ Michael J. Loiacono</w:t>
            </w: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Chief Accounting Officer (Principal Financial and</w:t>
            </w:r>
          </w:p>
        </w:tc>
        <w:tc>
          <w:tcPr>
            <w:tcW w:w="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22, 2023</w:t>
            </w:r>
          </w:p>
        </w:tc>
        <w:tc>
          <w:tcPr>
            <w:tcW w:w="0" w:type="dxa"/>
            <w:vAlign w:val="bottom"/>
          </w:tcPr>
          <w:p>
            <w:pPr>
              <w:spacing w:after="0"/>
              <w:rPr>
                <w:sz w:val="1"/>
                <w:szCs w:val="1"/>
                <w:color w:val="auto"/>
              </w:rPr>
            </w:pPr>
          </w:p>
        </w:tc>
      </w:tr>
      <w:tr>
        <w:trPr>
          <w:trHeight w:val="29"/>
        </w:trPr>
        <w:tc>
          <w:tcPr>
            <w:tcW w:w="2860" w:type="dxa"/>
            <w:vAlign w:val="bottom"/>
            <w:tcBorders>
              <w:bottom w:val="single" w:sz="8" w:color="auto"/>
            </w:tcBorders>
          </w:tcPr>
          <w:p>
            <w:pPr>
              <w:spacing w:after="0"/>
              <w:rPr>
                <w:sz w:val="2"/>
                <w:szCs w:val="2"/>
                <w:color w:val="auto"/>
              </w:rPr>
            </w:pPr>
          </w:p>
        </w:tc>
        <w:tc>
          <w:tcPr>
            <w:tcW w:w="4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auto"/>
              </w:rPr>
              <w:t>Accounting Officer)</w:t>
            </w: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Michael J. Loiacono</w:t>
            </w:r>
          </w:p>
        </w:tc>
        <w:tc>
          <w:tcPr>
            <w:tcW w:w="456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80"/>
          </w:cols>
          <w:pgMar w:left="1400" w:top="1021" w:right="140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080"/>
          </w:cols>
          <w:pgMar w:left="1400" w:top="1021" w:right="1400" w:bottom="7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2022 AND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Number 688)  . . . . . . . . . .</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3"/>
              </w:rPr>
              <w:t>F-2</w:t>
            </w:r>
          </w:p>
        </w:tc>
      </w:tr>
      <w:tr>
        <w:trPr>
          <w:trHeight w:val="299"/>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F-4</w:t>
            </w:r>
          </w:p>
        </w:tc>
      </w:tr>
      <w:tr>
        <w:trPr>
          <w:trHeight w:val="299"/>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 . . . . . . . . . . . . . . . . . . . . . . . . . . . . . . . . . . . . . . . . . .</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F-5</w:t>
            </w:r>
          </w:p>
        </w:tc>
      </w:tr>
      <w:tr>
        <w:trPr>
          <w:trHeight w:val="299"/>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 . . . . . . . . . . . . . . . . . . . . . . . . . . . . . . . . . . .</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F-6</w:t>
            </w:r>
          </w:p>
        </w:tc>
      </w:tr>
      <w:tr>
        <w:trPr>
          <w:trHeight w:val="299"/>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F-7</w:t>
            </w:r>
          </w:p>
        </w:tc>
      </w:tr>
      <w:tr>
        <w:trPr>
          <w:trHeight w:val="299"/>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 . . . . . . . . . . . . . . . . . . . . . . . . . . . . . . . . . . . . . .</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0" w:lineRule="exact"/>
        <w:rPr>
          <w:sz w:val="20"/>
          <w:szCs w:val="20"/>
          <w:color w:val="auto"/>
        </w:rPr>
      </w:pPr>
    </w:p>
    <w:p>
      <w:pPr>
        <w:sectPr>
          <w:pgSz w:w="11880" w:h="15480" w:orient="portrait"/>
          <w:cols w:equalWidth="0" w:num="1">
            <w:col w:w="9080"/>
          </w:cols>
          <w:pgMar w:left="1400" w:top="1023" w:right="140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080"/>
          </w:cols>
          <w:pgMar w:left="1400" w:top="1023" w:right="1400" w:bottom="70" w:gutter="0" w:footer="0" w:header="0"/>
          <w:type w:val="continuous"/>
        </w:sectPr>
      </w:pPr>
    </w:p>
    <w:bookmarkStart w:id="99" w:name="page100"/>
    <w:bookmarkEnd w:id="99"/>
    <w:p>
      <w:pPr>
        <w:ind w:left="10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Marker Therapeutics,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5"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Marker Therapeutics, Inc. (the “Company”) as of December 31, 2022 and 2021, the related consolidated statements of operations,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Explanatory Paragraph — Going Concern</w:t>
      </w:r>
    </w:p>
    <w:p>
      <w:pPr>
        <w:spacing w:after="0" w:line="175" w:lineRule="exact"/>
        <w:rPr>
          <w:sz w:val="20"/>
          <w:szCs w:val="20"/>
          <w:color w:val="auto"/>
        </w:rPr>
      </w:pPr>
    </w:p>
    <w:p>
      <w:pPr>
        <w:ind w:right="80" w:firstLine="399"/>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more fully described in Note 2, the Company has incurred significant losses and needs to raise additional funds to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5" w:lineRule="exact"/>
        <w:rPr>
          <w:sz w:val="20"/>
          <w:szCs w:val="20"/>
          <w:color w:val="auto"/>
        </w:rPr>
      </w:pPr>
    </w:p>
    <w:p>
      <w:pPr>
        <w:ind w:firstLine="399"/>
        <w:spacing w:after="0" w:line="262"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right="40" w:firstLine="399"/>
        <w:spacing w:after="0" w:line="260"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75" w:lineRule="exact"/>
        <w:rPr>
          <w:sz w:val="20"/>
          <w:szCs w:val="20"/>
          <w:color w:val="auto"/>
        </w:rPr>
      </w:pPr>
    </w:p>
    <w:p>
      <w:pPr>
        <w:ind w:right="20" w:firstLine="399"/>
        <w:spacing w:after="0" w:line="259"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100"/>
          </w:cols>
          <w:pgMar w:left="1400" w:top="1023" w:right="1380" w:bottom="69" w:gutter="0" w:footer="0" w:header="0"/>
        </w:sectPr>
      </w:pPr>
    </w:p>
    <w:bookmarkStart w:id="100" w:name="page101"/>
    <w:bookmarkEnd w:id="100"/>
    <w:p>
      <w:pPr>
        <w:ind w:right="70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Asset Impairment — Determination of Impairment Indicators on Long Lived Assets and Right-of-Use Assets — Refer to Note 3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Audit Matter Description</w:t>
      </w:r>
    </w:p>
    <w:p>
      <w:pPr>
        <w:spacing w:after="0" w:line="169" w:lineRule="exact"/>
        <w:rPr>
          <w:sz w:val="20"/>
          <w:szCs w:val="20"/>
          <w:color w:val="auto"/>
        </w:rPr>
      </w:pPr>
    </w:p>
    <w:p>
      <w:pPr>
        <w:ind w:right="160" w:firstLine="399"/>
        <w:spacing w:after="0" w:line="261" w:lineRule="auto"/>
        <w:rPr>
          <w:sz w:val="20"/>
          <w:szCs w:val="20"/>
          <w:color w:val="auto"/>
        </w:rPr>
      </w:pPr>
      <w:r>
        <w:rPr>
          <w:rFonts w:ascii="Times New Roman" w:cs="Times New Roman" w:eastAsia="Times New Roman" w:hAnsi="Times New Roman"/>
          <w:sz w:val="20"/>
          <w:szCs w:val="20"/>
          <w:color w:val="auto"/>
        </w:rPr>
        <w:t>Property, plant and equipment and right-of-use assets are reviewed for impairment when events or changes in circumstances indicate that the carrying amount of such assets may not be recoverable. As of December 31, 2022, the carrying value of the Company’s property plant and equipment was $12.3 million, and right-of-use assets $5.5 million.</w:t>
      </w:r>
    </w:p>
    <w:p>
      <w:pPr>
        <w:spacing w:after="0" w:line="117"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We have identified the determination of impairment indicators for property, plant and equipment and right-of-use assets as a critical audit matter due to the significant judgments management makes when determining whether events or changes in circumstances have occurred indicating that the carrying amounts of an asset group may not be recoverable. Auditing management’s judgments required a high degree of auditor judgment when performing audit procedures to evaluate whether management appropriately identified impairment indicators.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 the Critical Audit Matter Was Addressed in the Audit</w:t>
      </w:r>
    </w:p>
    <w:p>
      <w:pPr>
        <w:spacing w:after="0" w:line="169" w:lineRule="exact"/>
        <w:rPr>
          <w:sz w:val="20"/>
          <w:szCs w:val="20"/>
          <w:color w:val="auto"/>
        </w:rPr>
      </w:pPr>
    </w:p>
    <w:p>
      <w:pPr>
        <w:ind w:right="420" w:firstLine="399"/>
        <w:spacing w:after="0" w:line="284" w:lineRule="auto"/>
        <w:rPr>
          <w:sz w:val="20"/>
          <w:szCs w:val="20"/>
          <w:color w:val="auto"/>
        </w:rPr>
      </w:pPr>
      <w:r>
        <w:rPr>
          <w:rFonts w:ascii="Times New Roman" w:cs="Times New Roman" w:eastAsia="Times New Roman" w:hAnsi="Times New Roman"/>
          <w:sz w:val="20"/>
          <w:szCs w:val="20"/>
          <w:color w:val="auto"/>
        </w:rPr>
        <w:t>Our audit procedures related to the evaluation of indicators of impairment included the following, among others:</w:t>
      </w:r>
    </w:p>
    <w:p>
      <w:pPr>
        <w:spacing w:after="0" w:line="54" w:lineRule="exact"/>
        <w:rPr>
          <w:sz w:val="20"/>
          <w:szCs w:val="20"/>
          <w:color w:val="auto"/>
        </w:rPr>
      </w:pPr>
    </w:p>
    <w:p>
      <w:pPr>
        <w:ind w:left="580" w:right="160" w:hanging="191"/>
        <w:spacing w:after="0" w:line="284" w:lineRule="auto"/>
        <w:tabs>
          <w:tab w:leader="none" w:pos="5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impairment indicator analysis by performing the following procedures:</w:t>
      </w:r>
    </w:p>
    <w:p>
      <w:pPr>
        <w:spacing w:after="0" w:line="54" w:lineRule="exact"/>
        <w:rPr>
          <w:rFonts w:ascii="Times New Roman" w:cs="Times New Roman" w:eastAsia="Times New Roman" w:hAnsi="Times New Roman"/>
          <w:sz w:val="20"/>
          <w:szCs w:val="20"/>
          <w:color w:val="auto"/>
        </w:rPr>
      </w:pPr>
    </w:p>
    <w:p>
      <w:pPr>
        <w:ind w:left="980" w:right="100" w:hanging="192"/>
        <w:spacing w:after="0" w:line="284" w:lineRule="auto"/>
        <w:tabs>
          <w:tab w:leader="none" w:pos="9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inquired of management whether there are change of plans and circumstances affecting the use of property, plant and equipment or assets under lease;</w:t>
      </w:r>
    </w:p>
    <w:p>
      <w:pPr>
        <w:spacing w:after="0" w:line="54" w:lineRule="exact"/>
        <w:rPr>
          <w:rFonts w:ascii="Times New Roman" w:cs="Times New Roman" w:eastAsia="Times New Roman" w:hAnsi="Times New Roman"/>
          <w:sz w:val="20"/>
          <w:szCs w:val="20"/>
          <w:color w:val="auto"/>
        </w:rPr>
      </w:pPr>
    </w:p>
    <w:p>
      <w:pPr>
        <w:ind w:left="980" w:right="120" w:hanging="192"/>
        <w:spacing w:after="0" w:line="276" w:lineRule="auto"/>
        <w:tabs>
          <w:tab w:leader="none" w:pos="9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inspected minutes of the board of directors to understand if there were factors that would represent potential impairment indicators for property, plant and equipment and right-of-use assets;</w:t>
      </w:r>
    </w:p>
    <w:p>
      <w:pPr>
        <w:spacing w:after="0" w:line="309" w:lineRule="exact"/>
        <w:rPr>
          <w:rFonts w:ascii="Times New Roman" w:cs="Times New Roman" w:eastAsia="Times New Roman" w:hAnsi="Times New Roman"/>
          <w:sz w:val="20"/>
          <w:szCs w:val="20"/>
          <w:color w:val="auto"/>
        </w:rPr>
      </w:pPr>
    </w:p>
    <w:p>
      <w:pPr>
        <w:ind w:left="980" w:right="240" w:hanging="192"/>
        <w:spacing w:after="0" w:line="284" w:lineRule="auto"/>
        <w:tabs>
          <w:tab w:leader="none" w:pos="9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assumptions and the mathematical accuracy of the undiscounted cash flows used by management, for the asset recovery test.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2014</w:t>
      </w:r>
      <w:r>
        <w:rPr>
          <w:rFonts w:ascii="Times New Roman" w:cs="Times New Roman" w:eastAsia="Times New Roman" w:hAnsi="Times New Roman"/>
          <w:sz w:val="20"/>
          <w:szCs w:val="20"/>
          <w:b w:val="1"/>
          <w:b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22, 2023</w:t>
      </w:r>
    </w:p>
    <w:p>
      <w:pPr>
        <w:sectPr>
          <w:pgSz w:w="11880" w:h="15480" w:orient="portrait"/>
          <w:cols w:equalWidth="0" w:num="1">
            <w:col w:w="9100"/>
          </w:cols>
          <w:pgMar w:left="1400" w:top="1026"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100"/>
          </w:cols>
          <w:pgMar w:left="1400" w:top="1026" w:right="1380" w:bottom="70" w:gutter="0" w:footer="0" w:header="0"/>
          <w:type w:val="continuous"/>
        </w:sectPr>
      </w:pPr>
    </w:p>
    <w:bookmarkStart w:id="101" w:name="page102"/>
    <w:bookmarkEnd w:id="10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MARKER THERAPEUTICS, INC.</w:t>
      </w:r>
    </w:p>
    <w:p>
      <w:pPr>
        <w:spacing w:after="0" w:line="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3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11,782,172</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42,351,145</w:t>
            </w: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Restricted cash .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1,146,186</w:t>
            </w: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Prepaid expenses and deposits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2,435,079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2,484,634</w:t>
            </w:r>
          </w:p>
        </w:tc>
        <w:tc>
          <w:tcPr>
            <w:tcW w:w="0" w:type="dxa"/>
            <w:vAlign w:val="bottom"/>
          </w:tcPr>
          <w:p>
            <w:pPr>
              <w:spacing w:after="0"/>
              <w:rPr>
                <w:sz w:val="1"/>
                <w:szCs w:val="1"/>
                <w:color w:val="auto"/>
              </w:rPr>
            </w:pPr>
          </w:p>
        </w:tc>
      </w:tr>
      <w:tr>
        <w:trPr>
          <w:trHeight w:val="302"/>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receivables  . . . .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2,402,004</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16,619,255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45,982,202</w:t>
            </w:r>
          </w:p>
        </w:tc>
        <w:tc>
          <w:tcPr>
            <w:tcW w:w="0" w:type="dxa"/>
            <w:vAlign w:val="bottom"/>
          </w:tcPr>
          <w:p>
            <w:pPr>
              <w:spacing w:after="0"/>
              <w:rPr>
                <w:sz w:val="1"/>
                <w:szCs w:val="1"/>
                <w:color w:val="auto"/>
              </w:rPr>
            </w:pPr>
          </w:p>
        </w:tc>
      </w:tr>
      <w:tr>
        <w:trPr>
          <w:trHeight w:val="28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12,323,143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10,096,861</w:t>
            </w: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Construction in progress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2,225,610</w:t>
            </w:r>
          </w:p>
        </w:tc>
        <w:tc>
          <w:tcPr>
            <w:tcW w:w="0" w:type="dxa"/>
            <w:vAlign w:val="bottom"/>
          </w:tcPr>
          <w:p>
            <w:pPr>
              <w:spacing w:after="0"/>
              <w:rPr>
                <w:sz w:val="1"/>
                <w:szCs w:val="1"/>
                <w:color w:val="auto"/>
              </w:rPr>
            </w:pPr>
          </w:p>
        </w:tc>
      </w:tr>
      <w:tr>
        <w:trPr>
          <w:trHeight w:val="302"/>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Right-of-use assets, net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5,479,786</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9,830,461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non-current assets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17,802,929</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22,152,932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Total assets </w:t>
            </w:r>
            <w:r>
              <w:rPr>
                <w:rFonts w:ascii="Times New Roman" w:cs="Times New Roman" w:eastAsia="Times New Roman" w:hAnsi="Times New Roman"/>
                <w:sz w:val="20"/>
                <w:szCs w:val="20"/>
                <w:color w:val="auto"/>
              </w:rPr>
              <w:t>.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34,422,184</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68,135,134</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3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payable and accrued liabilities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4,704,611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11,134,913</w:t>
            </w: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Related party deferred revenue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revenue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1,146,186</w:t>
            </w:r>
          </w:p>
        </w:tc>
        <w:tc>
          <w:tcPr>
            <w:tcW w:w="0" w:type="dxa"/>
            <w:vAlign w:val="bottom"/>
          </w:tcPr>
          <w:p>
            <w:pPr>
              <w:spacing w:after="0"/>
              <w:rPr>
                <w:sz w:val="1"/>
                <w:szCs w:val="1"/>
                <w:color w:val="auto"/>
              </w:rPr>
            </w:pPr>
          </w:p>
        </w:tc>
      </w:tr>
      <w:tr>
        <w:trPr>
          <w:trHeight w:val="302"/>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Lease liability . . . . . . .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577,198</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620,490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7,781,809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12,901,589</w:t>
            </w:r>
          </w:p>
        </w:tc>
        <w:tc>
          <w:tcPr>
            <w:tcW w:w="0" w:type="dxa"/>
            <w:vAlign w:val="bottom"/>
          </w:tcPr>
          <w:p>
            <w:pPr>
              <w:spacing w:after="0"/>
              <w:rPr>
                <w:sz w:val="1"/>
                <w:szCs w:val="1"/>
                <w:color w:val="auto"/>
              </w:rPr>
            </w:pPr>
          </w:p>
        </w:tc>
      </w:tr>
      <w:tr>
        <w:trPr>
          <w:trHeight w:val="28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Lease liability, net of current portion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7,039,338</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11,247,950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non-current liabilities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7,039,338</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11,247,950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14,821,147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24,149,539</w:t>
            </w:r>
          </w:p>
        </w:tc>
        <w:tc>
          <w:tcPr>
            <w:tcW w:w="0" w:type="dxa"/>
            <w:vAlign w:val="bottom"/>
          </w:tcPr>
          <w:p>
            <w:pPr>
              <w:spacing w:after="0"/>
              <w:rPr>
                <w:sz w:val="1"/>
                <w:szCs w:val="1"/>
                <w:color w:val="auto"/>
              </w:rPr>
            </w:pPr>
          </w:p>
        </w:tc>
      </w:tr>
      <w:tr>
        <w:trPr>
          <w:trHeight w:val="28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Preferred stock – $0.001 par value, 5 million shares authorized and 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shares issued and outstanding at December 31, 2022 and 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respectively .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6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$0.001 par value, 30 million and 15 million 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authorized, 8.4 million and 8.3 million shares issued and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as of December 31, 2022 and 2021, respectively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8,308</w:t>
            </w:r>
          </w:p>
        </w:tc>
        <w:tc>
          <w:tcPr>
            <w:tcW w:w="0" w:type="dxa"/>
            <w:vAlign w:val="bottom"/>
          </w:tcPr>
          <w:p>
            <w:pPr>
              <w:spacing w:after="0"/>
              <w:rPr>
                <w:sz w:val="1"/>
                <w:szCs w:val="1"/>
                <w:color w:val="auto"/>
              </w:rPr>
            </w:pPr>
          </w:p>
        </w:tc>
      </w:tr>
      <w:tr>
        <w:trPr>
          <w:trHeight w:val="29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447,641,680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442,095,642</w:t>
            </w:r>
          </w:p>
        </w:tc>
        <w:tc>
          <w:tcPr>
            <w:tcW w:w="0" w:type="dxa"/>
            <w:vAlign w:val="bottom"/>
          </w:tcPr>
          <w:p>
            <w:pPr>
              <w:spacing w:after="0"/>
              <w:rPr>
                <w:sz w:val="1"/>
                <w:szCs w:val="1"/>
                <w:color w:val="auto"/>
              </w:rPr>
            </w:pPr>
          </w:p>
        </w:tc>
      </w:tr>
      <w:tr>
        <w:trPr>
          <w:trHeight w:val="302"/>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(428,049,049)</w:t>
            </w:r>
          </w:p>
        </w:tc>
        <w:tc>
          <w:tcPr>
            <w:tcW w:w="1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(398,118,355)</w:t>
            </w:r>
          </w:p>
        </w:tc>
        <w:tc>
          <w:tcPr>
            <w:tcW w:w="0" w:type="dxa"/>
            <w:vAlign w:val="bottom"/>
          </w:tcPr>
          <w:p>
            <w:pPr>
              <w:spacing w:after="0"/>
              <w:rPr>
                <w:sz w:val="1"/>
                <w:szCs w:val="1"/>
                <w:color w:val="auto"/>
              </w:rPr>
            </w:pPr>
          </w:p>
        </w:tc>
      </w:tr>
      <w:tr>
        <w:trPr>
          <w:trHeight w:val="28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stockholders’ equity . . . . . . . . . . . . . . . . . . . . . . . . . . . . . . . . . .</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19,601,037</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43,985,595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Total liabilities and stockholders’ equity </w:t>
            </w:r>
            <w:r>
              <w:rPr>
                <w:rFonts w:ascii="Times New Roman" w:cs="Times New Roman" w:eastAsia="Times New Roman" w:hAnsi="Times New Roman"/>
                <w:sz w:val="20"/>
                <w:szCs w:val="20"/>
                <w:color w:val="auto"/>
              </w:rPr>
              <w:t>.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34,422,184</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68,135,134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23" w:right="132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860" w:right="92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F-4</w:t>
      </w:r>
    </w:p>
    <w:p>
      <w:pPr>
        <w:sectPr>
          <w:pgSz w:w="11880" w:h="15480" w:orient="portrait"/>
          <w:cols w:equalWidth="0" w:num="1">
            <w:col w:w="9160"/>
          </w:cols>
          <w:pgMar w:left="1400" w:top="1023" w:right="1320" w:bottom="309" w:gutter="0" w:footer="0" w:header="0"/>
          <w:type w:val="continuous"/>
        </w:sectPr>
      </w:pPr>
    </w:p>
    <w:bookmarkStart w:id="102" w:name="page103"/>
    <w:bookmarkEnd w:id="102"/>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MARKER THERAPEUTICS, INC.</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6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4257675</wp:posOffset>
                </wp:positionH>
                <wp:positionV relativeFrom="paragraph">
                  <wp:posOffset>33655</wp:posOffset>
                </wp:positionV>
                <wp:extent cx="15144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5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Grant income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3,513,544</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1,241,710</w:t>
            </w:r>
          </w:p>
        </w:tc>
        <w:tc>
          <w:tcPr>
            <w:tcW w:w="0" w:type="dxa"/>
            <w:vAlign w:val="bottom"/>
          </w:tcPr>
          <w:p>
            <w:pPr>
              <w:spacing w:after="0"/>
              <w:rPr>
                <w:sz w:val="1"/>
                <w:szCs w:val="1"/>
                <w:color w:val="auto"/>
              </w:rPr>
            </w:pPr>
          </w:p>
        </w:tc>
      </w:tr>
      <w:tr>
        <w:trPr>
          <w:trHeight w:val="302"/>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Related party service revenue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5,500,000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9,013,544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1,241,710</w:t>
            </w:r>
          </w:p>
        </w:tc>
        <w:tc>
          <w:tcPr>
            <w:tcW w:w="0" w:type="dxa"/>
            <w:vAlign w:val="bottom"/>
          </w:tcPr>
          <w:p>
            <w:pPr>
              <w:spacing w:after="0"/>
              <w:rPr>
                <w:sz w:val="1"/>
                <w:szCs w:val="1"/>
                <w:color w:val="auto"/>
              </w:rPr>
            </w:pPr>
          </w:p>
        </w:tc>
      </w:tr>
      <w:tr>
        <w:trPr>
          <w:trHeight w:val="279"/>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26,139,323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27,794,879</w:t>
            </w:r>
          </w:p>
        </w:tc>
        <w:tc>
          <w:tcPr>
            <w:tcW w:w="0" w:type="dxa"/>
            <w:vAlign w:val="bottom"/>
          </w:tcPr>
          <w:p>
            <w:pPr>
              <w:spacing w:after="0"/>
              <w:rPr>
                <w:sz w:val="1"/>
                <w:szCs w:val="1"/>
                <w:color w:val="auto"/>
              </w:rPr>
            </w:pPr>
          </w:p>
        </w:tc>
      </w:tr>
      <w:tr>
        <w:trPr>
          <w:trHeight w:val="302"/>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12,820,004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12,924,826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38,959,327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40,719,705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Loss from operations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w w:val="98"/>
              </w:rPr>
              <w:t>(29,945,783)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(39,477,995)</w:t>
            </w:r>
          </w:p>
        </w:tc>
        <w:tc>
          <w:tcPr>
            <w:tcW w:w="0" w:type="dxa"/>
            <w:vAlign w:val="bottom"/>
          </w:tcPr>
          <w:p>
            <w:pPr>
              <w:spacing w:after="0"/>
              <w:rPr>
                <w:sz w:val="1"/>
                <w:szCs w:val="1"/>
                <w:color w:val="auto"/>
              </w:rPr>
            </w:pPr>
          </w:p>
        </w:tc>
      </w:tr>
      <w:tr>
        <w:trPr>
          <w:trHeight w:val="289"/>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income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Arbitration settlement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(232,974)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(2,406,576)</w:t>
            </w:r>
          </w:p>
        </w:tc>
        <w:tc>
          <w:tcPr>
            <w:tcW w:w="0" w:type="dxa"/>
            <w:vAlign w:val="bottom"/>
          </w:tcPr>
          <w:p>
            <w:pPr>
              <w:spacing w:after="0"/>
              <w:rPr>
                <w:sz w:val="1"/>
                <w:szCs w:val="1"/>
                <w:color w:val="auto"/>
              </w:rPr>
            </w:pPr>
          </w:p>
        </w:tc>
      </w:tr>
      <w:tr>
        <w:trPr>
          <w:trHeight w:val="302"/>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248,063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 . . . . . . . . . . . . . . . . . . . . . . . . . . . . . . . . . . . . . . . . . . . . . . .</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(29,930,694)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(41,878,871)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loss per share, basic and diluted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common shares outstanding, basic and</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5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diluted . . . . . . . . . . . . . . . . . . . . . . . . . . . . . . . . . . . . . . . . . . . . . . .</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8,351,003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7,650,567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23" w:right="132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840" w:right="92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F-5</w:t>
      </w:r>
    </w:p>
    <w:p>
      <w:pPr>
        <w:sectPr>
          <w:pgSz w:w="11880" w:h="15480" w:orient="portrait"/>
          <w:cols w:equalWidth="0" w:num="1">
            <w:col w:w="9160"/>
          </w:cols>
          <w:pgMar w:left="1400" w:top="1023" w:right="1320" w:bottom="309" w:gutter="0" w:footer="0" w:header="0"/>
          <w:type w:val="continuous"/>
        </w:sectPr>
      </w:pPr>
    </w:p>
    <w:bookmarkStart w:id="103" w:name="page104"/>
    <w:bookmarkEnd w:id="10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MARKER THERAPEUTICS,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7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3"/>
        </w:trPr>
        <w:tc>
          <w:tcPr>
            <w:tcW w:w="338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6"/>
                <w:szCs w:val="16"/>
                <w:b w:val="1"/>
                <w:bCs w:val="1"/>
                <w:color w:val="auto"/>
                <w:w w:val="93"/>
              </w:rPr>
              <w:t>Additional Paid-</w:t>
            </w:r>
          </w:p>
        </w:tc>
        <w:tc>
          <w:tcPr>
            <w:tcW w:w="240" w:type="dxa"/>
            <w:vAlign w:val="bottom"/>
          </w:tcPr>
          <w:p>
            <w:pPr>
              <w:spacing w:after="0"/>
              <w:rPr>
                <w:sz w:val="9"/>
                <w:szCs w:val="9"/>
                <w:color w:val="auto"/>
              </w:rPr>
            </w:pPr>
          </w:p>
        </w:tc>
        <w:tc>
          <w:tcPr>
            <w:tcW w:w="1340" w:type="dxa"/>
            <w:vAlign w:val="bottom"/>
            <w:gridSpan w:val="2"/>
            <w:vMerge w:val="restart"/>
          </w:tcPr>
          <w:p>
            <w:pPr>
              <w:jc w:val="right"/>
              <w:ind w:right="320"/>
              <w:spacing w:after="0" w:line="14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9"/>
                <w:szCs w:val="9"/>
                <w:color w:val="auto"/>
              </w:rPr>
            </w:pPr>
          </w:p>
        </w:tc>
        <w:tc>
          <w:tcPr>
            <w:tcW w:w="1140" w:type="dxa"/>
            <w:vAlign w:val="bottom"/>
            <w:gridSpan w:val="2"/>
            <w:vMerge w:val="restart"/>
          </w:tcPr>
          <w:p>
            <w:pPr>
              <w:jc w:val="center"/>
              <w:ind w:right="80"/>
              <w:spacing w:after="0" w:line="143" w:lineRule="exact"/>
              <w:rPr>
                <w:sz w:val="20"/>
                <w:szCs w:val="20"/>
                <w:color w:val="auto"/>
              </w:rPr>
            </w:pPr>
            <w:r>
              <w:rPr>
                <w:rFonts w:ascii="Times New Roman" w:cs="Times New Roman" w:eastAsia="Times New Roman" w:hAnsi="Times New Roman"/>
                <w:sz w:val="16"/>
                <w:szCs w:val="16"/>
                <w:b w:val="1"/>
                <w:bCs w:val="1"/>
                <w:color w:val="auto"/>
                <w:w w:val="95"/>
              </w:rPr>
              <w:t>Stockholders’</w:t>
            </w:r>
          </w:p>
        </w:tc>
        <w:tc>
          <w:tcPr>
            <w:tcW w:w="0" w:type="dxa"/>
            <w:vAlign w:val="bottom"/>
          </w:tcPr>
          <w:p>
            <w:pPr>
              <w:spacing w:after="0"/>
              <w:rPr>
                <w:sz w:val="1"/>
                <w:szCs w:val="1"/>
                <w:color w:val="auto"/>
              </w:rPr>
            </w:pPr>
          </w:p>
        </w:tc>
      </w:tr>
      <w:tr>
        <w:trPr>
          <w:trHeight w:val="30"/>
        </w:trPr>
        <w:tc>
          <w:tcPr>
            <w:tcW w:w="3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4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30"/>
        </w:trPr>
        <w:tc>
          <w:tcPr>
            <w:tcW w:w="3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xml:space="preserve">Balance at January 1, 2021 </w:t>
            </w:r>
            <w:r>
              <w:rPr>
                <w:rFonts w:ascii="Times New Roman" w:cs="Times New Roman" w:eastAsia="Times New Roman" w:hAnsi="Times New Roman"/>
                <w:sz w:val="20"/>
                <w:szCs w:val="20"/>
                <w:color w:val="auto"/>
              </w:rPr>
              <w:t>. . . . . .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5,073,107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$5,073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$383,578,984</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$(356,239,484)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$ 27,344,573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for</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cash (net of offering costs of</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$3.9 million)  . . . . . . . . . . . .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3,228,286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52,549,530</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52,552,758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options exercised for</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cash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3,087</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Stock-based compensation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6,329</w:t>
            </w: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5,964,041</w:t>
            </w:r>
          </w:p>
        </w:tc>
        <w:tc>
          <w:tcPr>
            <w:tcW w:w="2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5,964,048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loss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(41,878,871)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(41,878,871)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xml:space="preserve">Balance at December 31, 2021 </w:t>
            </w:r>
            <w:r>
              <w:rPr>
                <w:rFonts w:ascii="Times New Roman" w:cs="Times New Roman" w:eastAsia="Times New Roman" w:hAnsi="Times New Roman"/>
                <w:sz w:val="20"/>
                <w:szCs w:val="20"/>
                <w:color w:val="auto"/>
              </w:rPr>
              <w:t>.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8,307,868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8,308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442,095,642</w:t>
            </w:r>
          </w:p>
        </w:tc>
        <w:tc>
          <w:tcPr>
            <w:tcW w:w="24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(398,118,355)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43,985,595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shares for</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cash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60,651</w:t>
            </w:r>
          </w:p>
        </w:tc>
        <w:tc>
          <w:tcPr>
            <w:tcW w:w="2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202,069</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202,130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Stock-based compensation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37,252</w:t>
            </w: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5,343,969</w:t>
            </w:r>
          </w:p>
        </w:tc>
        <w:tc>
          <w:tcPr>
            <w:tcW w:w="2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5,344,006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loss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(29,930,694)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(29,930,694)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3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xml:space="preserve">Balance at December 31, 2022 </w:t>
            </w:r>
            <w:r>
              <w:rPr>
                <w:rFonts w:ascii="Times New Roman" w:cs="Times New Roman" w:eastAsia="Times New Roman" w:hAnsi="Times New Roman"/>
                <w:sz w:val="20"/>
                <w:szCs w:val="20"/>
                <w:color w:val="auto"/>
              </w:rPr>
              <w:t>.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8,405,771</w:t>
            </w: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$8,406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$447,641,680</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$(428,049,049)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$ 19,601,037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F-6</w:t>
      </w:r>
    </w:p>
    <w:p>
      <w:pPr>
        <w:sectPr>
          <w:pgSz w:w="11880" w:h="15480" w:orient="portrait"/>
          <w:cols w:equalWidth="0" w:num="1">
            <w:col w:w="9180"/>
          </w:cols>
          <w:pgMar w:left="1380" w:top="1023" w:right="1320" w:bottom="309" w:gutter="0" w:footer="0" w:header="0"/>
        </w:sectPr>
      </w:pPr>
    </w:p>
    <w:bookmarkStart w:id="104" w:name="page105"/>
    <w:bookmarkEnd w:id="10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MARKER THERAPEUTICS,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6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4270375</wp:posOffset>
                </wp:positionH>
                <wp:positionV relativeFrom="paragraph">
                  <wp:posOffset>33655</wp:posOffset>
                </wp:positionV>
                <wp:extent cx="151447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25pt,2.65pt" to="455.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108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7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7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 . . . . . . . . . . . . . . . . . . . . .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w w:val="98"/>
              </w:rPr>
              <w:t>$(29,930,694)</w:t>
            </w:r>
          </w:p>
        </w:tc>
        <w:tc>
          <w:tcPr>
            <w:tcW w:w="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8"/>
              </w:rPr>
              <w:t>$(41,878,871)</w:t>
            </w:r>
          </w:p>
        </w:tc>
        <w:tc>
          <w:tcPr>
            <w:tcW w:w="0" w:type="dxa"/>
            <w:vAlign w:val="bottom"/>
          </w:tcPr>
          <w:p>
            <w:pPr>
              <w:spacing w:after="0"/>
              <w:rPr>
                <w:sz w:val="1"/>
                <w:szCs w:val="1"/>
                <w:color w:val="auto"/>
              </w:rPr>
            </w:pPr>
          </w:p>
        </w:tc>
      </w:tr>
      <w:tr>
        <w:trPr>
          <w:trHeight w:val="289"/>
        </w:trPr>
        <w:tc>
          <w:tcPr>
            <w:tcW w:w="67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Reconciliation of net loss to net cash used in operating activities: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2,789,106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2,148,983</w:t>
            </w: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Stock-based compensation  . . . . . . . . . . . . . . . . . . . . . . . . . . . . . . .</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5,344,006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5,964,048</w:t>
            </w: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Amortization on right-of-use assets  . . . . . . . . . . . . . . . . . . . . . . . . .</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891,343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1,013,655</w:t>
            </w: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Loss on disposal of fixed assets  .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25,995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Gain on lease termination . . . . . . . .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(278,681)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9"/>
        </w:trPr>
        <w:tc>
          <w:tcPr>
            <w:tcW w:w="672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Changes in operating assets and liabilities: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Prepaid expenses and deposits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49,555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(426,710)</w:t>
            </w: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receivables . . . . . . . . . . . . .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(2,401,767)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1,000,322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Accounts payable and accrued expenses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(4,300,939)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4,141,414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Related party deferred revenue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2,500,000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Deferred revenue . . . . . . . . . . . . .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(1,146,186)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1,146,186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Lease liability . . . . . . . . . . . . . . .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(513,891)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(388,792)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(26,972,153)</w:t>
            </w:r>
          </w:p>
        </w:tc>
        <w:tc>
          <w:tcPr>
            <w:tcW w:w="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(27,279,765)</w:t>
            </w:r>
          </w:p>
        </w:tc>
        <w:tc>
          <w:tcPr>
            <w:tcW w:w="0" w:type="dxa"/>
            <w:vAlign w:val="bottom"/>
          </w:tcPr>
          <w:p>
            <w:pPr>
              <w:spacing w:after="0"/>
              <w:rPr>
                <w:sz w:val="1"/>
                <w:szCs w:val="1"/>
                <w:color w:val="auto"/>
              </w:rPr>
            </w:pPr>
          </w:p>
        </w:tc>
      </w:tr>
      <w:tr>
        <w:trPr>
          <w:trHeight w:val="279"/>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Purchase of property and equipment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(1,456,006)</w:t>
            </w:r>
          </w:p>
        </w:tc>
        <w:tc>
          <w:tcPr>
            <w:tcW w:w="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(1,572,161)</w:t>
            </w:r>
          </w:p>
        </w:tc>
        <w:tc>
          <w:tcPr>
            <w:tcW w:w="0" w:type="dxa"/>
            <w:vAlign w:val="bottom"/>
          </w:tcPr>
          <w:p>
            <w:pPr>
              <w:spacing w:after="0"/>
              <w:rPr>
                <w:sz w:val="1"/>
                <w:szCs w:val="1"/>
                <w:color w:val="auto"/>
              </w:rPr>
            </w:pPr>
          </w:p>
        </w:tc>
      </w:tr>
      <w:tr>
        <w:trPr>
          <w:trHeight w:val="302"/>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Purchase of construction in progress .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(3,489,130)</w:t>
            </w:r>
          </w:p>
        </w:tc>
        <w:tc>
          <w:tcPr>
            <w:tcW w:w="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(1,558,970)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(4,945,136)</w:t>
            </w:r>
          </w:p>
        </w:tc>
        <w:tc>
          <w:tcPr>
            <w:tcW w:w="8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(3,131,131)</w:t>
            </w:r>
          </w:p>
        </w:tc>
        <w:tc>
          <w:tcPr>
            <w:tcW w:w="0" w:type="dxa"/>
            <w:vAlign w:val="bottom"/>
          </w:tcPr>
          <w:p>
            <w:pPr>
              <w:spacing w:after="0"/>
              <w:rPr>
                <w:sz w:val="1"/>
                <w:szCs w:val="1"/>
                <w:color w:val="auto"/>
              </w:rPr>
            </w:pPr>
          </w:p>
        </w:tc>
      </w:tr>
      <w:tr>
        <w:trPr>
          <w:trHeight w:val="279"/>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Proceeds from issuance of common stock, net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202,130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52,552,758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Proceeds from exercise of stock options  . . . . . . . . . . . . . . . . . . . . . .</w:t>
            </w:r>
          </w:p>
        </w:tc>
        <w:tc>
          <w:tcPr>
            <w:tcW w:w="340" w:type="dxa"/>
            <w:vAlign w:val="bottom"/>
          </w:tcPr>
          <w:p>
            <w:pPr>
              <w:spacing w:after="0"/>
              <w:rPr>
                <w:sz w:val="24"/>
                <w:szCs w:val="24"/>
                <w:color w:val="auto"/>
              </w:rPr>
            </w:pP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cash provided by financing activities . . . . . . . . . . . . . . . . . . . .</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202,130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52,555,845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  . . . . . .</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(31,715,159)</w:t>
            </w:r>
          </w:p>
        </w:tc>
        <w:tc>
          <w:tcPr>
            <w:tcW w:w="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22,144,949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the period  . . . . .</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43,497,331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21,352,382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7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9"/>
              </w:rPr>
              <w:t xml:space="preserve">Cash, cash equivalents and restricted cash at end of the period  </w:t>
            </w:r>
            <w:r>
              <w:rPr>
                <w:rFonts w:ascii="Times New Roman" w:cs="Times New Roman" w:eastAsia="Times New Roman" w:hAnsi="Times New Roman"/>
                <w:sz w:val="20"/>
                <w:szCs w:val="20"/>
                <w:color w:val="auto"/>
                <w:w w:val="99"/>
              </w:rPr>
              <w:t>. . . . . . . . . . .</w:t>
            </w: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$ 11,782,172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$ 43,497,331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8"/>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8"/>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30"/>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720" w:type="dxa"/>
            <w:vAlign w:val="bottom"/>
          </w:tcPr>
          <w:p>
            <w:pPr>
              <w:spacing w:after="0"/>
              <w:rPr>
                <w:sz w:val="19"/>
                <w:szCs w:val="19"/>
                <w:color w:val="auto"/>
              </w:rPr>
            </w:pP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Supplemental schedule of non-cash financing and investing activities:</w:t>
            </w:r>
          </w:p>
        </w:tc>
        <w:tc>
          <w:tcPr>
            <w:tcW w:w="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7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Reclassifications between construction in progress and fixed assets . . . . . . .</w:t>
            </w:r>
          </w:p>
        </w:tc>
        <w:tc>
          <w:tcPr>
            <w:tcW w:w="13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  $4,089,135</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$6,789,098</w:t>
            </w:r>
          </w:p>
        </w:tc>
        <w:tc>
          <w:tcPr>
            <w:tcW w:w="0" w:type="dxa"/>
            <w:vAlign w:val="bottom"/>
          </w:tcPr>
          <w:p>
            <w:pPr>
              <w:spacing w:after="0"/>
              <w:rPr>
                <w:sz w:val="1"/>
                <w:szCs w:val="1"/>
                <w:color w:val="auto"/>
              </w:rPr>
            </w:pPr>
          </w:p>
        </w:tc>
      </w:tr>
      <w:tr>
        <w:trPr>
          <w:trHeight w:val="299"/>
        </w:trPr>
        <w:tc>
          <w:tcPr>
            <w:tcW w:w="6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 expenditures included in accounts payable . . . . . . . . . . . . . . . . . . .</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   57,607</w:t>
            </w:r>
          </w:p>
        </w:tc>
        <w:tc>
          <w:tcPr>
            <w:tcW w:w="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$2,160,765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Changes to right-of-use assets and lease liability due to close out of operating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leases . . . . . . . . . . . . . . . . . . . . . . . . . . . . . . . . . . . . . . . . . . . . . . . .</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$3,459,332</w:t>
            </w:r>
          </w:p>
        </w:tc>
        <w:tc>
          <w:tcPr>
            <w:tcW w:w="8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023" w:right="132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860" w:right="92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F-7</w:t>
      </w:r>
    </w:p>
    <w:p>
      <w:pPr>
        <w:sectPr>
          <w:pgSz w:w="11880" w:h="15480" w:orient="portrait"/>
          <w:cols w:equalWidth="0" w:num="1">
            <w:col w:w="9180"/>
          </w:cols>
          <w:pgMar w:left="1380" w:top="1023" w:right="1320" w:bottom="309" w:gutter="0" w:footer="0" w:header="0"/>
          <w:type w:val="continuous"/>
        </w:sectPr>
      </w:pPr>
    </w:p>
    <w:bookmarkStart w:id="105" w:name="page106"/>
    <w:bookmarkEnd w:id="105"/>
    <w:p>
      <w:pPr>
        <w:jc w:val="center"/>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MARKER THERAPEUTICS, INC. NOTES TO CONSOLIDATED FINANCIAL STATEMENTS FOR THE FISCAL YEARS DECEMBER 31, 2022 AND 2021</w:t>
      </w:r>
    </w:p>
    <w:p>
      <w:pPr>
        <w:spacing w:after="0" w:line="2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1:</w:t>
        <w:tab/>
        <w:t>NATURE OF OPERATIONS</w:t>
      </w:r>
    </w:p>
    <w:p>
      <w:pPr>
        <w:spacing w:after="0" w:line="17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Reverse Stock Split</w:t>
      </w:r>
    </w:p>
    <w:p>
      <w:pPr>
        <w:spacing w:after="0" w:line="169"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 Payment for fractional shares resulting from the reverse stock split amounted to $394.80.</w:t>
      </w:r>
    </w:p>
    <w:p>
      <w:pPr>
        <w:spacing w:after="0" w:line="200" w:lineRule="exact"/>
        <w:rPr>
          <w:sz w:val="20"/>
          <w:szCs w:val="20"/>
          <w:color w:val="auto"/>
        </w:rPr>
      </w:pPr>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2:</w:t>
        <w:tab/>
        <w:t>FINANCIAL CONDITION, GOING CONCERN AND MANAGEMENT PLANS</w:t>
      </w:r>
    </w:p>
    <w:p>
      <w:pPr>
        <w:spacing w:after="0" w:line="171"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As of December 31, 2022, the Company had cash and cash equivalents of approximately $11.8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24" w:lineRule="exact"/>
        <w:rPr>
          <w:sz w:val="20"/>
          <w:szCs w:val="20"/>
          <w:color w:val="auto"/>
        </w:rPr>
      </w:pPr>
    </w:p>
    <w:p>
      <w:pPr>
        <w:ind w:right="20" w:firstLine="399"/>
        <w:spacing w:after="0" w:line="284" w:lineRule="auto"/>
        <w:rPr>
          <w:sz w:val="20"/>
          <w:szCs w:val="20"/>
          <w:color w:val="auto"/>
        </w:rPr>
      </w:pPr>
      <w:r>
        <w:rPr>
          <w:rFonts w:ascii="Times New Roman" w:cs="Times New Roman" w:eastAsia="Times New Roman" w:hAnsi="Times New Roman"/>
          <w:sz w:val="20"/>
          <w:szCs w:val="20"/>
          <w:color w:val="auto"/>
        </w:rPr>
        <w:t>On March 16, 2021, the Company issued an aggregate of 3,228,286 shares of its common stock, for net proceeds of $52.6 million.</w:t>
      </w:r>
    </w:p>
    <w:p>
      <w:pPr>
        <w:spacing w:after="0" w:line="76"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In August 2021, the Company entered into a Controlled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During the year ended December 31, 2022, the Company sold 60,651 shares of its common stock under the ATM Agreement for net proceeds of $0.2 million.</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100"/>
          </w:cols>
          <w:pgMar w:left="1400" w:top="1023" w:right="1380" w:bottom="70" w:gutter="0" w:footer="0" w:header="0"/>
          <w:type w:val="continuous"/>
        </w:sectPr>
      </w:pPr>
    </w:p>
    <w:bookmarkStart w:id="106" w:name="page107"/>
    <w:bookmarkEnd w:id="106"/>
    <w:p>
      <w:pPr>
        <w:ind w:left="380"/>
        <w:spacing w:after="0"/>
        <w:rPr>
          <w:sz w:val="20"/>
          <w:szCs w:val="20"/>
          <w:color w:val="auto"/>
        </w:rPr>
      </w:pPr>
      <w:r>
        <w:rPr>
          <w:rFonts w:ascii="Times New Roman" w:cs="Times New Roman" w:eastAsia="Times New Roman" w:hAnsi="Times New Roman"/>
          <w:sz w:val="20"/>
          <w:szCs w:val="20"/>
          <w:color w:val="auto"/>
        </w:rPr>
        <w:t>In August 2021, the Company received notice of a Product Development Research award totaling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approximately $13.1 million from the Cancer Prevention and Research Institute of Texas (“CPRIT”)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support the Company’s Phase 2 clinical trial of MT-401. The CPRIT award is intended to support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adjuvant arm of the Company’s Phase 2 clinical trial evaluating MT-401 when given as an adjuvant therapy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patients with acute myeloid leukemia following a hematopoietic stem cell transplant. The primary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objectives of the adjuvant arm of the trial are to evaluate relapse-free survival after MT-401 treatment when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compared with a randomized control group. Through the date of this filing, the Company has received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 million of funds from the CPRIT grant. The Company recorded $3.4 million of grant income related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CPRIT grant as revenue for the year ended December 31, 2022.</w:t>
      </w:r>
    </w:p>
    <w:p>
      <w:pPr>
        <w:spacing w:after="0" w:line="171"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On April 21, 2022, the Company entered into a binding services agreement (the “Services Agreement”), dated April 12, 2022 (see Note 9), with Wilson Wolf Manufacturing Corporation (“Wilson Wolf ”). Mr. John Wilson is a member of the Company’s board of directors and is serving as the CEO of Wilson Wolf, therefore Wilson Wolf is a related party. Pursuant to the Services Agreement, Wilson Wolf made a cash payment to the Company in the amount of $8.0 million. For the year ending December 31, 2022, the Company recognized $5.5 million of revenue pursuant to this agreement and at December 31, 2022, the Company recorded $2.5 million of related party deferred revenue on its consolidated balance sheet.</w:t>
      </w:r>
    </w:p>
    <w:p>
      <w:pPr>
        <w:spacing w:after="0" w:line="126"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On September 13, 2022, the Company received notice from the U.S. Food and Drug Administration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25"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20"/>
          <w:szCs w:val="20"/>
          <w:color w:val="auto"/>
        </w:rPr>
        <w:t>On December 12, 2022, the Company entered into a purchase agreement, or the Purchase Agreement, with Lincoln Park Capital Fund, LLC, or Lincoln Park, which provides that, upon the terms and subject to the conditions of the agreement, the Company has the right, but not the obligation, to sell to Lincoln Park up to $25,000,000 of shares of its common stock, or the Purchase Shares, from time to time over a</w:t>
      </w:r>
    </w:p>
    <w:p>
      <w:pPr>
        <w:spacing w:after="0" w:line="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24-month term. For the year ended December 31, 2022, the Company did not sell any shares of its common stock under the Purchase Agreement. In January 2023, Lincoln Park was issued 180,410 shares of stock as a commitment fee at a value of $0.5 million.</w:t>
      </w:r>
    </w:p>
    <w:p>
      <w:pPr>
        <w:spacing w:after="0" w:line="111"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368" w:lineRule="exact"/>
        <w:rPr>
          <w:sz w:val="20"/>
          <w:szCs w:val="20"/>
          <w:color w:val="auto"/>
        </w:rPr>
      </w:pPr>
    </w:p>
    <w:p>
      <w:pPr>
        <w:ind w:right="60" w:firstLine="399"/>
        <w:spacing w:after="0" w:line="258" w:lineRule="auto"/>
        <w:rPr>
          <w:sz w:val="20"/>
          <w:szCs w:val="20"/>
          <w:color w:val="auto"/>
        </w:rPr>
      </w:pPr>
      <w:r>
        <w:rPr>
          <w:rFonts w:ascii="Times New Roman" w:cs="Times New Roman" w:eastAsia="Times New Roman" w:hAnsi="Times New Roman"/>
          <w:sz w:val="20"/>
          <w:szCs w:val="20"/>
          <w:color w:val="auto"/>
        </w:rPr>
        <w:t>Based on the Company’s clinical and research and development plans and its timing expectations related to the progress of its programs, the Company expects that its cash and cash equivalents as of December 31, 2022 will enable the Company to fund its operating expenses and capital expenditure requirements into the third quarter of 2023, as such these factors raise substantial doubt regarding the Company’s ability to continue as a going concern. In an effort to further preserve the Company’s working capital, the Company’s employees took a portion of their 2022 earned bonus in the form of equity in lieu of cash.</w:t>
      </w:r>
    </w:p>
    <w:p>
      <w:pPr>
        <w:spacing w:after="0" w:line="367"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100"/>
          </w:cols>
          <w:pgMar w:left="1400" w:top="1025" w:right="1380" w:bottom="69" w:gutter="0" w:footer="0" w:header="0"/>
        </w:sectPr>
      </w:pPr>
    </w:p>
    <w:bookmarkStart w:id="107" w:name="page108"/>
    <w:bookmarkEnd w:id="107"/>
    <w:p>
      <w:pPr>
        <w:ind w:right="60"/>
        <w:spacing w:after="0" w:line="279" w:lineRule="auto"/>
        <w:rPr>
          <w:sz w:val="20"/>
          <w:szCs w:val="20"/>
          <w:color w:val="auto"/>
        </w:rPr>
      </w:pPr>
      <w:r>
        <w:rPr>
          <w:rFonts w:ascii="Times New Roman" w:cs="Times New Roman" w:eastAsia="Times New Roman" w:hAnsi="Times New Roman"/>
          <w:sz w:val="20"/>
          <w:szCs w:val="20"/>
          <w:color w:val="auto"/>
        </w:rPr>
        <w:t>amounts of increased capital outlays and operating expenditures associated with its current and anticipated clinical trials. The Company’s future funding requirements will depend on many factors, as it:</w:t>
      </w:r>
    </w:p>
    <w:p>
      <w:pPr>
        <w:spacing w:after="0" w:line="56" w:lineRule="exact"/>
        <w:rPr>
          <w:sz w:val="20"/>
          <w:szCs w:val="20"/>
          <w:color w:val="auto"/>
        </w:rPr>
      </w:pPr>
    </w:p>
    <w:p>
      <w:pPr>
        <w:ind w:left="580" w:hanging="191"/>
        <w:spacing w:after="0"/>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initiates or continues clinical trials of its product candidates;</w:t>
      </w:r>
    </w:p>
    <w:p>
      <w:pPr>
        <w:spacing w:after="0" w:line="125" w:lineRule="exact"/>
        <w:rPr>
          <w:rFonts w:ascii="Times New Roman" w:cs="Times New Roman" w:eastAsia="Times New Roman" w:hAnsi="Times New Roman"/>
          <w:sz w:val="20"/>
          <w:szCs w:val="20"/>
          <w:color w:val="auto"/>
        </w:rPr>
      </w:pPr>
    </w:p>
    <w:p>
      <w:pPr>
        <w:ind w:left="580" w:right="260" w:hanging="191"/>
        <w:spacing w:after="0" w:line="279" w:lineRule="auto"/>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continues the research and development of its product candidates and seeks to discover additional product candidates;</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seeks regulatory approvals for any product candidates that successfully complete clinical trials;</w:t>
      </w:r>
    </w:p>
    <w:p>
      <w:pPr>
        <w:spacing w:after="0" w:line="12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maintains and enforces intellectual property rights;</w:t>
      </w:r>
    </w:p>
    <w:p>
      <w:pPr>
        <w:spacing w:after="0" w:line="127" w:lineRule="exact"/>
        <w:rPr>
          <w:rFonts w:ascii="Times New Roman" w:cs="Times New Roman" w:eastAsia="Times New Roman" w:hAnsi="Times New Roman"/>
          <w:sz w:val="20"/>
          <w:szCs w:val="20"/>
          <w:color w:val="auto"/>
        </w:rPr>
      </w:pPr>
    </w:p>
    <w:p>
      <w:pPr>
        <w:ind w:left="580" w:right="220" w:hanging="191"/>
        <w:spacing w:after="0" w:line="282" w:lineRule="auto"/>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establishes sales, marketing and distribution infrastructure and scale-up manufacturing capabilities to commercialize any product candidates that may receive regulatory approval;</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evaluates strategic transactions the Company may undertake; and</w:t>
      </w:r>
    </w:p>
    <w:p>
      <w:pPr>
        <w:spacing w:after="0" w:line="127"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13"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These factors raise substantial doubt regarding the Company’s ability to continue as a going concern within one year after the date that the financial statements are issued. The accompanying consolidated financial statements have been prepared on a going concern basis, which implies that the Company will continue to realize its assets and discharge its liabilities in the normal course of business. The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 addition to the foregoing, based on the Company’s current assessment, the Company does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 any material impact on its long-term liquidity due to the COVID-19 pandemic. However,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will continue to assess the effect of the pandemic on its operations, including its clinical programs.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the COVID-19 pandemic, decades-high inflation and concerns about an economic recession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United States or other major markets has resulted in, among other things, volatility in the capital markets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may have the effect of reducing the Company’s ability to access capital, which could in the future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negatively affect the Company’s liquidity. In addition, a recession or market correction due to these factors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materially affect the Company’s business and the value of its common stock.</w:t>
      </w:r>
    </w:p>
    <w:p>
      <w:pPr>
        <w:spacing w:after="0" w:line="2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3:</w:t>
        <w:tab/>
        <w:t>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principles generally accepted in the United States of America and pursuant to the rules and regulations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Securities Exchange Commission (“SEC”). Any reference in these footnotes to applicable guidance 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meant to refer to the authoritative U.S. generally accepted accounting principles (“GAAP”) as found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Accounting Standards Codification (“ASC”) and Accounting Standards Update (“ASU”) of the Financial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Accounting Standards Board (“FASB”).</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66"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66" w:lineRule="exact"/>
        <w:rPr>
          <w:sz w:val="20"/>
          <w:szCs w:val="20"/>
          <w:color w:val="auto"/>
        </w:rPr>
      </w:pPr>
    </w:p>
    <w:p>
      <w:pPr>
        <w:ind w:right="300" w:firstLine="399"/>
        <w:spacing w:after="0" w:line="264" w:lineRule="auto"/>
        <w:rPr>
          <w:sz w:val="20"/>
          <w:szCs w:val="20"/>
          <w:color w:val="auto"/>
        </w:rPr>
      </w:pPr>
      <w:r>
        <w:rPr>
          <w:rFonts w:ascii="Times New Roman" w:cs="Times New Roman" w:eastAsia="Times New Roman" w:hAnsi="Times New Roman"/>
          <w:sz w:val="20"/>
          <w:szCs w:val="20"/>
          <w:color w:val="auto"/>
        </w:rPr>
        <w:t>Preparation of the Company’s consolidated financial statements in conformity with GAAP requires management to make estimates and assumptions that affect certain reported amounts and disclosures. Accordingly, actual results could differ materially from those estimates. Significant areas requiring</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1880" w:h="15480" w:orient="portrait"/>
          <w:cols w:equalWidth="0" w:num="1">
            <w:col w:w="9100"/>
          </w:cols>
          <w:pgMar w:left="1400" w:top="1025" w:right="1380" w:bottom="71" w:gutter="0" w:footer="0" w:header="0"/>
        </w:sectPr>
      </w:pPr>
    </w:p>
    <w:bookmarkStart w:id="108" w:name="page109"/>
    <w:bookmarkEnd w:id="108"/>
    <w:p>
      <w:pPr>
        <w:ind w:right="140"/>
        <w:spacing w:after="0" w:line="257" w:lineRule="auto"/>
        <w:rPr>
          <w:sz w:val="20"/>
          <w:szCs w:val="20"/>
          <w:color w:val="auto"/>
        </w:rPr>
      </w:pPr>
      <w:r>
        <w:rPr>
          <w:rFonts w:ascii="Times New Roman" w:cs="Times New Roman" w:eastAsia="Times New Roman" w:hAnsi="Times New Roman"/>
          <w:sz w:val="20"/>
          <w:szCs w:val="20"/>
          <w:color w:val="auto"/>
        </w:rPr>
        <w:t>management’s estimates and assumptions include measurement of fair value and projections used in impairment testing, valuation allowance on deferred tax assets, determining the fair value of stock-based compensation and stock-based transactions, the fair value of the components of the warrant liabilities and accrued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Restricted Cash and Credit Risk</w:t>
      </w:r>
    </w:p>
    <w:p>
      <w:pPr>
        <w:spacing w:after="0" w:line="149" w:lineRule="exact"/>
        <w:rPr>
          <w:sz w:val="20"/>
          <w:szCs w:val="20"/>
          <w:color w:val="auto"/>
        </w:rPr>
      </w:pPr>
    </w:p>
    <w:p>
      <w:pPr>
        <w:ind w:right="20" w:firstLine="399"/>
        <w:spacing w:after="0" w:line="257" w:lineRule="auto"/>
        <w:rPr>
          <w:sz w:val="20"/>
          <w:szCs w:val="20"/>
          <w:color w:val="auto"/>
        </w:rPr>
      </w:pPr>
      <w:r>
        <w:rPr>
          <w:rFonts w:ascii="Times New Roman" w:cs="Times New Roman" w:eastAsia="Times New Roman" w:hAnsi="Times New Roman"/>
          <w:sz w:val="20"/>
          <w:szCs w:val="20"/>
          <w:color w:val="auto"/>
        </w:rPr>
        <w:t>The Company considers highly liquid investments with a maturity of three months or less when purchased to be cash equivalents. Cash, cash equivalents and restricted cash at December 31, 2022 consisted of cash and certificates of deposit in institutions in the United States. Balances at certain institutions have exceeded Federal Deposit Insurance Corporation insured limits and U.S. government agency securities.</w:t>
      </w:r>
    </w:p>
    <w:p>
      <w:pPr>
        <w:spacing w:after="0" w:line="105" w:lineRule="exact"/>
        <w:rPr>
          <w:sz w:val="20"/>
          <w:szCs w:val="20"/>
          <w:color w:val="auto"/>
        </w:rPr>
      </w:pPr>
    </w:p>
    <w:p>
      <w:pPr>
        <w:ind w:right="80" w:firstLine="399"/>
        <w:spacing w:after="0" w:line="262" w:lineRule="auto"/>
        <w:rPr>
          <w:sz w:val="20"/>
          <w:szCs w:val="20"/>
          <w:color w:val="auto"/>
        </w:rPr>
      </w:pPr>
      <w:r>
        <w:rPr>
          <w:rFonts w:ascii="Times New Roman" w:cs="Times New Roman" w:eastAsia="Times New Roman" w:hAnsi="Times New Roman"/>
          <w:sz w:val="20"/>
          <w:szCs w:val="20"/>
          <w:color w:val="auto"/>
        </w:rPr>
        <w:t>The Company maintains cash in accounts which are in excess of the Federal Deposit Insurance Corporation (“FDIC”) insured limits of $250,000. As of December 31, 2022, approximately $1.8 million in cash was uninsured based upon the FDIC insurance coverage limits.</w:t>
      </w:r>
    </w:p>
    <w:p>
      <w:pPr>
        <w:spacing w:after="0" w:line="101" w:lineRule="exact"/>
        <w:rPr>
          <w:sz w:val="20"/>
          <w:szCs w:val="20"/>
          <w:color w:val="auto"/>
        </w:rPr>
      </w:pPr>
    </w:p>
    <w:p>
      <w:pPr>
        <w:ind w:right="240" w:firstLine="399"/>
        <w:spacing w:after="0" w:line="270"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balance sheets that sum to the total of the same such amounts shown in the statements of cash flows.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11,782,172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42,351,145</w:t>
            </w:r>
          </w:p>
        </w:tc>
      </w:tr>
      <w:tr>
        <w:trPr>
          <w:trHeight w:val="299"/>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1,146,186</w:t>
            </w:r>
          </w:p>
        </w:tc>
      </w:tr>
      <w:tr>
        <w:trPr>
          <w:trHeight w:val="266"/>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Total cash, cash equivalents and restricted cash shown in statements of cash</w:t>
            </w: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r>
      <w:tr>
        <w:trPr>
          <w:trHeight w:val="266"/>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flows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11,782,172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43,497,331</w:t>
            </w: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399"/>
        <w:spacing w:after="0" w:line="279" w:lineRule="auto"/>
        <w:rPr>
          <w:sz w:val="20"/>
          <w:szCs w:val="20"/>
          <w:color w:val="auto"/>
        </w:rPr>
      </w:pPr>
      <w:r>
        <w:rPr>
          <w:rFonts w:ascii="Times New Roman" w:cs="Times New Roman" w:eastAsia="Times New Roman" w:hAnsi="Times New Roman"/>
          <w:sz w:val="20"/>
          <w:szCs w:val="20"/>
          <w:color w:val="auto"/>
        </w:rPr>
        <w:t>Cash received from grants in advance of incurring qualifying costs are recorded as restricted cash until they are earned and recorded to grant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49" w:lineRule="exact"/>
        <w:rPr>
          <w:sz w:val="20"/>
          <w:szCs w:val="20"/>
          <w:color w:val="auto"/>
        </w:rPr>
      </w:pPr>
    </w:p>
    <w:p>
      <w:pPr>
        <w:ind w:right="20" w:firstLine="399"/>
        <w:spacing w:after="0" w:line="259" w:lineRule="auto"/>
        <w:rPr>
          <w:sz w:val="20"/>
          <w:szCs w:val="20"/>
          <w:color w:val="auto"/>
        </w:rPr>
      </w:pPr>
      <w:r>
        <w:rPr>
          <w:rFonts w:ascii="Times New Roman" w:cs="Times New Roman" w:eastAsia="Times New Roman" w:hAnsi="Times New Roman"/>
          <w:sz w:val="20"/>
          <w:szCs w:val="20"/>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 Construction in Progress</w:t>
      </w:r>
    </w:p>
    <w:p>
      <w:pPr>
        <w:spacing w:after="0" w:line="149"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20"/>
          <w:szCs w:val="20"/>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 with the buildout were recorded as either manufacturing equipment and/or leasehold improvements and amortized over the estimated useful life of the asset and/or leasehold lease.</w:t>
      </w:r>
    </w:p>
    <w:p>
      <w:pPr>
        <w:spacing w:after="0" w:line="113" w:lineRule="exact"/>
        <w:rPr>
          <w:sz w:val="20"/>
          <w:szCs w:val="20"/>
          <w:color w:val="auto"/>
        </w:rPr>
      </w:pPr>
    </w:p>
    <w:p>
      <w:pPr>
        <w:ind w:right="80" w:firstLine="399"/>
        <w:spacing w:after="0" w:line="251" w:lineRule="auto"/>
        <w:rPr>
          <w:sz w:val="20"/>
          <w:szCs w:val="20"/>
          <w:color w:val="auto"/>
        </w:rPr>
      </w:pPr>
      <w:r>
        <w:rPr>
          <w:rFonts w:ascii="Times New Roman" w:cs="Times New Roman" w:eastAsia="Times New Roman" w:hAnsi="Times New Roman"/>
          <w:sz w:val="20"/>
          <w:szCs w:val="20"/>
          <w:color w:val="auto"/>
        </w:rPr>
        <w:t>During the third and fourth quarters of 2021, and in connection with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The Company incurred another $1.9 million in related costs in 2022. Upon completion and installation of the second modular cleanroom in 2022, all costs associated with the buildout were recorded as manufacturing equipment and leasehold improvements and are being amortized over the estimated useful life.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Testing of Long-Lived Assets and Right-Of-Use Assets</w:t>
      </w:r>
    </w:p>
    <w:p>
      <w:pPr>
        <w:spacing w:after="0" w:line="149" w:lineRule="exact"/>
        <w:rPr>
          <w:sz w:val="20"/>
          <w:szCs w:val="20"/>
          <w:color w:val="auto"/>
        </w:rPr>
      </w:pPr>
    </w:p>
    <w:p>
      <w:pPr>
        <w:ind w:right="180" w:firstLine="399"/>
        <w:spacing w:after="0" w:line="279" w:lineRule="auto"/>
        <w:rPr>
          <w:sz w:val="20"/>
          <w:szCs w:val="20"/>
          <w:color w:val="auto"/>
        </w:rPr>
      </w:pPr>
      <w:r>
        <w:rPr>
          <w:rFonts w:ascii="Times New Roman" w:cs="Times New Roman" w:eastAsia="Times New Roman" w:hAnsi="Times New Roman"/>
          <w:sz w:val="20"/>
          <w:szCs w:val="20"/>
          <w:color w:val="auto"/>
        </w:rPr>
        <w:t>Management reviews long-lived assets (including property and equipment) and right-of-use assets for assets under operating leases for impairment whenever events or changes in circumstances indicate that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1880" w:h="15480" w:orient="portrait"/>
          <w:cols w:equalWidth="0" w:num="1">
            <w:col w:w="9100"/>
          </w:cols>
          <w:pgMar w:left="1400" w:top="1025" w:right="1380" w:bottom="70" w:gutter="0" w:footer="0" w:header="0"/>
        </w:sectPr>
      </w:pPr>
    </w:p>
    <w:bookmarkStart w:id="109" w:name="page110"/>
    <w:bookmarkEnd w:id="109"/>
    <w:p>
      <w:pPr>
        <w:spacing w:after="0" w:line="261" w:lineRule="auto"/>
        <w:rPr>
          <w:sz w:val="20"/>
          <w:szCs w:val="20"/>
          <w:color w:val="auto"/>
        </w:rPr>
      </w:pPr>
      <w:r>
        <w:rPr>
          <w:rFonts w:ascii="Times New Roman" w:cs="Times New Roman" w:eastAsia="Times New Roman" w:hAnsi="Times New Roman"/>
          <w:sz w:val="20"/>
          <w:szCs w:val="20"/>
          <w:color w:val="auto"/>
        </w:rPr>
        <w:t>their carrying amount may not be recoverable. Recoverability of assets is determined by first grouping the long-lived assets at the lowest level for which there are identifiable cash flows, and then comparing the carrying value of each asset group to its forecasted undiscounted cash flows. If the evaluation of the forecasted cash flows indicates that the carrying value of the assets is not recoverable, an impairment charge is recognized for the amount in excess of the carrying amount over its fair value. The Company performed a test for recoverability related to its manufacturing facility in Houston, Texas at December 31, 2022 and concluded that the carrying value of its long-lived assets was recoverable.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 and Patent Application Costs</w:t>
      </w:r>
    </w:p>
    <w:p>
      <w:pPr>
        <w:spacing w:after="0" w:line="174" w:lineRule="exact"/>
        <w:rPr>
          <w:sz w:val="20"/>
          <w:szCs w:val="20"/>
          <w:color w:val="auto"/>
        </w:rPr>
      </w:pPr>
    </w:p>
    <w:p>
      <w:pPr>
        <w:jc w:val="both"/>
        <w:ind w:right="160" w:firstLine="399"/>
        <w:spacing w:after="0" w:line="273" w:lineRule="auto"/>
        <w:rPr>
          <w:sz w:val="20"/>
          <w:szCs w:val="20"/>
          <w:color w:val="auto"/>
        </w:rPr>
      </w:pPr>
      <w:r>
        <w:rPr>
          <w:rFonts w:ascii="Times New Roman" w:cs="Times New Roman" w:eastAsia="Times New Roman" w:hAnsi="Times New Roman"/>
          <w:sz w:val="20"/>
          <w:szCs w:val="20"/>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74"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20"/>
          <w:szCs w:val="20"/>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372" w:lineRule="exact"/>
        <w:rPr>
          <w:sz w:val="20"/>
          <w:szCs w:val="20"/>
          <w:color w:val="auto"/>
        </w:rPr>
      </w:pPr>
    </w:p>
    <w:p>
      <w:pPr>
        <w:ind w:left="380"/>
        <w:spacing w:after="0" w:line="267"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The expected life of stock options was estimated using the “simplified method,”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has limited 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18" w:lineRule="exact"/>
        <w:rPr>
          <w:sz w:val="20"/>
          <w:szCs w:val="20"/>
          <w:color w:val="auto"/>
        </w:rPr>
      </w:pPr>
    </w:p>
    <w:p>
      <w:pPr>
        <w:ind w:left="380" w:right="200"/>
        <w:spacing w:after="0" w:line="290"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The Company computes stock price volatility over expected terms based on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historical common stock trading prices.</w:t>
      </w:r>
    </w:p>
    <w:p>
      <w:pPr>
        <w:spacing w:after="0" w:line="95" w:lineRule="exact"/>
        <w:rPr>
          <w:sz w:val="20"/>
          <w:szCs w:val="20"/>
          <w:color w:val="auto"/>
        </w:rPr>
      </w:pPr>
    </w:p>
    <w:p>
      <w:pPr>
        <w:ind w:left="380" w:right="140"/>
        <w:spacing w:after="0" w:line="290"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Company bases the risk-free interest rate on the implied yield available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U. S. Treasury zero-coupon issues with an equivalent remaining term.</w:t>
      </w:r>
    </w:p>
    <w:p>
      <w:pPr>
        <w:spacing w:after="0" w:line="95"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Expected Dividend </w:t>
      </w:r>
      <w:r>
        <w:rPr>
          <w:rFonts w:ascii="Times New Roman" w:cs="Times New Roman" w:eastAsia="Times New Roman" w:hAnsi="Times New Roman"/>
          <w:sz w:val="20"/>
          <w:szCs w:val="20"/>
          <w:color w:val="auto"/>
        </w:rPr>
        <w:t>— The Company has never declared or paid any cash dividends on its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and does not plan to pay cash dividends in the foreseeable future, and, therefore, uses an expected dividend yield of zero in its valuation models. 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174" w:lineRule="exact"/>
        <w:rPr>
          <w:sz w:val="20"/>
          <w:szCs w:val="20"/>
          <w:color w:val="auto"/>
        </w:rPr>
      </w:pPr>
    </w:p>
    <w:p>
      <w:pPr>
        <w:ind w:right="40" w:firstLine="399"/>
        <w:spacing w:after="0" w:line="267" w:lineRule="auto"/>
        <w:rPr>
          <w:sz w:val="20"/>
          <w:szCs w:val="20"/>
          <w:color w:val="auto"/>
        </w:rPr>
      </w:pPr>
      <w:r>
        <w:rPr>
          <w:rFonts w:ascii="Times New Roman" w:cs="Times New Roman" w:eastAsia="Times New Roman" w:hAnsi="Times New Roman"/>
          <w:sz w:val="20"/>
          <w:szCs w:val="20"/>
          <w:color w:val="auto"/>
        </w:rPr>
        <w:t>Research and development expenses consist of expenses incurred in performing research and development activities, including compensation and benefits for research and development employees and consultants, facilities expenses, overhead expenses, cost of laboratory supplies, manufacturing expenses, fees paid to third parties and other outside expenses.</w:t>
      </w:r>
    </w:p>
    <w:p>
      <w:pPr>
        <w:spacing w:after="0" w:line="118"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1880" w:h="15480" w:orient="portrait"/>
          <w:cols w:equalWidth="0" w:num="1">
            <w:col w:w="9100"/>
          </w:cols>
          <w:pgMar w:left="1400" w:top="1025" w:right="1380" w:bottom="69"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6"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25"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2022 and 2021,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2022 and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 Income</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Grant Income represents funding under cost reimbursement programs from government agencies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non-profit foundations for qualified research and development activities performed by the Company.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applying the provisions of ASC Topic 606, Revenue from Contracts with Customers (“ASC 606”),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determined that grants and awards are out of the scope of ASC 606 because the funding entities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 not meet the definition of a “customer”, as defined by ASC 606, as there is not considered to be a transfer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control of goods or services. With respect to each grant or award, the Company determines if it has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collaboration in accordance with ASC Topic 808, Collaborative Arrangements (“ASC 808”). To the extent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 or award is within the scope of ASC 808, the Company recognizes the award upon achievement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milestones as credits to research and development expenses. For grant and awards outside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scope of ASC 808, the Company applies ASC 606 by analogy, and revenue is recognized when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incurs expenses related to the grants for the amount the Company is entitled to under the provisions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w:t>
      </w:r>
    </w:p>
    <w:p>
      <w:pPr>
        <w:spacing w:after="0" w:line="167" w:lineRule="exact"/>
        <w:rPr>
          <w:sz w:val="20"/>
          <w:szCs w:val="20"/>
          <w:color w:val="auto"/>
        </w:rPr>
      </w:pPr>
    </w:p>
    <w:p>
      <w:pPr>
        <w:ind w:right="500" w:firstLine="399"/>
        <w:spacing w:after="0" w:line="284" w:lineRule="auto"/>
        <w:rPr>
          <w:sz w:val="20"/>
          <w:szCs w:val="20"/>
          <w:color w:val="auto"/>
        </w:rPr>
      </w:pPr>
      <w:r>
        <w:rPr>
          <w:rFonts w:ascii="Times New Roman" w:cs="Times New Roman" w:eastAsia="Times New Roman" w:hAnsi="Times New Roman"/>
          <w:sz w:val="20"/>
          <w:szCs w:val="20"/>
          <w:color w:val="auto"/>
        </w:rPr>
        <w:t>In August 2021, the Company received notice of a Product Development Research award totaling approximately $13.1 million from CPRIT to support its Phase 2 clinical trial of MT-401.</w:t>
      </w:r>
    </w:p>
    <w:p>
      <w:pPr>
        <w:spacing w:after="0" w:line="94" w:lineRule="exact"/>
        <w:rPr>
          <w:sz w:val="20"/>
          <w:szCs w:val="20"/>
          <w:color w:val="auto"/>
        </w:rPr>
      </w:pPr>
    </w:p>
    <w:p>
      <w:pPr>
        <w:ind w:right="20" w:firstLine="399"/>
        <w:spacing w:after="0" w:line="261" w:lineRule="auto"/>
        <w:rPr>
          <w:sz w:val="20"/>
          <w:szCs w:val="20"/>
          <w:color w:val="auto"/>
        </w:rPr>
      </w:pPr>
      <w:r>
        <w:rPr>
          <w:rFonts w:ascii="Times New Roman" w:cs="Times New Roman" w:eastAsia="Times New Roman" w:hAnsi="Times New Roman"/>
          <w:sz w:val="20"/>
          <w:szCs w:val="20"/>
          <w:color w:val="auto"/>
        </w:rPr>
        <w:t>In accordance with ASC 730-20-25-8, to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w:t>
      </w:r>
    </w:p>
    <w:p>
      <w:pPr>
        <w:spacing w:after="0" w:line="117" w:lineRule="exact"/>
        <w:rPr>
          <w:sz w:val="20"/>
          <w:szCs w:val="20"/>
          <w:color w:val="auto"/>
        </w:rPr>
      </w:pPr>
    </w:p>
    <w:p>
      <w:pPr>
        <w:ind w:right="40" w:firstLine="399"/>
        <w:spacing w:after="0" w:line="254" w:lineRule="auto"/>
        <w:rPr>
          <w:sz w:val="20"/>
          <w:szCs w:val="20"/>
          <w:color w:val="auto"/>
        </w:rPr>
      </w:pPr>
      <w:r>
        <w:rPr>
          <w:rFonts w:ascii="Times New Roman" w:cs="Times New Roman" w:eastAsia="Times New Roman" w:hAnsi="Times New Roman"/>
          <w:sz w:val="20"/>
          <w:szCs w:val="20"/>
          <w:color w:val="auto"/>
        </w:rPr>
        <w:t>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During the fourth quarter of 2021, the Company received $2.4 million advancement of funds in relation to the CPRIT grant. The Company recorded $3.4 million of grant income related to the CPRIT grant as revenue for the year ended December 31, 2022. At December 31, 2022, the Company recorded $2.3 million of grant income receivable, which represented grant income earned in advance of the next tranche of funds to be received from CPRIT. In January 2023, the Company received $2.4 million from CPRIT.</w:t>
      </w:r>
    </w:p>
    <w:p>
      <w:pPr>
        <w:spacing w:after="0" w:line="128"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1880" w:h="15480" w:orient="portrait"/>
          <w:cols w:equalWidth="0" w:num="1">
            <w:col w:w="9100"/>
          </w:cols>
          <w:pgMar w:left="1400" w:top="1026" w:right="1380" w:bottom="7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i w:val="1"/>
          <w:iCs w:val="1"/>
          <w:color w:val="auto"/>
        </w:rPr>
        <w:t>Loss per Common Share</w:t>
      </w:r>
    </w:p>
    <w:p>
      <w:pPr>
        <w:spacing w:after="0" w:line="192" w:lineRule="exact"/>
        <w:rPr>
          <w:sz w:val="20"/>
          <w:szCs w:val="20"/>
          <w:color w:val="auto"/>
        </w:rPr>
      </w:pPr>
    </w:p>
    <w:p>
      <w:pPr>
        <w:ind w:right="100" w:firstLine="399"/>
        <w:spacing w:after="0" w:line="277" w:lineRule="auto"/>
        <w:rPr>
          <w:sz w:val="20"/>
          <w:szCs w:val="20"/>
          <w:color w:val="auto"/>
        </w:rPr>
      </w:pPr>
      <w:r>
        <w:rPr>
          <w:rFonts w:ascii="Times New Roman" w:cs="Times New Roman" w:eastAsia="Times New Roman" w:hAnsi="Times New Roman"/>
          <w:sz w:val="20"/>
          <w:szCs w:val="20"/>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Standards</w:t>
      </w:r>
    </w:p>
    <w:p>
      <w:pPr>
        <w:spacing w:after="0" w:line="192" w:lineRule="exact"/>
        <w:rPr>
          <w:sz w:val="20"/>
          <w:szCs w:val="20"/>
          <w:color w:val="auto"/>
        </w:rPr>
      </w:pPr>
    </w:p>
    <w:p>
      <w:pPr>
        <w:ind w:right="80" w:firstLine="399"/>
        <w:spacing w:after="0" w:line="271"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4:</w:t>
        <w:tab/>
        <w:t>NET LOSS PER SHARE APPLICABLE TO COMMON SHAREHOLDERS</w:t>
      </w:r>
    </w:p>
    <w:p>
      <w:pPr>
        <w:spacing w:after="0" w:line="197" w:lineRule="exact"/>
        <w:rPr>
          <w:sz w:val="20"/>
          <w:szCs w:val="20"/>
          <w:color w:val="auto"/>
        </w:rPr>
      </w:pPr>
    </w:p>
    <w:p>
      <w:pPr>
        <w:ind w:right="60" w:firstLine="399"/>
        <w:spacing w:after="0" w:line="271" w:lineRule="auto"/>
        <w:rPr>
          <w:sz w:val="20"/>
          <w:szCs w:val="20"/>
          <w:color w:val="auto"/>
        </w:rPr>
      </w:pPr>
      <w:r>
        <w:rPr>
          <w:rFonts w:ascii="Times New Roman" w:cs="Times New Roman" w:eastAsia="Times New Roman" w:hAnsi="Times New Roman"/>
          <w:sz w:val="20"/>
          <w:szCs w:val="20"/>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19" w:lineRule="exact"/>
        <w:rPr>
          <w:sz w:val="20"/>
          <w:szCs w:val="20"/>
          <w:color w:val="auto"/>
        </w:rPr>
      </w:pPr>
    </w:p>
    <w:p>
      <w:pPr>
        <w:ind w:right="240" w:firstLine="399"/>
        <w:spacing w:after="0" w:line="294" w:lineRule="auto"/>
        <w:rPr>
          <w:sz w:val="20"/>
          <w:szCs w:val="20"/>
          <w:color w:val="auto"/>
        </w:rPr>
      </w:pPr>
      <w:r>
        <w:rPr>
          <w:rFonts w:ascii="Times New Roman" w:cs="Times New Roman" w:eastAsia="Times New Roman" w:hAnsi="Times New Roman"/>
          <w:sz w:val="20"/>
          <w:szCs w:val="20"/>
          <w:color w:val="auto"/>
        </w:rPr>
        <w:t>The following table sets forth the computation of net loss per share for the years ended December 31, 2022 and 2021, respectively:</w:t>
      </w:r>
    </w:p>
    <w:p>
      <w:pPr>
        <w:spacing w:after="0" w:line="7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4257675</wp:posOffset>
                </wp:positionH>
                <wp:positionV relativeFrom="paragraph">
                  <wp:posOffset>33655</wp:posOffset>
                </wp:positionV>
                <wp:extent cx="15144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7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(29,930,694)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(41,878,871)</w:t>
            </w:r>
          </w:p>
        </w:tc>
        <w:tc>
          <w:tcPr>
            <w:tcW w:w="0" w:type="dxa"/>
            <w:vAlign w:val="bottom"/>
          </w:tcPr>
          <w:p>
            <w:pPr>
              <w:spacing w:after="0"/>
              <w:rPr>
                <w:sz w:val="1"/>
                <w:szCs w:val="1"/>
                <w:color w:val="auto"/>
              </w:rPr>
            </w:pPr>
          </w:p>
        </w:tc>
      </w:tr>
      <w:tr>
        <w:trPr>
          <w:trHeight w:val="279"/>
        </w:trPr>
        <w:tc>
          <w:tcPr>
            <w:tcW w:w="6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 . . . . . . . . . . . . . . . . . . . .</w:t>
            </w:r>
          </w:p>
        </w:tc>
        <w:tc>
          <w:tcPr>
            <w:tcW w:w="10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8,351,003</w:t>
            </w: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7,650,567</w:t>
            </w:r>
          </w:p>
        </w:tc>
        <w:tc>
          <w:tcPr>
            <w:tcW w:w="0" w:type="dxa"/>
            <w:vAlign w:val="bottom"/>
          </w:tcPr>
          <w:p>
            <w:pPr>
              <w:spacing w:after="0"/>
              <w:rPr>
                <w:sz w:val="1"/>
                <w:szCs w:val="1"/>
                <w:color w:val="auto"/>
              </w:rPr>
            </w:pPr>
          </w:p>
        </w:tc>
      </w:tr>
      <w:tr>
        <w:trPr>
          <w:trHeight w:val="279"/>
        </w:trPr>
        <w:tc>
          <w:tcPr>
            <w:tcW w:w="6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per share:</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00" w:firstLine="399"/>
        <w:spacing w:after="0" w:line="294" w:lineRule="auto"/>
        <w:rPr>
          <w:sz w:val="20"/>
          <w:szCs w:val="20"/>
          <w:color w:val="auto"/>
        </w:rPr>
      </w:pPr>
      <w:r>
        <w:rPr>
          <w:rFonts w:ascii="Times New Roman" w:cs="Times New Roman" w:eastAsia="Times New Roman" w:hAnsi="Times New Roman"/>
          <w:sz w:val="20"/>
          <w:szCs w:val="20"/>
          <w:color w:val="auto"/>
        </w:rPr>
        <w:t>The following securities, rounded to the thousand, were not included in the diluted net loss per share calculation because their effect was anti-dilutive for the periods presented:</w:t>
      </w:r>
    </w:p>
    <w:p>
      <w:pPr>
        <w:spacing w:after="0" w:line="77"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72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4595495</wp:posOffset>
                </wp:positionH>
                <wp:positionV relativeFrom="paragraph">
                  <wp:posOffset>33655</wp:posOffset>
                </wp:positionV>
                <wp:extent cx="117665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85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80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82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
        </w:trPr>
        <w:tc>
          <w:tcPr>
            <w:tcW w:w="7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4"/>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options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886,000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768,600</w:t>
            </w:r>
          </w:p>
        </w:tc>
      </w:tr>
      <w:tr>
        <w:trPr>
          <w:trHeight w:val="302"/>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purchase warrants . . . . . . . . . . . . . . . . . . . . . . . . . . . . . . . . .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1,848,000</w:t>
            </w:r>
          </w:p>
        </w:tc>
        <w:tc>
          <w:tcPr>
            <w:tcW w:w="2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1,983,000</w:t>
            </w:r>
          </w:p>
        </w:tc>
      </w:tr>
      <w:tr>
        <w:trPr>
          <w:trHeight w:val="289"/>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Potentially dilutive securities . . . . . . . . . . . . . . . . . . . . . . . . . . . . . . . . . . . . .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2,734,000</w:t>
            </w:r>
          </w:p>
        </w:tc>
        <w:tc>
          <w:tcPr>
            <w:tcW w:w="2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2,751,600</w:t>
            </w:r>
          </w:p>
        </w:tc>
      </w:tr>
      <w:tr>
        <w:trPr>
          <w:trHeight w:val="20"/>
        </w:trPr>
        <w:tc>
          <w:tcPr>
            <w:tcW w:w="7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5:</w:t>
      </w:r>
      <w:r>
        <w:rPr>
          <w:sz w:val="20"/>
          <w:szCs w:val="20"/>
          <w:color w:val="auto"/>
        </w:rPr>
        <w:tab/>
      </w:r>
      <w:r>
        <w:rPr>
          <w:rFonts w:ascii="Times New Roman" w:cs="Times New Roman" w:eastAsia="Times New Roman" w:hAnsi="Times New Roman"/>
          <w:sz w:val="19"/>
          <w:szCs w:val="19"/>
          <w:b w:val="1"/>
          <w:bCs w:val="1"/>
          <w:color w:val="auto"/>
        </w:rPr>
        <w:t>OTHER RECEIVABLE</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Qualifying grant income earned in advance of cash received from grants is recognized as revenue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recorded as other receivable. The Company recorded $3.4 million of grant income related to the CPRIT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as revenue for the year ended December 31, 2022. At December 31, 2022, the Company recorded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million of grant income receivable, which represented grant income earned in advance of the next tranche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funds to be received from CPRIT. The Company received $2.4 million of funds from CPRIT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2023. The Company recorded $0.1 million of grant income related to the FDA grant as revenue for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year ended December 31, 2022. Additionally, at December 31, 2022, the Company recorded $0.1 million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grant income receivable, which represented grant income earned in advance of funds to be received from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FDA. The Company received $0.1 million of funds from the FDA in January 2023.</w:t>
      </w: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F-14</w:t>
      </w:r>
    </w:p>
    <w:p>
      <w:pPr>
        <w:sectPr>
          <w:pgSz w:w="11880" w:h="15480" w:orient="portrait"/>
          <w:cols w:equalWidth="0" w:num="1">
            <w:col w:w="9160"/>
          </w:cols>
          <w:pgMar w:left="1400" w:top="1026" w:right="1320" w:bottom="70" w:gutter="0" w:footer="0" w:header="0"/>
        </w:sectPr>
      </w:pPr>
    </w:p>
    <w:bookmarkStart w:id="112" w:name="page113"/>
    <w:bookmarkEnd w:id="112"/>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6:</w:t>
        <w:tab/>
        <w:t>PROPERTY AND EQUIPMENT</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Property and equipment consist of the following as of December 31, 2022 and 2021,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37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Estimated Useful Lives</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30"/>
        </w:trPr>
        <w:tc>
          <w:tcPr>
            <w:tcW w:w="37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Lab and manufacturing equipment . . . .</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 Years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$11,824,000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7,851,000</w:t>
            </w:r>
          </w:p>
        </w:tc>
      </w:tr>
      <w:tr>
        <w:trPr>
          <w:trHeight w:val="299"/>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Computers, equipment and software . . .</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 – 5 Years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1,020,000</w:t>
            </w:r>
          </w:p>
        </w:tc>
      </w:tr>
      <w:tr>
        <w:trPr>
          <w:trHeight w:val="299"/>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Office furniture . . . . . . . . . . . . . . . . . .</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 Years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924,000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793,000</w:t>
            </w:r>
          </w:p>
        </w:tc>
        <w:tc>
          <w:tcPr>
            <w:tcW w:w="60" w:type="dxa"/>
            <w:vAlign w:val="bottom"/>
          </w:tcPr>
          <w:p>
            <w:pPr>
              <w:spacing w:after="0"/>
              <w:rPr>
                <w:sz w:val="24"/>
                <w:szCs w:val="24"/>
                <w:color w:val="auto"/>
              </w:rPr>
            </w:pPr>
          </w:p>
        </w:tc>
      </w:tr>
      <w:tr>
        <w:trPr>
          <w:trHeight w:val="276"/>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Leasehold improvements  . . . . . . . . . . .</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Lesser of lease term or estimated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3,950,000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3,173,000</w:t>
            </w:r>
          </w:p>
        </w:tc>
        <w:tc>
          <w:tcPr>
            <w:tcW w:w="60" w:type="dxa"/>
            <w:vAlign w:val="bottom"/>
          </w:tcPr>
          <w:p>
            <w:pPr>
              <w:spacing w:after="0"/>
              <w:rPr>
                <w:sz w:val="24"/>
                <w:szCs w:val="24"/>
                <w:color w:val="auto"/>
              </w:rPr>
            </w:pPr>
          </w:p>
        </w:tc>
      </w:tr>
      <w:tr>
        <w:trPr>
          <w:trHeight w:val="266"/>
        </w:trPr>
        <w:tc>
          <w:tcPr>
            <w:tcW w:w="3720" w:type="dxa"/>
            <w:vAlign w:val="bottom"/>
          </w:tcPr>
          <w:p>
            <w:pPr>
              <w:spacing w:after="0"/>
              <w:rPr>
                <w:sz w:val="23"/>
                <w:szCs w:val="23"/>
                <w:color w:val="auto"/>
              </w:rPr>
            </w:pPr>
          </w:p>
        </w:tc>
        <w:tc>
          <w:tcPr>
            <w:tcW w:w="288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useful life</w:t>
            </w:r>
          </w:p>
        </w:tc>
        <w:tc>
          <w:tcPr>
            <w:tcW w:w="24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86"/>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 . . . . . . . . . . . . . . . . . . . . . . .</w:t>
            </w:r>
          </w:p>
        </w:tc>
        <w:tc>
          <w:tcPr>
            <w:tcW w:w="28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17,597,000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12,837,000</w:t>
            </w:r>
          </w:p>
        </w:tc>
        <w:tc>
          <w:tcPr>
            <w:tcW w:w="60" w:type="dxa"/>
            <w:vAlign w:val="bottom"/>
          </w:tcPr>
          <w:p>
            <w:pPr>
              <w:spacing w:after="0"/>
              <w:rPr>
                <w:sz w:val="24"/>
                <w:szCs w:val="24"/>
                <w:color w:val="auto"/>
              </w:rPr>
            </w:pPr>
          </w:p>
        </w:tc>
      </w:tr>
      <w:tr>
        <w:trPr>
          <w:trHeight w:val="299"/>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Less: accumulated depreciation . . . . . . .</w:t>
            </w:r>
          </w:p>
        </w:tc>
        <w:tc>
          <w:tcPr>
            <w:tcW w:w="2880" w:type="dxa"/>
            <w:vAlign w:val="bottom"/>
          </w:tcPr>
          <w:p>
            <w:pPr>
              <w:spacing w:after="0"/>
              <w:rPr>
                <w:sz w:val="24"/>
                <w:szCs w:val="24"/>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(5,274,000)</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(2,740,000)</w:t>
            </w:r>
          </w:p>
        </w:tc>
      </w:tr>
      <w:tr>
        <w:trPr>
          <w:trHeight w:val="302"/>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Construction in progress  . . . . . . . . . . .</w:t>
            </w: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2,226,000</w:t>
            </w:r>
          </w:p>
        </w:tc>
        <w:tc>
          <w:tcPr>
            <w:tcW w:w="6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3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fixed assets, net . . . . . . . . . . . . . .</w:t>
            </w:r>
          </w:p>
        </w:tc>
        <w:tc>
          <w:tcPr>
            <w:tcW w:w="28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$12,323,000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12,323,000</w:t>
            </w:r>
          </w:p>
        </w:tc>
      </w:tr>
      <w:tr>
        <w:trPr>
          <w:trHeight w:val="20"/>
        </w:trPr>
        <w:tc>
          <w:tcPr>
            <w:tcW w:w="3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399"/>
        <w:spacing w:after="0" w:line="282" w:lineRule="auto"/>
        <w:rPr>
          <w:sz w:val="20"/>
          <w:szCs w:val="20"/>
          <w:color w:val="auto"/>
        </w:rPr>
      </w:pPr>
      <w:r>
        <w:rPr>
          <w:rFonts w:ascii="Times New Roman" w:cs="Times New Roman" w:eastAsia="Times New Roman" w:hAnsi="Times New Roman"/>
          <w:sz w:val="20"/>
          <w:szCs w:val="20"/>
          <w:color w:val="auto"/>
        </w:rPr>
        <w:t>Depreciation expense for the years ended December 31, 2022 and 2021 was approximately $2.8 million and $2.1 million, respectively.</w:t>
      </w:r>
    </w:p>
    <w:p>
      <w:pPr>
        <w:spacing w:after="0" w:line="94" w:lineRule="exact"/>
        <w:rPr>
          <w:sz w:val="20"/>
          <w:szCs w:val="20"/>
          <w:color w:val="auto"/>
        </w:rPr>
      </w:pPr>
    </w:p>
    <w:p>
      <w:pPr>
        <w:ind w:right="60" w:firstLine="399"/>
        <w:spacing w:after="0" w:line="254" w:lineRule="auto"/>
        <w:rPr>
          <w:sz w:val="20"/>
          <w:szCs w:val="20"/>
          <w:color w:val="auto"/>
        </w:rPr>
      </w:pPr>
      <w:r>
        <w:rPr>
          <w:rFonts w:ascii="Times New Roman" w:cs="Times New Roman" w:eastAsia="Times New Roman" w:hAnsi="Times New Roman"/>
          <w:sz w:val="20"/>
          <w:szCs w:val="20"/>
          <w:color w:val="auto"/>
        </w:rPr>
        <w:t>In June 2020, the Company entered into a lease for a manufacturing facility in Houston, Texas. The Company incurred costs pursuant to an agreement with a vendor to design, engineer, build and eventually install modular cleanrooms in the manufacturing facility. $6.8 million was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During January 2021, all costs associated with the buildout were recorded as either manufacturing equipment and/or leasehold improvements and amortized over the estimated useful life of the asset and/or leasehold lease.</w:t>
      </w:r>
    </w:p>
    <w:p>
      <w:pPr>
        <w:spacing w:after="0" w:line="126" w:lineRule="exact"/>
        <w:rPr>
          <w:sz w:val="20"/>
          <w:szCs w:val="20"/>
          <w:color w:val="auto"/>
        </w:rPr>
      </w:pPr>
    </w:p>
    <w:p>
      <w:pPr>
        <w:ind w:right="120" w:firstLine="399"/>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2021, and in connection with the opening of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The Company incurred another $1.9 million in related costs in 2022. Upon completion and installation of the second modular cleanroom during the year ended December 31, 2022, all costs associated with the buildout were recorded as manufacturing equipment and leasehold improvements and amortized over the estimated useful life.</w:t>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NOTE 7:</w:t>
        <w:tab/>
        <w:t>LEASES</w:t>
      </w:r>
    </w:p>
    <w:p>
      <w:pPr>
        <w:spacing w:after="0" w:line="171" w:lineRule="exact"/>
        <w:rPr>
          <w:sz w:val="20"/>
          <w:szCs w:val="20"/>
          <w:color w:val="auto"/>
        </w:rPr>
      </w:pPr>
    </w:p>
    <w:p>
      <w:pPr>
        <w:ind w:right="100" w:firstLine="399"/>
        <w:spacing w:after="0" w:line="255" w:lineRule="auto"/>
        <w:rPr>
          <w:sz w:val="20"/>
          <w:szCs w:val="20"/>
          <w:color w:val="auto"/>
        </w:rPr>
      </w:pPr>
      <w:r>
        <w:rPr>
          <w:rFonts w:ascii="Times New Roman" w:cs="Times New Roman" w:eastAsia="Times New Roman" w:hAnsi="Times New Roman"/>
          <w:sz w:val="20"/>
          <w:szCs w:val="20"/>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 The Company did not consider that option in calculating right-of-use assets and lease liability as the Company is not reasonably certain it will extend the contract beyond the current terms.</w:t>
      </w:r>
    </w:p>
    <w:p>
      <w:pPr>
        <w:spacing w:after="0" w:line="125" w:lineRule="exact"/>
        <w:rPr>
          <w:sz w:val="20"/>
          <w:szCs w:val="20"/>
          <w:color w:val="auto"/>
        </w:rPr>
      </w:pPr>
    </w:p>
    <w:p>
      <w:pPr>
        <w:ind w:right="60" w:firstLine="399"/>
        <w:spacing w:after="0" w:line="256" w:lineRule="auto"/>
        <w:rPr>
          <w:sz w:val="20"/>
          <w:szCs w:val="20"/>
          <w:color w:val="auto"/>
        </w:rPr>
      </w:pPr>
      <w:r>
        <w:rPr>
          <w:rFonts w:ascii="Times New Roman" w:cs="Times New Roman" w:eastAsia="Times New Roman" w:hAnsi="Times New Roman"/>
          <w:sz w:val="20"/>
          <w:szCs w:val="20"/>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non-current assets on the Company’s consolidated balance sheets. Current and non-current lease liabilities are recorded within current liabilities and non-current liabilities, respectively, on its consolidated balance sheets. Costs associated with operating leases are recognized on a straight-line basis within operating expenses over the term of the lease.</w:t>
      </w:r>
    </w:p>
    <w:p>
      <w:pPr>
        <w:spacing w:after="0" w:line="125" w:lineRule="exact"/>
        <w:rPr>
          <w:sz w:val="20"/>
          <w:szCs w:val="20"/>
          <w:color w:val="auto"/>
        </w:rPr>
      </w:pPr>
    </w:p>
    <w:p>
      <w:pPr>
        <w:ind w:right="260" w:firstLine="399"/>
        <w:spacing w:after="0" w:line="284" w:lineRule="auto"/>
        <w:rPr>
          <w:sz w:val="20"/>
          <w:szCs w:val="20"/>
          <w:color w:val="auto"/>
        </w:rPr>
      </w:pPr>
      <w:r>
        <w:rPr>
          <w:rFonts w:ascii="Times New Roman" w:cs="Times New Roman" w:eastAsia="Times New Roman" w:hAnsi="Times New Roman"/>
          <w:sz w:val="20"/>
          <w:szCs w:val="20"/>
          <w:color w:val="auto"/>
        </w:rPr>
        <w:t>As of September 15, 2022, the Company and its landlord agreed to terminate the Company’s office lease at 3200 Southwest Freeway, Suite 2500, Houston, Texas. As such the Company reduced its operating</w:t>
      </w: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F-15</w:t>
      </w:r>
    </w:p>
    <w:p>
      <w:pPr>
        <w:sectPr>
          <w:pgSz w:w="11880" w:h="15480" w:orient="portrait"/>
          <w:cols w:equalWidth="0" w:num="1">
            <w:col w:w="9160"/>
          </w:cols>
          <w:pgMar w:left="1400" w:top="1023" w:right="1320" w:bottom="70" w:gutter="0" w:footer="0" w:header="0"/>
        </w:sectPr>
      </w:pPr>
    </w:p>
    <w:bookmarkStart w:id="113" w:name="page114"/>
    <w:bookmarkEnd w:id="113"/>
    <w:p>
      <w:pPr>
        <w:ind w:left="20" w:right="60"/>
        <w:spacing w:after="0" w:line="284" w:lineRule="auto"/>
        <w:rPr>
          <w:sz w:val="20"/>
          <w:szCs w:val="20"/>
          <w:color w:val="auto"/>
        </w:rPr>
      </w:pPr>
      <w:r>
        <w:rPr>
          <w:rFonts w:ascii="Times New Roman" w:cs="Times New Roman" w:eastAsia="Times New Roman" w:hAnsi="Times New Roman"/>
          <w:sz w:val="20"/>
          <w:szCs w:val="20"/>
          <w:color w:val="auto"/>
        </w:rPr>
        <w:t>lease liabilities by $3.7 million and reduced its right-of-use assets by $3.5 million. A gain on lease termination was recorded in general and administrative expenses during the year ended December 31, 2022.</w:t>
      </w:r>
    </w:p>
    <w:p>
      <w:pPr>
        <w:spacing w:after="0" w:line="94" w:lineRule="exact"/>
        <w:rPr>
          <w:sz w:val="20"/>
          <w:szCs w:val="20"/>
          <w:color w:val="auto"/>
        </w:rPr>
      </w:pPr>
    </w:p>
    <w:p>
      <w:pPr>
        <w:ind w:left="20" w:right="60" w:firstLine="399"/>
        <w:spacing w:after="0" w:line="261" w:lineRule="auto"/>
        <w:rPr>
          <w:sz w:val="20"/>
          <w:szCs w:val="20"/>
          <w:color w:val="auto"/>
        </w:rPr>
      </w:pPr>
      <w:r>
        <w:rPr>
          <w:rFonts w:ascii="Times New Roman" w:cs="Times New Roman" w:eastAsia="Times New Roman" w:hAnsi="Times New Roman"/>
          <w:sz w:val="20"/>
          <w:szCs w:val="20"/>
          <w:color w:val="auto"/>
        </w:rPr>
        <w:t>As of December 31, 2022, the Company had total operating lease liabilities of approximately $7.6 million and right-of-use assets of approximately $5.5 million, which were included in the consolidated balance sheet. As of December 31, 2021, the Company had total operating lease liabilities of approximately $11.9 million and right-of-use assets of approximately $9.8 million, which were included in the consolidated balance sheet.</w:t>
      </w:r>
    </w:p>
    <w:p>
      <w:pPr>
        <w:spacing w:after="0" w:line="117" w:lineRule="exact"/>
        <w:rPr>
          <w:sz w:val="20"/>
          <w:szCs w:val="20"/>
          <w:color w:val="auto"/>
        </w:rPr>
      </w:pPr>
    </w:p>
    <w:p>
      <w:pPr>
        <w:ind w:left="20" w:right="60" w:firstLine="399"/>
        <w:spacing w:after="0" w:line="256" w:lineRule="auto"/>
        <w:rPr>
          <w:sz w:val="20"/>
          <w:szCs w:val="20"/>
          <w:color w:val="auto"/>
        </w:rPr>
      </w:pPr>
      <w:r>
        <w:rPr>
          <w:rFonts w:ascii="Times New Roman" w:cs="Times New Roman" w:eastAsia="Times New Roman" w:hAnsi="Times New Roman"/>
          <w:sz w:val="20"/>
          <w:szCs w:val="20"/>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summarizes quantitative information about the Company’s operating leases:</w:t>
      </w:r>
    </w:p>
    <w:p>
      <w:pPr>
        <w:spacing w:after="0" w:line="16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4481195</wp:posOffset>
                </wp:positionH>
                <wp:positionV relativeFrom="paragraph">
                  <wp:posOffset>33655</wp:posOffset>
                </wp:positionV>
                <wp:extent cx="130365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6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85pt,2.65pt" to="455.5pt,2.65pt" o:allowincell="f" strokecolor="#000000" strokeweight="0.499pt"/>
            </w:pict>
          </mc:Fallback>
        </mc:AlternateConten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expense summary:</w:t>
            </w: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 . . . . . . . . . . . . . . . . . . . . . . . . . . . . . . . . . . . . . . .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$1,483,000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1,702,000</w:t>
            </w:r>
          </w:p>
        </w:tc>
        <w:tc>
          <w:tcPr>
            <w:tcW w:w="0" w:type="dxa"/>
            <w:vAlign w:val="bottom"/>
          </w:tcPr>
          <w:p>
            <w:pPr>
              <w:spacing w:after="0"/>
              <w:rPr>
                <w:sz w:val="1"/>
                <w:szCs w:val="1"/>
                <w:color w:val="auto"/>
              </w:rPr>
            </w:pPr>
          </w:p>
        </w:tc>
      </w:tr>
      <w:tr>
        <w:trPr>
          <w:trHeight w:val="29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expense . . . . . . . . . . . . . . . . . . . . . . . . . . . . . . . . . . . . . .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48,000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2"/>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expense . . . . . . . . . . . . . . . . . . . . . . . . . . . . . . . . . . . . . . . . .</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648,000</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606,000</w:t>
            </w:r>
          </w:p>
        </w:tc>
        <w:tc>
          <w:tcPr>
            <w:tcW w:w="0" w:type="dxa"/>
            <w:vAlign w:val="bottom"/>
          </w:tcPr>
          <w:p>
            <w:pPr>
              <w:spacing w:after="0"/>
              <w:rPr>
                <w:sz w:val="1"/>
                <w:szCs w:val="1"/>
                <w:color w:val="auto"/>
              </w:rPr>
            </w:pPr>
          </w:p>
        </w:tc>
      </w:tr>
      <w:tr>
        <w:trPr>
          <w:trHeight w:val="28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$2,179,000</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$2,308,000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040" w:type="dxa"/>
            <w:vAlign w:val="bottom"/>
          </w:tcPr>
          <w:p>
            <w:pPr>
              <w:spacing w:after="0"/>
              <w:rPr>
                <w:sz w:val="24"/>
                <w:szCs w:val="24"/>
                <w:color w:val="auto"/>
              </w:rPr>
            </w:pPr>
          </w:p>
        </w:tc>
        <w:tc>
          <w:tcPr>
            <w:tcW w:w="2060" w:type="dxa"/>
            <w:vAlign w:val="bottom"/>
            <w:gridSpan w:val="4"/>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7040" w:type="dxa"/>
            <w:vAlign w:val="bottom"/>
          </w:tcPr>
          <w:p>
            <w:pPr>
              <w:spacing w:after="0"/>
              <w:rPr>
                <w:sz w:val="17"/>
                <w:szCs w:val="17"/>
                <w:color w:val="auto"/>
              </w:rPr>
            </w:pPr>
          </w:p>
        </w:tc>
        <w:tc>
          <w:tcPr>
            <w:tcW w:w="2060" w:type="dxa"/>
            <w:vAlign w:val="bottom"/>
            <w:gridSpan w:val="4"/>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30"/>
        </w:trPr>
        <w:tc>
          <w:tcPr>
            <w:tcW w:w="7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040" w:type="dxa"/>
            <w:vAlign w:val="bottom"/>
          </w:tcPr>
          <w:p>
            <w:pPr>
              <w:spacing w:after="0"/>
              <w:rPr>
                <w:sz w:val="19"/>
                <w:szCs w:val="19"/>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information:</w:t>
            </w: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flows – operating leases . . . . . . . . . . . . . . . . . . . . . . . . . . . .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$1,106,000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$1,077,000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 w:right="220" w:firstLine="399"/>
        <w:spacing w:after="0" w:line="261" w:lineRule="auto"/>
        <w:rPr>
          <w:sz w:val="20"/>
          <w:szCs w:val="20"/>
          <w:color w:val="auto"/>
        </w:rPr>
      </w:pPr>
      <w:r>
        <w:rPr>
          <w:rFonts w:ascii="Times New Roman" w:cs="Times New Roman" w:eastAsia="Times New Roman" w:hAnsi="Times New Roman"/>
          <w:sz w:val="20"/>
          <w:szCs w:val="20"/>
          <w:color w:val="auto"/>
        </w:rPr>
        <w:t>The weighted-average remaining lease term as of December 31, 2022 and December 31, 2021 was approximately 7.5 years and 8.4 years, respectively. The weighted-average discount rate used to determine the operating lease liability as of December 31, 2022 and December 31, 2021 was approximately 5.5% and 5.7%,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Maturities of the Company’s operating leases, excluding short-term leases, are as follows:</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99"/>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Year ending December 31, 2023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983,000</w:t>
            </w:r>
          </w:p>
        </w:tc>
        <w:tc>
          <w:tcPr>
            <w:tcW w:w="60" w:type="dxa"/>
            <w:vAlign w:val="bottom"/>
          </w:tcPr>
          <w:p>
            <w:pPr>
              <w:spacing w:after="0"/>
              <w:rPr>
                <w:sz w:val="24"/>
                <w:szCs w:val="24"/>
                <w:color w:val="auto"/>
              </w:rPr>
            </w:pPr>
          </w:p>
        </w:tc>
      </w:tr>
      <w:tr>
        <w:trPr>
          <w:trHeight w:val="299"/>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Year ending December 31, 2024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1,254,000</w:t>
            </w:r>
          </w:p>
        </w:tc>
        <w:tc>
          <w:tcPr>
            <w:tcW w:w="60" w:type="dxa"/>
            <w:vAlign w:val="bottom"/>
          </w:tcPr>
          <w:p>
            <w:pPr>
              <w:spacing w:after="0"/>
              <w:rPr>
                <w:sz w:val="24"/>
                <w:szCs w:val="24"/>
                <w:color w:val="auto"/>
              </w:rPr>
            </w:pPr>
          </w:p>
        </w:tc>
      </w:tr>
      <w:tr>
        <w:trPr>
          <w:trHeight w:val="299"/>
        </w:trPr>
        <w:tc>
          <w:tcPr>
            <w:tcW w:w="8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Year ending December 31, 2025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1,290,000</w:t>
            </w:r>
          </w:p>
        </w:tc>
        <w:tc>
          <w:tcPr>
            <w:tcW w:w="60" w:type="dxa"/>
            <w:vAlign w:val="bottom"/>
          </w:tcPr>
          <w:p>
            <w:pPr>
              <w:spacing w:after="0"/>
              <w:rPr>
                <w:sz w:val="24"/>
                <w:szCs w:val="24"/>
                <w:color w:val="auto"/>
              </w:rPr>
            </w:pPr>
          </w:p>
        </w:tc>
      </w:tr>
      <w:tr>
        <w:trPr>
          <w:trHeight w:val="29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 2026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1,177,000</w:t>
            </w:r>
          </w:p>
        </w:tc>
        <w:tc>
          <w:tcPr>
            <w:tcW w:w="60" w:type="dxa"/>
            <w:vAlign w:val="bottom"/>
          </w:tcPr>
          <w:p>
            <w:pPr>
              <w:spacing w:after="0"/>
              <w:rPr>
                <w:sz w:val="24"/>
                <w:szCs w:val="24"/>
                <w:color w:val="auto"/>
              </w:rPr>
            </w:pPr>
          </w:p>
        </w:tc>
      </w:tr>
      <w:tr>
        <w:trPr>
          <w:trHeight w:val="29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 2027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1,163,000</w:t>
            </w:r>
          </w:p>
        </w:tc>
        <w:tc>
          <w:tcPr>
            <w:tcW w:w="60" w:type="dxa"/>
            <w:vAlign w:val="bottom"/>
          </w:tcPr>
          <w:p>
            <w:pPr>
              <w:spacing w:after="0"/>
              <w:rPr>
                <w:sz w:val="24"/>
                <w:szCs w:val="24"/>
                <w:color w:val="auto"/>
              </w:rPr>
            </w:pPr>
          </w:p>
        </w:tc>
      </w:tr>
      <w:tr>
        <w:trPr>
          <w:trHeight w:val="302"/>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3,590,000</w:t>
            </w:r>
          </w:p>
        </w:tc>
        <w:tc>
          <w:tcPr>
            <w:tcW w:w="60" w:type="dxa"/>
            <w:vAlign w:val="bottom"/>
          </w:tcPr>
          <w:p>
            <w:pPr>
              <w:spacing w:after="0"/>
              <w:rPr>
                <w:sz w:val="24"/>
                <w:szCs w:val="24"/>
                <w:color w:val="auto"/>
              </w:rPr>
            </w:pPr>
          </w:p>
        </w:tc>
      </w:tr>
      <w:tr>
        <w:trPr>
          <w:trHeight w:val="28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9,457,000</w:t>
            </w:r>
          </w:p>
        </w:tc>
        <w:tc>
          <w:tcPr>
            <w:tcW w:w="60" w:type="dxa"/>
            <w:vAlign w:val="bottom"/>
          </w:tcPr>
          <w:p>
            <w:pPr>
              <w:spacing w:after="0"/>
              <w:rPr>
                <w:sz w:val="24"/>
                <w:szCs w:val="24"/>
                <w:color w:val="auto"/>
              </w:rPr>
            </w:pPr>
          </w:p>
        </w:tc>
      </w:tr>
      <w:tr>
        <w:trPr>
          <w:trHeight w:val="286"/>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Less present value discount  . . . . . . . . . . . . . . . . . . . .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(1,840,000)</w:t>
            </w:r>
          </w:p>
        </w:tc>
      </w:tr>
      <w:tr>
        <w:trPr>
          <w:trHeight w:val="266"/>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included in the Condensed Consolidated Balance Sheet at</w:t>
            </w:r>
          </w:p>
        </w:tc>
        <w:tc>
          <w:tcPr>
            <w:tcW w:w="9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66"/>
        </w:trPr>
        <w:tc>
          <w:tcPr>
            <w:tcW w:w="8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2022  . . . . . . . . . . . . . . . . . . . . . . . . . . . . . . . . . . . . . . . . . . . . . . . . .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$ 7,617,000</w:t>
            </w:r>
          </w:p>
        </w:tc>
        <w:tc>
          <w:tcPr>
            <w:tcW w:w="60" w:type="dxa"/>
            <w:vAlign w:val="bottom"/>
          </w:tcPr>
          <w:p>
            <w:pPr>
              <w:spacing w:after="0"/>
              <w:rPr>
                <w:sz w:val="23"/>
                <w:szCs w:val="23"/>
                <w:color w:val="auto"/>
              </w:rPr>
            </w:pPr>
          </w:p>
        </w:tc>
      </w:tr>
      <w:tr>
        <w:trPr>
          <w:trHeight w:val="20"/>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025" w:right="13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F-16</w:t>
      </w:r>
    </w:p>
    <w:p>
      <w:pPr>
        <w:sectPr>
          <w:pgSz w:w="11880" w:h="15480" w:orient="portrait"/>
          <w:cols w:equalWidth="0" w:num="1">
            <w:col w:w="9180"/>
          </w:cols>
          <w:pgMar w:left="1380" w:top="1025" w:right="1320" w:bottom="70" w:gutter="0" w:footer="0" w:header="0"/>
          <w:type w:val="continuous"/>
        </w:sectPr>
      </w:pPr>
    </w:p>
    <w:bookmarkStart w:id="114" w:name="page115"/>
    <w:bookmarkEnd w:id="114"/>
    <w:p>
      <w:pPr>
        <w:ind w:left="2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NOTE 8:</w:t>
      </w:r>
      <w:r>
        <w:rPr>
          <w:sz w:val="20"/>
          <w:szCs w:val="20"/>
          <w:color w:val="auto"/>
        </w:rPr>
        <w:tab/>
      </w:r>
      <w:r>
        <w:rPr>
          <w:rFonts w:ascii="Times New Roman" w:cs="Times New Roman" w:eastAsia="Times New Roman" w:hAnsi="Times New Roman"/>
          <w:sz w:val="19"/>
          <w:szCs w:val="19"/>
          <w:b w:val="1"/>
          <w:bCs w:val="1"/>
          <w:color w:val="auto"/>
        </w:rPr>
        <w:t>ACCOUNTS PAYABLE AND ACCRUED LIABILITIES</w:t>
      </w:r>
    </w:p>
    <w:p>
      <w:pPr>
        <w:spacing w:after="0" w:line="171" w:lineRule="exact"/>
        <w:rPr>
          <w:sz w:val="20"/>
          <w:szCs w:val="20"/>
          <w:color w:val="auto"/>
        </w:rPr>
      </w:pPr>
    </w:p>
    <w:p>
      <w:pPr>
        <w:ind w:left="20" w:right="300" w:firstLine="399"/>
        <w:spacing w:after="0" w:line="284" w:lineRule="auto"/>
        <w:rPr>
          <w:sz w:val="20"/>
          <w:szCs w:val="20"/>
          <w:color w:val="auto"/>
        </w:rPr>
      </w:pPr>
      <w:r>
        <w:rPr>
          <w:rFonts w:ascii="Times New Roman" w:cs="Times New Roman" w:eastAsia="Times New Roman" w:hAnsi="Times New Roman"/>
          <w:sz w:val="20"/>
          <w:szCs w:val="20"/>
          <w:color w:val="auto"/>
        </w:rPr>
        <w:t>Accounts payable and accrued liabilities consist of the following as of December 31, 2022 and 2021, respectively:</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940" w:type="dxa"/>
            <w:vAlign w:val="bottom"/>
          </w:tcPr>
          <w:p>
            <w:pPr>
              <w:spacing w:after="0"/>
              <w:rPr>
                <w:sz w:val="17"/>
                <w:szCs w:val="17"/>
                <w:color w:val="auto"/>
              </w:rPr>
            </w:pP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
        </w:trPr>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$1,612,000</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5,144,000</w:t>
            </w:r>
          </w:p>
        </w:tc>
      </w:tr>
      <w:tr>
        <w:trPr>
          <w:trHeight w:val="29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and benefits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2,055,000</w:t>
            </w:r>
          </w:p>
        </w:tc>
      </w:tr>
      <w:tr>
        <w:trPr>
          <w:trHeight w:val="29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Process development expenses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385,000</w:t>
            </w:r>
          </w:p>
        </w:tc>
      </w:tr>
      <w:tr>
        <w:trPr>
          <w:trHeight w:val="29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644,000</w:t>
            </w:r>
          </w:p>
        </w:tc>
      </w:tr>
      <w:tr>
        <w:trPr>
          <w:trHeight w:val="29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Technology license fees  . . . . . . . . . . . . . . . . . . . . . . . . . . . . . . . . . . . . . .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r>
      <w:tr>
        <w:trPr>
          <w:trHeight w:val="29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Arbitration settlement fees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2,407,000</w:t>
            </w:r>
          </w:p>
        </w:tc>
      </w:tr>
      <w:tr>
        <w:trPr>
          <w:trHeight w:val="302"/>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250,000</w:t>
            </w:r>
          </w:p>
        </w:tc>
      </w:tr>
      <w:tr>
        <w:trPr>
          <w:trHeight w:val="28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Total accounts payable and accrued liabilities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$4,705,000</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11,135,000</w:t>
            </w:r>
          </w:p>
        </w:tc>
      </w:tr>
      <w:tr>
        <w:trPr>
          <w:trHeight w:val="20"/>
        </w:trPr>
        <w:tc>
          <w:tcPr>
            <w:tcW w:w="6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80" w:firstLine="399"/>
        <w:spacing w:after="0" w:line="249" w:lineRule="auto"/>
        <w:rPr>
          <w:sz w:val="20"/>
          <w:szCs w:val="20"/>
          <w:color w:val="auto"/>
        </w:rPr>
      </w:pPr>
      <w:r>
        <w:rPr>
          <w:rFonts w:ascii="Times New Roman" w:cs="Times New Roman" w:eastAsia="Times New Roman" w:hAnsi="Times New Roman"/>
          <w:sz w:val="20"/>
          <w:szCs w:val="20"/>
          <w:color w:val="auto"/>
        </w:rPr>
        <w:t>In August 2022, the Company implemented changes to the Company’s organizational structure as part of an operational cost reduction plan to conserve the Company’s available capital. In connection with these changes, the Company reduced headcount in its general and administrative function by approximately</w:t>
      </w:r>
    </w:p>
    <w:p>
      <w:pPr>
        <w:spacing w:after="0" w:line="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23.5%, including the separation of the Company’s Chief Financial Officer. For the year ended December 31, 2022, the Company recorded $0.3 million of accrued compensation and benefits for severance expenses related to the operational cost reduction plan.</w:t>
      </w:r>
    </w:p>
    <w:p>
      <w:pPr>
        <w:spacing w:after="0" w:line="1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NOTE 9:</w:t>
      </w:r>
      <w:r>
        <w:rPr>
          <w:sz w:val="20"/>
          <w:szCs w:val="20"/>
          <w:color w:val="auto"/>
        </w:rPr>
        <w:tab/>
      </w:r>
      <w:r>
        <w:rPr>
          <w:rFonts w:ascii="Times New Roman" w:cs="Times New Roman" w:eastAsia="Times New Roman" w:hAnsi="Times New Roman"/>
          <w:sz w:val="19"/>
          <w:szCs w:val="19"/>
          <w:b w:val="1"/>
          <w:bCs w:val="1"/>
          <w:color w:val="auto"/>
        </w:rPr>
        <w:t>RELATED PARTY DEFERRED REVENUE</w:t>
      </w:r>
    </w:p>
    <w:p>
      <w:pPr>
        <w:spacing w:after="0" w:line="171"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On April 21, 2022, the Company entered into the Services Agreement, dated April 12, 2022, with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Services Agreement, Wilson Wolf made a cash payment to the Company in the amount of $8.0 million, as consideration for certain training and research services allocated as follows:</w:t>
      </w:r>
    </w:p>
    <w:p>
      <w:pPr>
        <w:spacing w:after="0" w:line="85" w:lineRule="exact"/>
        <w:rPr>
          <w:sz w:val="20"/>
          <w:szCs w:val="20"/>
          <w:color w:val="auto"/>
        </w:rPr>
      </w:pPr>
    </w:p>
    <w:p>
      <w:pPr>
        <w:ind w:left="600" w:hanging="191"/>
        <w:spacing w:after="0" w:line="276" w:lineRule="auto"/>
        <w:tabs>
          <w:tab w:leader="none" w:pos="6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million for non-exclusive training of Wilson Wolf to make, use, and sell the Company’s cell culture non-proprietary media formulation that has been cleared in an FDA investigational new drug application;</w:t>
      </w:r>
    </w:p>
    <w:p>
      <w:pPr>
        <w:spacing w:after="0" w:line="309" w:lineRule="exact"/>
        <w:rPr>
          <w:rFonts w:ascii="Times New Roman" w:cs="Times New Roman" w:eastAsia="Times New Roman" w:hAnsi="Times New Roman"/>
          <w:sz w:val="20"/>
          <w:szCs w:val="20"/>
          <w:color w:val="auto"/>
        </w:rPr>
      </w:pPr>
    </w:p>
    <w:p>
      <w:pPr>
        <w:ind w:left="600" w:hanging="191"/>
        <w:spacing w:after="0" w:line="261" w:lineRule="auto"/>
        <w:tabs>
          <w:tab w:leader="none" w:pos="6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for non-exclusive training of Wilson Wolf to replicate the Company’s quality management system inclusive of all underlying documents related thereto, none of which shall include unique information specific to the manufacture of the Company’s multiTAA product candidates such as direct peptide stimulation;</w:t>
      </w:r>
    </w:p>
    <w:p>
      <w:pPr>
        <w:spacing w:after="0" w:line="77" w:lineRule="exact"/>
        <w:rPr>
          <w:rFonts w:ascii="Times New Roman" w:cs="Times New Roman" w:eastAsia="Times New Roman" w:hAnsi="Times New Roman"/>
          <w:sz w:val="20"/>
          <w:szCs w:val="20"/>
          <w:color w:val="auto"/>
        </w:rPr>
      </w:pPr>
    </w:p>
    <w:p>
      <w:pPr>
        <w:ind w:left="600" w:right="80" w:hanging="191"/>
        <w:spacing w:after="0" w:line="267" w:lineRule="auto"/>
        <w:tabs>
          <w:tab w:leader="none" w:pos="6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million for non-exclusive training of Wilson Wolf to be able to replicate the Company’s cGMP-compliant, linearly scalable, G-Rex based T-cell manufacturing process which Wilson Wolf shall use as it sees fit in pursuit of the Wilson Wolf Mission; and</w:t>
      </w:r>
    </w:p>
    <w:p>
      <w:pPr>
        <w:spacing w:after="0" w:line="70" w:lineRule="exact"/>
        <w:rPr>
          <w:rFonts w:ascii="Times New Roman" w:cs="Times New Roman" w:eastAsia="Times New Roman" w:hAnsi="Times New Roman"/>
          <w:sz w:val="20"/>
          <w:szCs w:val="20"/>
          <w:color w:val="auto"/>
        </w:rPr>
      </w:pPr>
    </w:p>
    <w:p>
      <w:pPr>
        <w:ind w:left="600" w:hanging="191"/>
        <w:spacing w:after="0" w:line="254" w:lineRule="auto"/>
        <w:tabs>
          <w:tab w:leader="none" w:pos="6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million for the Company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the Company will be solely owned by Wilson Wolf, and whereby the Company will make good faith efforts to complete the conduct of such work as soon as practicable within 18 months from the date of the agreement. Wilson Wolf has agreed to pay the Company an additional $1.0 million if the Work Direction is completed within one year from the onset of the Agreement.</w:t>
      </w:r>
    </w:p>
    <w:p>
      <w:pPr>
        <w:spacing w:after="0" w:line="128" w:lineRule="exact"/>
        <w:rPr>
          <w:sz w:val="20"/>
          <w:szCs w:val="20"/>
          <w:color w:val="auto"/>
        </w:rPr>
      </w:pPr>
    </w:p>
    <w:p>
      <w:pPr>
        <w:ind w:right="100" w:firstLine="399"/>
        <w:spacing w:after="0" w:line="267" w:lineRule="auto"/>
        <w:rPr>
          <w:sz w:val="20"/>
          <w:szCs w:val="20"/>
          <w:color w:val="auto"/>
        </w:rPr>
      </w:pPr>
      <w:r>
        <w:rPr>
          <w:rFonts w:ascii="Times New Roman" w:cs="Times New Roman" w:eastAsia="Times New Roman" w:hAnsi="Times New Roman"/>
          <w:sz w:val="20"/>
          <w:szCs w:val="20"/>
          <w:color w:val="auto"/>
        </w:rPr>
        <w:t>Pursuant to the Services Agreement, in the event that the Company becomes insolvent, goes out of business, or an event other than force majeure occurs that cannot allow the Agreement to be fulfilled, Wilson Wolf will have right of first offer and right of first refusal for the Company’s manufacturing facility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F-17</w:t>
      </w:r>
    </w:p>
    <w:p>
      <w:pPr>
        <w:sectPr>
          <w:pgSz w:w="11880" w:h="15480" w:orient="portrait"/>
          <w:cols w:equalWidth="0" w:num="1">
            <w:col w:w="9120"/>
          </w:cols>
          <w:pgMar w:left="1380" w:top="1023" w:right="1380" w:bottom="70" w:gutter="0" w:footer="0" w:header="0"/>
        </w:sectPr>
      </w:pPr>
    </w:p>
    <w:bookmarkStart w:id="115" w:name="page116"/>
    <w:bookmarkEnd w:id="115"/>
    <w:p>
      <w:pPr>
        <w:spacing w:after="0" w:line="248" w:lineRule="auto"/>
        <w:rPr>
          <w:sz w:val="20"/>
          <w:szCs w:val="20"/>
          <w:color w:val="auto"/>
        </w:rPr>
      </w:pPr>
      <w:r>
        <w:rPr>
          <w:rFonts w:ascii="Times New Roman" w:cs="Times New Roman" w:eastAsia="Times New Roman" w:hAnsi="Times New Roman"/>
          <w:sz w:val="20"/>
          <w:szCs w:val="20"/>
          <w:color w:val="auto"/>
        </w:rPr>
        <w:t>provided it is able and willing to meet whatever financial obligations are required to do so and provided further that such clause will not apply in the event of a merger, reorganization or consolidation of the Company with a third party that results in the outstanding voting securities of the Company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or the sale or other transfer of all or substantially all of the Company’s business or assets. The Company agrees to assist as needed to the extent permitted under any applicable law (including bankruptcy or insolvency statutes). Further, prior to the Company undertaking any financing that would encumber any of the Company’s assets necessary for the Company’s performance under this Services Agreement, Wilson Wolf shall have the first right to provide such financing on equal terms to what the Company can obtain elsewhere.</w:t>
      </w:r>
    </w:p>
    <w:p>
      <w:pPr>
        <w:spacing w:after="0" w:line="371"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The Company recognizes related party revenue over time in accordance with Accounting Standard Codification, or ASC, 606 Revenue from Contracts with Customers, as each of the training or and research services are provided to Wilson Wolf. Revenue is recognized, using an output method based on progress toward satisfaction of the performance obligations. Additionally, in accordance the spirit of the standard expressed in ASC 606-50-1, the timing of the revenue recognition is expected to be approximately 12 months. For the year ending December 31, 2022, the Company recognized $5.5 million of revenue pursuant to the Services Agreement and at December 31, 2022, the Company recorded an $2.5 million related party deferred revenue on its consolidated balance sheet.</w:t>
      </w:r>
    </w:p>
    <w:p>
      <w:pPr>
        <w:spacing w:after="0" w:line="20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10:</w:t>
        <w:tab/>
        <w:t>STOCKHOLDERS’ EQUITY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 in Authorized Shares</w:t>
      </w:r>
    </w:p>
    <w:p>
      <w:pPr>
        <w:spacing w:after="0" w:line="137" w:lineRule="exact"/>
        <w:rPr>
          <w:sz w:val="20"/>
          <w:szCs w:val="20"/>
          <w:color w:val="auto"/>
        </w:rPr>
      </w:pPr>
    </w:p>
    <w:p>
      <w:pPr>
        <w:ind w:right="100" w:firstLine="399"/>
        <w:spacing w:after="0" w:line="257" w:lineRule="auto"/>
        <w:rPr>
          <w:sz w:val="20"/>
          <w:szCs w:val="20"/>
          <w:color w:val="auto"/>
        </w:rPr>
      </w:pPr>
      <w:r>
        <w:rPr>
          <w:rFonts w:ascii="Times New Roman" w:cs="Times New Roman" w:eastAsia="Times New Roman" w:hAnsi="Times New Roman"/>
          <w:sz w:val="20"/>
          <w:szCs w:val="20"/>
          <w:color w:val="auto"/>
        </w:rPr>
        <w:t>During the three months ended June 30, 2022, the Company’s board of directors and stockholders approved a Certificate of Amendment (the “Amendment”) to the Company’s Certificate of Incorporation to increase the authorized shares of common stock of the Company from 15,000,000 shares to 30,000,000 shares. The Company filed the Amendment with the Secretary of State of Delaware on May 25,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137" w:lineRule="exact"/>
        <w:rPr>
          <w:sz w:val="20"/>
          <w:szCs w:val="20"/>
          <w:color w:val="auto"/>
        </w:rPr>
      </w:pPr>
    </w:p>
    <w:p>
      <w:pPr>
        <w:ind w:right="100" w:firstLine="399"/>
        <w:spacing w:after="0" w:line="252" w:lineRule="auto"/>
        <w:rPr>
          <w:sz w:val="20"/>
          <w:szCs w:val="20"/>
          <w:color w:val="auto"/>
        </w:rPr>
      </w:pPr>
      <w:r>
        <w:rPr>
          <w:rFonts w:ascii="Times New Roman" w:cs="Times New Roman" w:eastAsia="Times New Roman" w:hAnsi="Times New Roman"/>
          <w:sz w:val="20"/>
          <w:szCs w:val="20"/>
          <w:color w:val="auto"/>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2023,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137" w:lineRule="exact"/>
        <w:rPr>
          <w:sz w:val="20"/>
          <w:szCs w:val="20"/>
          <w:color w:val="auto"/>
        </w:rPr>
      </w:pPr>
    </w:p>
    <w:p>
      <w:pPr>
        <w:ind w:right="60" w:firstLine="399"/>
        <w:spacing w:after="0" w:line="255" w:lineRule="auto"/>
        <w:rPr>
          <w:sz w:val="20"/>
          <w:szCs w:val="20"/>
          <w:color w:val="auto"/>
        </w:rPr>
      </w:pPr>
      <w:r>
        <w:rPr>
          <w:rFonts w:ascii="Times New Roman" w:cs="Times New Roman" w:eastAsia="Times New Roman" w:hAnsi="Times New Roman"/>
          <w:sz w:val="20"/>
          <w:szCs w:val="20"/>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37" w:lineRule="exact"/>
        <w:rPr>
          <w:sz w:val="20"/>
          <w:szCs w:val="20"/>
          <w:color w:val="auto"/>
        </w:rPr>
      </w:pPr>
    </w:p>
    <w:p>
      <w:pPr>
        <w:ind w:right="280" w:firstLine="399"/>
        <w:spacing w:after="0" w:line="279" w:lineRule="auto"/>
        <w:rPr>
          <w:sz w:val="20"/>
          <w:szCs w:val="20"/>
          <w:color w:val="auto"/>
        </w:rPr>
      </w:pPr>
      <w:r>
        <w:rPr>
          <w:rFonts w:ascii="Times New Roman" w:cs="Times New Roman" w:eastAsia="Times New Roman" w:hAnsi="Times New Roman"/>
          <w:sz w:val="20"/>
          <w:szCs w:val="20"/>
          <w:color w:val="auto"/>
        </w:rPr>
        <w:t>The Company has authorized up to 30,000,000 shares of common stock, $0.001 par value per share, for issuance. Significant 2022 and 2021 common stock transactions were as follows: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Common Stock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Issuance of Restricted Stock Units to Executives</w:t>
      </w:r>
    </w:p>
    <w:p>
      <w:pPr>
        <w:spacing w:after="0" w:line="162" w:lineRule="exact"/>
        <w:rPr>
          <w:sz w:val="20"/>
          <w:szCs w:val="20"/>
          <w:color w:val="auto"/>
        </w:rPr>
      </w:pPr>
    </w:p>
    <w:p>
      <w:pPr>
        <w:ind w:right="80" w:firstLine="399"/>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2022, upon the recommendation of the compensation committee of the Company’s board of directors, and pursuant to the Company’s 2020 Equity Incentive Plan, the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1880" w:h="15480" w:orient="portrait"/>
          <w:cols w:equalWidth="0" w:num="1">
            <w:col w:w="9100"/>
          </w:cols>
          <w:pgMar w:left="1400" w:top="1025" w:right="1380" w:bottom="70" w:gutter="0" w:footer="0" w:header="0"/>
        </w:sectPr>
      </w:pPr>
    </w:p>
    <w:bookmarkStart w:id="116" w:name="page117"/>
    <w:bookmarkEnd w:id="116"/>
    <w:p>
      <w:pPr>
        <w:ind w:right="20"/>
        <w:spacing w:after="0" w:line="252" w:lineRule="auto"/>
        <w:rPr>
          <w:sz w:val="20"/>
          <w:szCs w:val="20"/>
          <w:color w:val="auto"/>
        </w:rPr>
      </w:pPr>
      <w:r>
        <w:rPr>
          <w:rFonts w:ascii="Times New Roman" w:cs="Times New Roman" w:eastAsia="Times New Roman" w:hAnsi="Times New Roman"/>
          <w:sz w:val="20"/>
          <w:szCs w:val="20"/>
          <w:color w:val="auto"/>
        </w:rPr>
        <w:t>Company’s board of directors approved the issuance of a total of 37,252 shares of common stock, valued at a total of approximately $180,200, subject to restricted stock units, which were immediately vested upon grant, to certain executives as performance bonuses for performance during the year ended December 31, 2021.</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Issuance of Stock Pursuant to ATM Agreement</w:t>
      </w:r>
    </w:p>
    <w:p>
      <w:pPr>
        <w:spacing w:after="0" w:line="108" w:lineRule="exact"/>
        <w:rPr>
          <w:sz w:val="20"/>
          <w:szCs w:val="20"/>
          <w:color w:val="auto"/>
        </w:rPr>
      </w:pPr>
    </w:p>
    <w:p>
      <w:pPr>
        <w:ind w:right="100" w:firstLine="399"/>
        <w:spacing w:after="0" w:line="273" w:lineRule="auto"/>
        <w:rPr>
          <w:sz w:val="20"/>
          <w:szCs w:val="20"/>
          <w:color w:val="auto"/>
        </w:rPr>
      </w:pPr>
      <w:r>
        <w:rPr>
          <w:rFonts w:ascii="Times New Roman" w:cs="Times New Roman" w:eastAsia="Times New Roman" w:hAnsi="Times New Roman"/>
          <w:sz w:val="20"/>
          <w:szCs w:val="20"/>
          <w:color w:val="auto"/>
        </w:rPr>
        <w:t>During the year ended December 31, 2022, the Company issued and sold 60,651 shares of its common stock under the ATM Agreement for net proceeds of $202,100.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Purchase Agreement</w:t>
      </w:r>
    </w:p>
    <w:p>
      <w:pPr>
        <w:spacing w:after="0" w:line="107" w:lineRule="exact"/>
        <w:rPr>
          <w:sz w:val="20"/>
          <w:szCs w:val="20"/>
          <w:color w:val="auto"/>
        </w:rPr>
      </w:pPr>
    </w:p>
    <w:p>
      <w:pPr>
        <w:ind w:firstLine="399"/>
        <w:spacing w:after="0" w:line="243" w:lineRule="auto"/>
        <w:rPr>
          <w:sz w:val="20"/>
          <w:szCs w:val="20"/>
          <w:color w:val="auto"/>
        </w:rPr>
      </w:pPr>
      <w:r>
        <w:rPr>
          <w:rFonts w:ascii="Times New Roman" w:cs="Times New Roman" w:eastAsia="Times New Roman" w:hAnsi="Times New Roman"/>
          <w:sz w:val="20"/>
          <w:szCs w:val="20"/>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 at a variable price with certain market-based terms as defined in the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During the year ended December 31, 2022, we did not sell any shares of our stock under the Purchase Agreement. In January 2023, Lincoln Park was issued 180,410 shares of stock as a commitment fee at a value of $0.5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Common Stock Transactions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Exercise of Stock Options</w:t>
      </w:r>
    </w:p>
    <w:p>
      <w:pPr>
        <w:spacing w:after="0" w:line="108" w:lineRule="exact"/>
        <w:rPr>
          <w:sz w:val="20"/>
          <w:szCs w:val="20"/>
          <w:color w:val="auto"/>
        </w:rPr>
      </w:pPr>
    </w:p>
    <w:p>
      <w:pPr>
        <w:ind w:right="20" w:firstLine="399"/>
        <w:spacing w:after="0" w:line="273" w:lineRule="auto"/>
        <w:rPr>
          <w:sz w:val="20"/>
          <w:szCs w:val="20"/>
          <w:color w:val="auto"/>
        </w:rPr>
      </w:pPr>
      <w:r>
        <w:rPr>
          <w:rFonts w:ascii="Times New Roman" w:cs="Times New Roman" w:eastAsia="Times New Roman" w:hAnsi="Times New Roman"/>
          <w:sz w:val="20"/>
          <w:szCs w:val="20"/>
          <w:color w:val="auto"/>
        </w:rPr>
        <w:t>During the year ended December 31, 2021, certain outstanding options were exercised for 146 shares of common stock providing aggregate proceeds to the Company of approximately $3,100.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Board Compensation</w:t>
      </w:r>
    </w:p>
    <w:p>
      <w:pPr>
        <w:spacing w:after="0" w:line="107" w:lineRule="exact"/>
        <w:rPr>
          <w:sz w:val="20"/>
          <w:szCs w:val="20"/>
          <w:color w:val="auto"/>
        </w:rPr>
      </w:pPr>
    </w:p>
    <w:p>
      <w:pPr>
        <w:jc w:val="both"/>
        <w:ind w:right="640" w:firstLine="399"/>
        <w:spacing w:after="0" w:line="250" w:lineRule="auto"/>
        <w:rPr>
          <w:sz w:val="20"/>
          <w:szCs w:val="20"/>
          <w:color w:val="auto"/>
        </w:rPr>
      </w:pPr>
      <w:r>
        <w:rPr>
          <w:rFonts w:ascii="Times New Roman" w:cs="Times New Roman" w:eastAsia="Times New Roman" w:hAnsi="Times New Roman"/>
          <w:sz w:val="20"/>
          <w:szCs w:val="20"/>
          <w:color w:val="auto"/>
        </w:rPr>
        <w:t>During the year ended December 31, 2021, the Company issued an aggregate of 6,329 shares of common stock to its non-employee directors. The fair value of the common stock of approximately $0.2 million was recognized as a component of stock-based compensation expense in general and administrative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Underwritten Public Offering</w:t>
      </w:r>
    </w:p>
    <w:p>
      <w:pPr>
        <w:spacing w:after="0" w:line="111"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On March 11, 2021, the Company entered into an underwriting agreement with Piper Sandler &amp; Co., as representative of the several underwriters, to issue and sell 2,857,200 shares of common stock of the Company in an underwritten public offering. The offering price to the public was $17.50 per share. In addition, the Company granted the underwriters an option to purchase, for a period of 30 days, up to an additional 428,580 shares of common stock, which such option was partially exercised with respect to 371,086 shares. An aggregate of 3,228,286 shares of the Company’s common stock was issued for net proceeds of $52.6 million after offering costs of $3.9 million.</w:t>
      </w:r>
    </w:p>
    <w:p>
      <w:pPr>
        <w:spacing w:after="0" w:line="1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11:</w:t>
      </w:r>
      <w:r>
        <w:rPr>
          <w:sz w:val="20"/>
          <w:szCs w:val="20"/>
          <w:color w:val="auto"/>
        </w:rPr>
        <w:tab/>
      </w:r>
      <w:r>
        <w:rPr>
          <w:rFonts w:ascii="Times New Roman" w:cs="Times New Roman" w:eastAsia="Times New Roman" w:hAnsi="Times New Roman"/>
          <w:sz w:val="19"/>
          <w:szCs w:val="19"/>
          <w:b w:val="1"/>
          <w:bCs w:val="1"/>
          <w:color w:val="auto"/>
        </w:rPr>
        <w:t>WARRANTS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Purchase Warrants</w:t>
      </w:r>
    </w:p>
    <w:p>
      <w:pPr>
        <w:spacing w:after="0" w:line="111" w:lineRule="exact"/>
        <w:rPr>
          <w:sz w:val="20"/>
          <w:szCs w:val="20"/>
          <w:color w:val="auto"/>
        </w:rPr>
      </w:pPr>
    </w:p>
    <w:p>
      <w:pPr>
        <w:ind w:firstLine="399"/>
        <w:spacing w:after="0" w:line="273" w:lineRule="auto"/>
        <w:rPr>
          <w:sz w:val="20"/>
          <w:szCs w:val="20"/>
          <w:color w:val="auto"/>
        </w:rPr>
      </w:pPr>
      <w:r>
        <w:rPr>
          <w:rFonts w:ascii="Times New Roman" w:cs="Times New Roman" w:eastAsia="Times New Roman" w:hAnsi="Times New Roman"/>
          <w:sz w:val="20"/>
          <w:szCs w:val="20"/>
          <w:color w:val="auto"/>
        </w:rPr>
        <w:t>A summary of the Company’s share purchase warrants as of December 31, 2022 and 2021, respectively, and changes during the period is presented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0"/>
        </w:trPr>
        <w:tc>
          <w:tcPr>
            <w:tcW w:w="3900" w:type="dxa"/>
            <w:vAlign w:val="bottom"/>
          </w:tcPr>
          <w:p>
            <w:pPr>
              <w:spacing w:after="0"/>
              <w:rPr>
                <w:sz w:val="15"/>
                <w:szCs w:val="15"/>
                <w:color w:val="auto"/>
              </w:rPr>
            </w:pP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380" w:type="dxa"/>
            <w:vAlign w:val="bottom"/>
            <w:gridSpan w:val="6"/>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780" w:type="dxa"/>
            <w:vAlign w:val="bottom"/>
            <w:gridSpan w:val="6"/>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Remaining Contractual</w:t>
            </w:r>
          </w:p>
        </w:tc>
        <w:tc>
          <w:tcPr>
            <w:tcW w:w="1080" w:type="dxa"/>
            <w:vAlign w:val="bottom"/>
            <w:gridSpan w:val="5"/>
          </w:tcPr>
          <w:p>
            <w:pPr>
              <w:jc w:val="center"/>
              <w:ind w:left="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Total Intrinsic</w:t>
            </w:r>
          </w:p>
        </w:tc>
      </w:tr>
      <w:tr>
        <w:trPr>
          <w:trHeight w:val="203"/>
        </w:trPr>
        <w:tc>
          <w:tcPr>
            <w:tcW w:w="39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80" w:type="dxa"/>
            <w:vAlign w:val="bottom"/>
          </w:tcPr>
          <w:p>
            <w:pPr>
              <w:spacing w:after="0"/>
              <w:rPr>
                <w:sz w:val="17"/>
                <w:szCs w:val="17"/>
                <w:color w:val="auto"/>
              </w:rPr>
            </w:pPr>
          </w:p>
        </w:tc>
        <w:tc>
          <w:tcPr>
            <w:tcW w:w="13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20" w:type="dxa"/>
            <w:vAlign w:val="bottom"/>
          </w:tcPr>
          <w:p>
            <w:pPr>
              <w:spacing w:after="0"/>
              <w:rPr>
                <w:sz w:val="17"/>
                <w:szCs w:val="17"/>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Life (in years)</w:t>
            </w:r>
          </w:p>
        </w:tc>
        <w:tc>
          <w:tcPr>
            <w:tcW w:w="120" w:type="dxa"/>
            <w:vAlign w:val="bottom"/>
          </w:tcPr>
          <w:p>
            <w:pPr>
              <w:spacing w:after="0"/>
              <w:rPr>
                <w:sz w:val="17"/>
                <w:szCs w:val="17"/>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Value</w:t>
            </w:r>
          </w:p>
        </w:tc>
      </w:tr>
      <w:tr>
        <w:trPr>
          <w:trHeight w:val="30"/>
        </w:trPr>
        <w:tc>
          <w:tcPr>
            <w:tcW w:w="3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Balance – January 1, 2021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2,083,000</w:t>
            </w:r>
          </w:p>
        </w:tc>
        <w:tc>
          <w:tcPr>
            <w:tcW w:w="160" w:type="dxa"/>
            <w:vAlign w:val="bottom"/>
          </w:tcPr>
          <w:p>
            <w:pPr>
              <w:spacing w:after="0"/>
              <w:rPr>
                <w:sz w:val="24"/>
                <w:szCs w:val="24"/>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rPr>
              <w:t>$47.00</w:t>
            </w:r>
          </w:p>
        </w:tc>
        <w:tc>
          <w:tcPr>
            <w:tcW w:w="120" w:type="dxa"/>
            <w:vAlign w:val="bottom"/>
          </w:tcPr>
          <w:p>
            <w:pPr>
              <w:spacing w:after="0"/>
              <w:rPr>
                <w:sz w:val="24"/>
                <w:szCs w:val="24"/>
                <w:color w:val="auto"/>
              </w:rPr>
            </w:pPr>
          </w:p>
        </w:tc>
        <w:tc>
          <w:tcPr>
            <w:tcW w:w="1660" w:type="dxa"/>
            <w:vAlign w:val="bottom"/>
            <w:gridSpan w:val="5"/>
          </w:tcPr>
          <w:p>
            <w:pPr>
              <w:jc w:val="right"/>
              <w:ind w:right="580"/>
              <w:spacing w:after="0"/>
              <w:rPr>
                <w:sz w:val="20"/>
                <w:szCs w:val="20"/>
                <w:color w:val="auto"/>
              </w:rPr>
            </w:pPr>
            <w:r>
              <w:rPr>
                <w:rFonts w:ascii="Times New Roman" w:cs="Times New Roman" w:eastAsia="Times New Roman" w:hAnsi="Times New Roman"/>
                <w:sz w:val="20"/>
                <w:szCs w:val="20"/>
                <w:color w:val="auto"/>
              </w:rPr>
              <w:t>2.60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w w:val="93"/>
              </w:rPr>
              <w:t>$—</w:t>
            </w:r>
          </w:p>
        </w:tc>
      </w:tr>
      <w:tr>
        <w:trPr>
          <w:trHeight w:val="302"/>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Expired or cancelled . . . . . . . . . . . . . . .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(100,000)</w:t>
            </w: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rPr>
              <w:t>55.00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Balance – December 31, 2021  . . . . . . . . .</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1,983,000</w:t>
            </w:r>
          </w:p>
        </w:tc>
        <w:tc>
          <w:tcPr>
            <w:tcW w:w="16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44.20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1.70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w:t>
            </w:r>
          </w:p>
        </w:tc>
        <w:tc>
          <w:tcPr>
            <w:tcW w:w="320" w:type="dxa"/>
            <w:vAlign w:val="bottom"/>
          </w:tcPr>
          <w:p>
            <w:pPr>
              <w:spacing w:after="0"/>
              <w:rPr>
                <w:sz w:val="24"/>
                <w:szCs w:val="24"/>
                <w:color w:val="auto"/>
              </w:rPr>
            </w:pPr>
          </w:p>
        </w:tc>
      </w:tr>
      <w:tr>
        <w:trPr>
          <w:trHeight w:val="302"/>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Expired or cancelled . . . . . . . . . . . . . . .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(135,000)</w:t>
            </w: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rPr>
              <w:t>39.70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89"/>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Balance – December 31, 2022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1,848,000</w:t>
            </w:r>
          </w:p>
        </w:tc>
        <w:tc>
          <w:tcPr>
            <w:tcW w:w="160" w:type="dxa"/>
            <w:vAlign w:val="bottom"/>
          </w:tcPr>
          <w:p>
            <w:pPr>
              <w:spacing w:after="0"/>
              <w:rPr>
                <w:sz w:val="24"/>
                <w:szCs w:val="24"/>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rPr>
              <w:t>$44.51</w:t>
            </w:r>
          </w:p>
        </w:tc>
        <w:tc>
          <w:tcPr>
            <w:tcW w:w="120" w:type="dxa"/>
            <w:vAlign w:val="bottom"/>
          </w:tcPr>
          <w:p>
            <w:pPr>
              <w:spacing w:after="0"/>
              <w:rPr>
                <w:sz w:val="24"/>
                <w:szCs w:val="24"/>
                <w:color w:val="auto"/>
              </w:rPr>
            </w:pPr>
          </w:p>
        </w:tc>
        <w:tc>
          <w:tcPr>
            <w:tcW w:w="1660" w:type="dxa"/>
            <w:vAlign w:val="bottom"/>
            <w:gridSpan w:val="5"/>
          </w:tcPr>
          <w:p>
            <w:pPr>
              <w:jc w:val="right"/>
              <w:ind w:right="580"/>
              <w:spacing w:after="0"/>
              <w:rPr>
                <w:sz w:val="20"/>
                <w:szCs w:val="20"/>
                <w:color w:val="auto"/>
              </w:rPr>
            </w:pPr>
            <w:r>
              <w:rPr>
                <w:rFonts w:ascii="Times New Roman" w:cs="Times New Roman" w:eastAsia="Times New Roman" w:hAnsi="Times New Roman"/>
                <w:sz w:val="20"/>
                <w:szCs w:val="20"/>
                <w:color w:val="auto"/>
              </w:rPr>
              <w:t>0.79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w w:val="93"/>
              </w:rPr>
              <w:t>$—</w:t>
            </w:r>
          </w:p>
        </w:tc>
      </w:tr>
      <w:tr>
        <w:trPr>
          <w:trHeight w:val="20"/>
        </w:trPr>
        <w:tc>
          <w:tcPr>
            <w:tcW w:w="3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5" w:right="1380" w:bottom="70" w:gutter="0" w:footer="0" w:header="0"/>
        </w:sect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F-19</w:t>
      </w:r>
    </w:p>
    <w:p>
      <w:pPr>
        <w:sectPr>
          <w:pgSz w:w="11880" w:h="15480" w:orient="portrait"/>
          <w:cols w:equalWidth="0" w:num="1">
            <w:col w:w="9100"/>
          </w:cols>
          <w:pgMar w:left="1400" w:top="1025" w:right="1380" w:bottom="70" w:gutter="0" w:footer="0" w:header="0"/>
          <w:type w:val="continuous"/>
        </w:sectPr>
      </w:pPr>
    </w:p>
    <w:bookmarkStart w:id="117" w:name="page118"/>
    <w:bookmarkEnd w:id="117"/>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12:</w:t>
        <w:tab/>
        <w:t>STOCK OPTION PLANS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Options to Purchase Shares of Common Stock</w:t>
      </w:r>
    </w:p>
    <w:p>
      <w:pPr>
        <w:spacing w:after="0" w:line="162"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On May 19, 2020, the Board adopted the 2020 Equity Incentive Plan (“2020 Plan”) which replaced the 2014 Omnibus Stock Option Plan. The 2020 Plan was further amended effective May 2022 to increase the number of shares of common stock authorized for issuance under the plan by 850,000 shares. The 2020 Plan allows for grants of stock options, restricted shares, stock bonuses and other equity-based awards to employees and non-employee directors of the Company. Awards under the 2020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spacing w:after="0" w:line="126" w:lineRule="exact"/>
        <w:rPr>
          <w:sz w:val="20"/>
          <w:szCs w:val="20"/>
          <w:color w:val="auto"/>
        </w:rPr>
      </w:pPr>
    </w:p>
    <w:p>
      <w:pPr>
        <w:ind w:right="320" w:firstLine="399"/>
        <w:spacing w:after="0" w:line="279" w:lineRule="auto"/>
        <w:rPr>
          <w:sz w:val="20"/>
          <w:szCs w:val="20"/>
          <w:color w:val="auto"/>
        </w:rPr>
      </w:pPr>
      <w:r>
        <w:rPr>
          <w:rFonts w:ascii="Times New Roman" w:cs="Times New Roman" w:eastAsia="Times New Roman" w:hAnsi="Times New Roman"/>
          <w:sz w:val="20"/>
          <w:szCs w:val="20"/>
          <w:color w:val="auto"/>
        </w:rPr>
        <w:t>Options granted under the 2020 Plan have a maximum term of ten years from the date of grant and generally vest over four years.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2022 Equity Incentive Awards</w:t>
      </w:r>
    </w:p>
    <w:p>
      <w:pPr>
        <w:spacing w:after="0" w:line="166"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On February 17, 2022, pursuant to the Company’s 2020 Equity Incentive Plan, the compensation committee of the Company’s board of directors approved a total of 125,000 options to purchase the Company’s common stock as equity-based incentive awards to the Company’s executive officers. Each option award was granted with an exercise price of $4.60 per share, the closing price of the Company’s common stock on the Nasdaq Global Market on February 17, 2022, with the option award vesting in 48 equal monthly installments over a four-year period, subject to such executive officer’s continued service on the applicable vesting date. Additionally, on February 17, 2022, the compensation committee of the Company’s board of directors approved a total of 39,500 options to purchase the Company’s common stock to non-executive employees of the Company as equity-based incentive awards. Each option award was granted with an exercise price of $4.60 per share, the closing price of the Company’s common stock on the Nasdaq Global Market on February 17, 2022, with the option award vesting in 48 equal monthly installments over a four-year period, subject to such employee’s continued service on the applicable vesting date.</w:t>
      </w:r>
    </w:p>
    <w:p>
      <w:pPr>
        <w:spacing w:after="0" w:line="134"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The above awards were in addition to 17,500 stock option awards issued during the three months ended March 31, 2022 to new employees upon their commencement of employment with the Company. Each option award was granted with an exercise price of $10.00 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w:t>
      </w:r>
    </w:p>
    <w:p>
      <w:pPr>
        <w:spacing w:after="0" w:line="124"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21,000 stock option awards were issued during the three months ended June 30, 2022 to new employees upon their commencement of employment with the Company. Each option award was granted with an exercise price of $4.30 per share, the closing price of the Company’s common stock on the Nasdaq Global Market on April 1, 2022, with 25% of the option award vesting in one year and the remaining 75% vesting in 36 equal monthly installments thereafter over a three-year period, subject to such employee’s continued service on the applicable vesting date.</w:t>
      </w:r>
    </w:p>
    <w:p>
      <w:pPr>
        <w:spacing w:after="0" w:line="124" w:lineRule="exact"/>
        <w:rPr>
          <w:sz w:val="20"/>
          <w:szCs w:val="20"/>
          <w:color w:val="auto"/>
        </w:rPr>
      </w:pPr>
    </w:p>
    <w:p>
      <w:pPr>
        <w:ind w:right="20" w:firstLine="399"/>
        <w:spacing w:after="0" w:line="252" w:lineRule="auto"/>
        <w:rPr>
          <w:sz w:val="20"/>
          <w:szCs w:val="20"/>
          <w:color w:val="auto"/>
        </w:rPr>
      </w:pPr>
      <w:r>
        <w:rPr>
          <w:rFonts w:ascii="Times New Roman" w:cs="Times New Roman" w:eastAsia="Times New Roman" w:hAnsi="Times New Roman"/>
          <w:sz w:val="20"/>
          <w:szCs w:val="20"/>
          <w:color w:val="auto"/>
        </w:rPr>
        <w:t>10,000 stock option awards were issued during the three months ended September 30, 2022 to new employees upon their commencement of employment with the Company. Each option award was granted with an exercise price of $3.50 per share, the closing price of the Company’s common stock on the Nasdaq Global Market on July 1, 2022, with 25% of the option award vesting in one year and the remaining 75% vesting in 36 equal monthly installments thereafter over a three-year period, subject to such employee’s continued service on the applicable vesting date.</w:t>
      </w:r>
    </w:p>
    <w:p>
      <w:pPr>
        <w:spacing w:after="0" w:line="124" w:lineRule="exact"/>
        <w:rPr>
          <w:sz w:val="20"/>
          <w:szCs w:val="20"/>
          <w:color w:val="auto"/>
        </w:rPr>
      </w:pPr>
    </w:p>
    <w:p>
      <w:pPr>
        <w:ind w:right="40" w:firstLine="399"/>
        <w:spacing w:after="0" w:line="257" w:lineRule="auto"/>
        <w:rPr>
          <w:sz w:val="20"/>
          <w:szCs w:val="20"/>
          <w:color w:val="auto"/>
        </w:rPr>
      </w:pPr>
      <w:r>
        <w:rPr>
          <w:rFonts w:ascii="Times New Roman" w:cs="Times New Roman" w:eastAsia="Times New Roman" w:hAnsi="Times New Roman"/>
          <w:sz w:val="20"/>
          <w:szCs w:val="20"/>
          <w:color w:val="auto"/>
        </w:rPr>
        <w:t>Additionally, 7,000 stock option awards were issued during the three months ended December 31, 2022 to new employees upon their commencement of employment with the Company. Each option award was granted with an exercise price of $3.73 per share, the closing price of the Company’s common stock on the Nasdaq Global Market on October 3, 2022, with 25% of the option award vesting in one year and the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1880" w:h="15480" w:orient="portrait"/>
          <w:cols w:equalWidth="0" w:num="1">
            <w:col w:w="9100"/>
          </w:cols>
          <w:pgMar w:left="1400" w:top="1023" w:right="1380" w:bottom="71" w:gutter="0" w:footer="0" w:header="0"/>
        </w:sectPr>
      </w:pPr>
    </w:p>
    <w:bookmarkStart w:id="118" w:name="page119"/>
    <w:bookmarkEnd w:id="118"/>
    <w:p>
      <w:pPr>
        <w:ind w:left="20" w:right="120"/>
        <w:spacing w:after="0" w:line="273" w:lineRule="auto"/>
        <w:rPr>
          <w:sz w:val="20"/>
          <w:szCs w:val="20"/>
          <w:color w:val="auto"/>
        </w:rPr>
      </w:pPr>
      <w:r>
        <w:rPr>
          <w:rFonts w:ascii="Times New Roman" w:cs="Times New Roman" w:eastAsia="Times New Roman" w:hAnsi="Times New Roman"/>
          <w:sz w:val="20"/>
          <w:szCs w:val="20"/>
          <w:color w:val="auto"/>
        </w:rPr>
        <w:t>remaining 75% vesting in 36 equal monthly installments thereafter over a three-year period, subject to such employee’s continued service on the applicable vesting date.</w:t>
      </w:r>
    </w:p>
    <w:p>
      <w:pPr>
        <w:spacing w:after="0" w:line="64" w:lineRule="exact"/>
        <w:rPr>
          <w:sz w:val="20"/>
          <w:szCs w:val="20"/>
          <w:color w:val="auto"/>
        </w:rPr>
      </w:pPr>
    </w:p>
    <w:p>
      <w:pPr>
        <w:ind w:left="20" w:firstLine="399"/>
        <w:spacing w:after="0" w:line="246" w:lineRule="auto"/>
        <w:rPr>
          <w:sz w:val="20"/>
          <w:szCs w:val="20"/>
          <w:color w:val="auto"/>
        </w:rPr>
      </w:pPr>
      <w:r>
        <w:rPr>
          <w:rFonts w:ascii="Times New Roman" w:cs="Times New Roman" w:eastAsia="Times New Roman" w:hAnsi="Times New Roman"/>
          <w:sz w:val="20"/>
          <w:szCs w:val="20"/>
          <w:color w:val="auto"/>
        </w:rPr>
        <w:t>Also, pursuant to the Company’s Non-Employee Director Compensation Policy, which had previously been approved by the Company’s board of directors, 40,000 stock option awards were issued during the year ended December 31, 2022 to independent members of the board of directors of the Company. Each option award was granted on May 24, 2022 with an exercise price of $3.377 per share, the closing price of the Company’s common stock on the Nasdaq Global Market on May 24, 2022. Each option award will vest in one year subject to the director’s continuance of service through May 24, 2023.</w:t>
      </w:r>
    </w:p>
    <w:p>
      <w:pPr>
        <w:spacing w:after="0" w:line="91" w:lineRule="exact"/>
        <w:rPr>
          <w:sz w:val="20"/>
          <w:szCs w:val="20"/>
          <w:color w:val="auto"/>
        </w:rPr>
      </w:pPr>
    </w:p>
    <w:p>
      <w:pPr>
        <w:ind w:left="20" w:right="320" w:firstLine="399"/>
        <w:spacing w:after="0" w:line="273" w:lineRule="auto"/>
        <w:rPr>
          <w:sz w:val="20"/>
          <w:szCs w:val="20"/>
          <w:color w:val="auto"/>
        </w:rPr>
      </w:pPr>
      <w:r>
        <w:rPr>
          <w:rFonts w:ascii="Times New Roman" w:cs="Times New Roman" w:eastAsia="Times New Roman" w:hAnsi="Times New Roman"/>
          <w:sz w:val="20"/>
          <w:szCs w:val="20"/>
          <w:color w:val="auto"/>
        </w:rPr>
        <w:t>As of December 31, 2022, approximately 989,000 shares of common stock are available to be issued under the 2020 Plan.</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 summary of the Company’s stock option activity is as follows for stock options: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r>
      <w:tr>
        <w:trPr>
          <w:trHeight w:val="180"/>
        </w:trPr>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Remaining</w:t>
            </w:r>
          </w:p>
        </w:tc>
      </w:tr>
      <w:tr>
        <w:trPr>
          <w:trHeight w:val="180"/>
        </w:trPr>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180" w:type="dxa"/>
            <w:vAlign w:val="bottom"/>
            <w:gridSpan w:val="5"/>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Total Intrinsic</w:t>
            </w:r>
          </w:p>
        </w:tc>
        <w:tc>
          <w:tcPr>
            <w:tcW w:w="12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Contractual</w:t>
            </w:r>
          </w:p>
        </w:tc>
      </w:tr>
      <w:tr>
        <w:trPr>
          <w:trHeight w:val="203"/>
        </w:trPr>
        <w:tc>
          <w:tcPr>
            <w:tcW w:w="386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220" w:type="dxa"/>
            <w:vAlign w:val="bottom"/>
          </w:tcPr>
          <w:p>
            <w:pPr>
              <w:spacing w:after="0"/>
              <w:rPr>
                <w:sz w:val="17"/>
                <w:szCs w:val="17"/>
                <w:color w:val="auto"/>
              </w:rPr>
            </w:pPr>
          </w:p>
        </w:tc>
        <w:tc>
          <w:tcPr>
            <w:tcW w:w="96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Life (in years)</w:t>
            </w:r>
          </w:p>
        </w:tc>
      </w:tr>
      <w:tr>
        <w:trPr>
          <w:trHeight w:val="30"/>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4"/>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Outstanding as of January 1, 2021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600,181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$62.18</w:t>
            </w:r>
          </w:p>
        </w:tc>
        <w:tc>
          <w:tcPr>
            <w:tcW w:w="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480" w:type="dxa"/>
            <w:vAlign w:val="bottom"/>
          </w:tcPr>
          <w:p>
            <w:pPr>
              <w:spacing w:after="0"/>
              <w:rPr>
                <w:sz w:val="24"/>
                <w:szCs w:val="24"/>
                <w:color w:val="auto"/>
              </w:rPr>
            </w:pPr>
          </w:p>
        </w:tc>
      </w:tr>
      <w:tr>
        <w:trPr>
          <w:trHeight w:val="299"/>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Granted . . . . . . . . . . . . . . . . . . . . . .</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191,500</w:t>
            </w:r>
          </w:p>
        </w:tc>
        <w:tc>
          <w:tcPr>
            <w:tcW w:w="24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28.97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8.9</w:t>
            </w:r>
          </w:p>
        </w:tc>
      </w:tr>
      <w:tr>
        <w:trPr>
          <w:trHeight w:val="299"/>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Exercised  . . . . . . . . . . . . . . . . . . . . .</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(146)</w:t>
            </w:r>
          </w:p>
        </w:tc>
        <w:tc>
          <w:tcPr>
            <w:tcW w:w="24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21.20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Canceled/Expired . . . . . . . . . . . . . . . .</w:t>
            </w:r>
          </w:p>
        </w:tc>
        <w:tc>
          <w:tcPr>
            <w:tcW w:w="2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(22,912)</w:t>
            </w:r>
          </w:p>
        </w:tc>
        <w:tc>
          <w:tcPr>
            <w:tcW w:w="24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35.92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Outstanding as of December 31, 2021 . . .</w:t>
            </w:r>
          </w:p>
        </w:tc>
        <w:tc>
          <w:tcPr>
            <w:tcW w:w="24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768,623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4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7.7</w:t>
            </w:r>
          </w:p>
        </w:tc>
        <w:tc>
          <w:tcPr>
            <w:tcW w:w="480" w:type="dxa"/>
            <w:vAlign w:val="bottom"/>
          </w:tcPr>
          <w:p>
            <w:pPr>
              <w:spacing w:after="0"/>
              <w:rPr>
                <w:sz w:val="24"/>
                <w:szCs w:val="24"/>
                <w:color w:val="auto"/>
              </w:rPr>
            </w:pPr>
          </w:p>
        </w:tc>
      </w:tr>
      <w:tr>
        <w:trPr>
          <w:trHeight w:val="299"/>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Granted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260,000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4.68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480" w:type="dxa"/>
            <w:vAlign w:val="bottom"/>
          </w:tcPr>
          <w:p>
            <w:pPr>
              <w:spacing w:after="0"/>
              <w:rPr>
                <w:sz w:val="24"/>
                <w:szCs w:val="24"/>
                <w:color w:val="auto"/>
              </w:rPr>
            </w:pPr>
          </w:p>
        </w:tc>
      </w:tr>
      <w:tr>
        <w:trPr>
          <w:trHeight w:val="302"/>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Canceled/Expired . . . . . . . . . . . . . . . .</w:t>
            </w:r>
          </w:p>
        </w:tc>
        <w:tc>
          <w:tcPr>
            <w:tcW w:w="2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(142,450)</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89"/>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Outstanding as of December 31, 2022 . . .</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886,173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$42.90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480" w:type="dxa"/>
            <w:vAlign w:val="bottom"/>
          </w:tcPr>
          <w:p>
            <w:pPr>
              <w:spacing w:after="0"/>
              <w:rPr>
                <w:sz w:val="24"/>
                <w:szCs w:val="24"/>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6"/>
        </w:trPr>
        <w:tc>
          <w:tcPr>
            <w:tcW w:w="3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Options vested and exercisable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560,929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480" w:type="dxa"/>
            <w:vAlign w:val="bottom"/>
          </w:tcPr>
          <w:p>
            <w:pPr>
              <w:spacing w:after="0"/>
              <w:rPr>
                <w:sz w:val="24"/>
                <w:szCs w:val="24"/>
                <w:color w:val="auto"/>
              </w:rPr>
            </w:pPr>
          </w:p>
        </w:tc>
      </w:tr>
    </w:tbl>
    <w:p>
      <w:pPr>
        <w:spacing w:after="0" w:line="153" w:lineRule="exact"/>
        <w:rPr>
          <w:sz w:val="20"/>
          <w:szCs w:val="20"/>
          <w:color w:val="auto"/>
        </w:rPr>
      </w:pPr>
    </w:p>
    <w:p>
      <w:pPr>
        <w:ind w:left="20" w:firstLine="399"/>
        <w:spacing w:after="0" w:line="250" w:lineRule="auto"/>
        <w:rPr>
          <w:sz w:val="20"/>
          <w:szCs w:val="20"/>
          <w:color w:val="auto"/>
        </w:rPr>
      </w:pPr>
      <w:r>
        <w:rPr>
          <w:rFonts w:ascii="Times New Roman" w:cs="Times New Roman" w:eastAsia="Times New Roman" w:hAnsi="Times New Roman"/>
          <w:sz w:val="20"/>
          <w:szCs w:val="20"/>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2022 and 2021, respectively, were as follows:</w:t>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60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3"/>
        </w:trPr>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0"/>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9"/>
        </w:trPr>
        <w:tc>
          <w:tcPr>
            <w:tcW w:w="68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30"/>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Exercise price . . . . . . . . . . . . . . . . . . . . . . . . . . . . . . . . . . . . . . . . . . .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120" w:type="dxa"/>
            <w:vAlign w:val="bottom"/>
          </w:tcPr>
          <w:p>
            <w:pPr>
              <w:spacing w:after="0"/>
              <w:rPr>
                <w:sz w:val="24"/>
                <w:szCs w:val="24"/>
                <w:color w:val="auto"/>
              </w:rPr>
            </w:pPr>
          </w:p>
        </w:tc>
      </w:tr>
      <w:tr>
        <w:trPr>
          <w:trHeight w:val="29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  . . . . . . . . . . . . . . . . . . . . . . . . . . . . . . . . . . . . .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20" w:type="dxa"/>
            <w:vAlign w:val="bottom"/>
          </w:tcPr>
          <w:p>
            <w:pPr>
              <w:spacing w:after="0"/>
              <w:rPr>
                <w:sz w:val="24"/>
                <w:szCs w:val="24"/>
                <w:color w:val="auto"/>
              </w:rPr>
            </w:pPr>
          </w:p>
        </w:tc>
      </w:tr>
      <w:tr>
        <w:trPr>
          <w:trHeight w:val="29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Expected stock price volatility  . . . . . . . . . . . . . . . . . . . . . . .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9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Risk-free rate of interest  . . . . . . . . . . . . . . . . . . . . . . . . . . .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rate . . . . . . . . . . . . . . . . . . . . . . . . . . . . .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151" w:lineRule="exact"/>
        <w:rPr>
          <w:sz w:val="20"/>
          <w:szCs w:val="20"/>
          <w:color w:val="auto"/>
        </w:rPr>
      </w:pPr>
    </w:p>
    <w:p>
      <w:pPr>
        <w:ind w:left="20" w:right="600" w:firstLine="399"/>
        <w:spacing w:after="0" w:line="273" w:lineRule="auto"/>
        <w:rPr>
          <w:sz w:val="20"/>
          <w:szCs w:val="20"/>
          <w:color w:val="auto"/>
        </w:rPr>
      </w:pPr>
      <w:r>
        <w:rPr>
          <w:rFonts w:ascii="Times New Roman" w:cs="Times New Roman" w:eastAsia="Times New Roman" w:hAnsi="Times New Roman"/>
          <w:sz w:val="20"/>
          <w:szCs w:val="20"/>
          <w:color w:val="auto"/>
        </w:rPr>
        <w:t>The following table sets forth stock-based compensation expenses recorded during the respective periods:</w:t>
      </w:r>
    </w:p>
    <w:p>
      <w:pPr>
        <w:spacing w:after="0" w:line="97"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4481195</wp:posOffset>
                </wp:positionH>
                <wp:positionV relativeFrom="paragraph">
                  <wp:posOffset>33655</wp:posOffset>
                </wp:positionV>
                <wp:extent cx="130365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6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85pt,2.65pt" to="455.5pt,2.65pt" o:allowincell="f" strokecolor="#000000" strokeweight="0.499pt"/>
            </w:pict>
          </mc:Fallback>
        </mc:AlternateConten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9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92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0"/>
        </w:trPr>
        <w:tc>
          <w:tcPr>
            <w:tcW w:w="7040" w:type="dxa"/>
            <w:vAlign w:val="bottom"/>
            <w:vMerge w:val="restart"/>
          </w:tcPr>
          <w:p>
            <w:pPr>
              <w:jc w:val="right"/>
              <w:ind w:right="4340"/>
              <w:spacing w:after="0"/>
              <w:rPr>
                <w:sz w:val="20"/>
                <w:szCs w:val="20"/>
                <w:color w:val="auto"/>
              </w:rPr>
            </w:pPr>
            <w:r>
              <w:rPr>
                <w:rFonts w:ascii="Times New Roman" w:cs="Times New Roman" w:eastAsia="Times New Roman" w:hAnsi="Times New Roman"/>
                <w:sz w:val="20"/>
                <w:szCs w:val="20"/>
                <w:color w:val="auto"/>
              </w:rPr>
              <w:t>Stock Compensation expenses:</w:t>
            </w: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$2,691,000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$2,856,000</w:t>
            </w:r>
          </w:p>
        </w:tc>
        <w:tc>
          <w:tcPr>
            <w:tcW w:w="0" w:type="dxa"/>
            <w:vAlign w:val="bottom"/>
          </w:tcPr>
          <w:p>
            <w:pPr>
              <w:spacing w:after="0"/>
              <w:rPr>
                <w:sz w:val="1"/>
                <w:szCs w:val="1"/>
                <w:color w:val="auto"/>
              </w:rPr>
            </w:pPr>
          </w:p>
        </w:tc>
      </w:tr>
      <w:tr>
        <w:trPr>
          <w:trHeight w:val="302"/>
        </w:trPr>
        <w:tc>
          <w:tcPr>
            <w:tcW w:w="70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 . . .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2,653,000</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3,108,000</w:t>
            </w:r>
          </w:p>
        </w:tc>
        <w:tc>
          <w:tcPr>
            <w:tcW w:w="0" w:type="dxa"/>
            <w:vAlign w:val="bottom"/>
          </w:tcPr>
          <w:p>
            <w:pPr>
              <w:spacing w:after="0"/>
              <w:rPr>
                <w:sz w:val="1"/>
                <w:szCs w:val="1"/>
                <w:color w:val="auto"/>
              </w:rPr>
            </w:pPr>
          </w:p>
        </w:tc>
      </w:tr>
      <w:tr>
        <w:trPr>
          <w:trHeight w:val="289"/>
        </w:trPr>
        <w:tc>
          <w:tcPr>
            <w:tcW w:w="70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stock compensation expenses . . . . . . . . . . . . . . . . . . . . . . . . . . . . . .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$5,344,000</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$5,964,000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025" w:right="1380" w:bottom="70"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1880" w:h="15480" w:orient="portrait"/>
          <w:cols w:equalWidth="0" w:num="1">
            <w:col w:w="9120"/>
          </w:cols>
          <w:pgMar w:left="1380" w:top="1025" w:right="1380" w:bottom="70" w:gutter="0" w:footer="0" w:header="0"/>
          <w:type w:val="continuous"/>
        </w:sectPr>
      </w:pPr>
    </w:p>
    <w:bookmarkStart w:id="119" w:name="page120"/>
    <w:bookmarkEnd w:id="119"/>
    <w:p>
      <w:pPr>
        <w:jc w:val="both"/>
        <w:ind w:right="360" w:firstLine="399"/>
        <w:spacing w:after="0" w:line="277" w:lineRule="auto"/>
        <w:rPr>
          <w:sz w:val="20"/>
          <w:szCs w:val="20"/>
          <w:color w:val="auto"/>
        </w:rPr>
      </w:pPr>
      <w:r>
        <w:rPr>
          <w:rFonts w:ascii="Times New Roman" w:cs="Times New Roman" w:eastAsia="Times New Roman" w:hAnsi="Times New Roman"/>
          <w:sz w:val="20"/>
          <w:szCs w:val="20"/>
          <w:color w:val="auto"/>
        </w:rPr>
        <w:t>At December 31, 2022, the total stock-based compensation cost related to unvested awards not yet recognized was $3.5 million. The expected weighted average period compensation costs to be recognized was 1.8 years. Future option grants will impact the compensation expense recognized.</w:t>
      </w:r>
    </w:p>
    <w:p>
      <w:pPr>
        <w:spacing w:after="0" w:line="20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NOTE 13:</w:t>
        <w:tab/>
        <w:t>GRANT INCOME</w:t>
      </w:r>
    </w:p>
    <w:p>
      <w:pPr>
        <w:spacing w:after="0" w:line="195"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spacing w:after="0" w:line="135" w:lineRule="exact"/>
        <w:rPr>
          <w:sz w:val="20"/>
          <w:szCs w:val="20"/>
          <w:color w:val="auto"/>
        </w:rPr>
      </w:pPr>
    </w:p>
    <w:p>
      <w:pPr>
        <w:ind w:firstLine="399"/>
        <w:spacing w:after="0" w:line="266" w:lineRule="auto"/>
        <w:rPr>
          <w:sz w:val="20"/>
          <w:szCs w:val="20"/>
          <w:color w:val="auto"/>
        </w:rPr>
      </w:pPr>
      <w:r>
        <w:rPr>
          <w:rFonts w:ascii="Times New Roman" w:cs="Times New Roman" w:eastAsia="Times New Roman" w:hAnsi="Times New Roman"/>
          <w:sz w:val="20"/>
          <w:szCs w:val="20"/>
          <w:color w:val="auto"/>
        </w:rPr>
        <w:t>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The Company recorded $3.4 million and $1.2 million of grant income related to the CPRIT grant as revenue for the years ended December 31, 2022 and 2021, respectively. At December 31, 2022, the Company recorded $2.3 million of grant income receivable, which represented grant income earned in advance of the next tranche of funds to be received from CPRIT. In January 2023, the Company received $2.4 million from CPRIT.</w:t>
      </w:r>
    </w:p>
    <w:p>
      <w:pPr>
        <w:spacing w:after="0" w:line="135"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2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14:</w:t>
        <w:tab/>
        <w:t>LEGAL PROCEEDINGS</w:t>
      </w:r>
    </w:p>
    <w:p>
      <w:pPr>
        <w:spacing w:after="0" w:line="195" w:lineRule="exact"/>
        <w:rPr>
          <w:sz w:val="20"/>
          <w:szCs w:val="20"/>
          <w:color w:val="auto"/>
        </w:rPr>
      </w:pPr>
    </w:p>
    <w:p>
      <w:pPr>
        <w:ind w:right="60" w:firstLine="399"/>
        <w:spacing w:after="0" w:line="268" w:lineRule="auto"/>
        <w:rPr>
          <w:sz w:val="20"/>
          <w:szCs w:val="20"/>
          <w:color w:val="auto"/>
        </w:rPr>
      </w:pPr>
      <w:r>
        <w:rPr>
          <w:rFonts w:ascii="Times New Roman" w:cs="Times New Roman" w:eastAsia="Times New Roman" w:hAnsi="Times New Roman"/>
          <w:sz w:val="20"/>
          <w:szCs w:val="20"/>
          <w:color w:val="auto"/>
        </w:rPr>
        <w:t>From time to time, the Company may be party to ordinary, routine litigation incidental to their business. Other than below,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37"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20"/>
          <w:szCs w:val="20"/>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w:t>
      </w:r>
    </w:p>
    <w:p>
      <w:pPr>
        <w:spacing w:after="0" w:line="395" w:lineRule="exact"/>
        <w:rPr>
          <w:sz w:val="20"/>
          <w:szCs w:val="20"/>
          <w:color w:val="auto"/>
        </w:rPr>
      </w:pPr>
    </w:p>
    <w:p>
      <w:pPr>
        <w:ind w:right="80" w:firstLine="399"/>
        <w:spacing w:after="0" w:line="267" w:lineRule="auto"/>
        <w:rPr>
          <w:sz w:val="20"/>
          <w:szCs w:val="20"/>
          <w:color w:val="auto"/>
        </w:rPr>
      </w:pPr>
      <w:r>
        <w:rPr>
          <w:rFonts w:ascii="Times New Roman" w:cs="Times New Roman" w:eastAsia="Times New Roman" w:hAnsi="Times New Roman"/>
          <w:sz w:val="20"/>
          <w:szCs w:val="20"/>
          <w:color w:val="auto"/>
        </w:rPr>
        <w:t>On March 9, 2022, the Company was notified that its motion to vacate the award was denied and the broker was awarded an additional $0.1 million in interest. Post judgment interest accrued at 1.02% until the judgment was paid. On March 24, 2022, the Company paid the broker $2.5 million, which amount included accrued interest. On January 4, 2023, the Company was notified that the broker was awarded an additional $0.1 million in attorneys’ fees, which the Company recorded to other expenses during fiscal year ending December 31, 2022. The Company paid the $0.1 million on January 9, 2023.</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1880" w:h="15480" w:orient="portrait"/>
          <w:cols w:equalWidth="0" w:num="1">
            <w:col w:w="9100"/>
          </w:cols>
          <w:pgMar w:left="1400" w:top="1025" w:right="1380" w:bottom="68" w:gutter="0" w:footer="0" w:header="0"/>
        </w:sectPr>
      </w:pPr>
    </w:p>
    <w:bookmarkStart w:id="120" w:name="page121"/>
    <w:bookmarkEnd w:id="120"/>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15:</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171" w:lineRule="exact"/>
        <w:rPr>
          <w:sz w:val="20"/>
          <w:szCs w:val="20"/>
          <w:color w:val="auto"/>
        </w:rPr>
      </w:pPr>
    </w:p>
    <w:p>
      <w:pPr>
        <w:ind w:right="800" w:firstLine="399"/>
        <w:spacing w:after="0" w:line="284" w:lineRule="auto"/>
        <w:rPr>
          <w:sz w:val="20"/>
          <w:szCs w:val="20"/>
          <w:color w:val="auto"/>
        </w:rPr>
      </w:pPr>
      <w:r>
        <w:rPr>
          <w:rFonts w:ascii="Times New Roman" w:cs="Times New Roman" w:eastAsia="Times New Roman" w:hAnsi="Times New Roman"/>
          <w:sz w:val="20"/>
          <w:szCs w:val="20"/>
          <w:color w:val="auto"/>
        </w:rPr>
        <w:t>The following table sets forth related party transaction expenses recorded for the years ended December 31, 2022 and 2021, respectively.</w:t>
      </w:r>
    </w:p>
    <w:p>
      <w:pPr>
        <w:spacing w:after="0" w:line="8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4468495</wp:posOffset>
                </wp:positionH>
                <wp:positionV relativeFrom="paragraph">
                  <wp:posOffset>33655</wp:posOffset>
                </wp:positionV>
                <wp:extent cx="130365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6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5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90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92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
        </w:trPr>
        <w:tc>
          <w:tcPr>
            <w:tcW w:w="7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Baylor College of Medicine . .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$1,142,000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$2,851,000</w:t>
            </w:r>
          </w:p>
        </w:tc>
      </w:tr>
      <w:tr>
        <w:trPr>
          <w:trHeight w:val="29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Bio-Techne Corporation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101,000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306,000</w:t>
            </w:r>
          </w:p>
        </w:tc>
      </w:tr>
      <w:tr>
        <w:trPr>
          <w:trHeight w:val="302"/>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Wilson Wolf Manufacturing Corporation . . . . . . . . . . . . . . . . . . . . . . . . .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265,000</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280,000</w:t>
            </w:r>
          </w:p>
        </w:tc>
      </w:tr>
      <w:tr>
        <w:trPr>
          <w:trHeight w:val="28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 . . . . . . . . . . . . . . . . . . . . . . . . . . . . . . . .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$1,508,000</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$3,437,000</w:t>
            </w:r>
          </w:p>
        </w:tc>
      </w:tr>
      <w:tr>
        <w:trPr>
          <w:trHeight w:val="20"/>
        </w:trPr>
        <w:tc>
          <w:tcPr>
            <w:tcW w:w="7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580" w:firstLine="399"/>
        <w:spacing w:after="0" w:line="284" w:lineRule="auto"/>
        <w:rPr>
          <w:sz w:val="20"/>
          <w:szCs w:val="20"/>
          <w:color w:val="auto"/>
        </w:rPr>
      </w:pPr>
      <w:r>
        <w:rPr>
          <w:rFonts w:ascii="Times New Roman" w:cs="Times New Roman" w:eastAsia="Times New Roman" w:hAnsi="Times New Roman"/>
          <w:sz w:val="20"/>
          <w:szCs w:val="20"/>
          <w:color w:val="auto"/>
        </w:rPr>
        <w:t>$8,600 of related party transactions are included in accounts payable and accrued liabilities as of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Agreements with The Baylor College of Medicine (“BCM”)</w:t>
      </w:r>
      <w:r>
        <w:rPr>
          <w:rFonts w:ascii="Times New Roman" w:cs="Times New Roman" w:eastAsia="Times New Roman" w:hAnsi="Times New Roman"/>
          <w:sz w:val="20"/>
          <w:szCs w:val="20"/>
          <w:i w:val="1"/>
          <w:iCs w:val="1"/>
          <w:color w:val="auto"/>
        </w:rPr>
        <w:t>.</w:t>
      </w:r>
    </w:p>
    <w:p>
      <w:pPr>
        <w:spacing w:after="0" w:line="165" w:lineRule="exact"/>
        <w:rPr>
          <w:sz w:val="20"/>
          <w:szCs w:val="20"/>
          <w:color w:val="auto"/>
        </w:rPr>
      </w:pPr>
    </w:p>
    <w:p>
      <w:pPr>
        <w:ind w:right="360" w:firstLine="399"/>
        <w:spacing w:after="0" w:line="267" w:lineRule="auto"/>
        <w:rPr>
          <w:sz w:val="20"/>
          <w:szCs w:val="20"/>
          <w:color w:val="auto"/>
        </w:rPr>
      </w:pPr>
      <w:r>
        <w:rPr>
          <w:rFonts w:ascii="Times New Roman" w:cs="Times New Roman" w:eastAsia="Times New Roman" w:hAnsi="Times New Roman"/>
          <w:sz w:val="20"/>
          <w:szCs w:val="20"/>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11" w:lineRule="exact"/>
        <w:rPr>
          <w:sz w:val="20"/>
          <w:szCs w:val="20"/>
          <w:color w:val="auto"/>
        </w:rPr>
      </w:pPr>
    </w:p>
    <w:p>
      <w:pPr>
        <w:ind w:right="260" w:firstLine="399"/>
        <w:spacing w:after="0" w:line="284" w:lineRule="auto"/>
        <w:rPr>
          <w:sz w:val="20"/>
          <w:szCs w:val="20"/>
          <w:color w:val="auto"/>
        </w:rPr>
      </w:pPr>
      <w:r>
        <w:rPr>
          <w:rFonts w:ascii="Times New Roman" w:cs="Times New Roman" w:eastAsia="Times New Roman" w:hAnsi="Times New Roman"/>
          <w:sz w:val="20"/>
          <w:szCs w:val="20"/>
          <w:color w:val="auto"/>
        </w:rPr>
        <w:t>In September 2019, May 2020 and July 2021, the Company entered into Clinical Supply Agreements with BCM, which provided for BCM to provide to the Company multi tumor antigen specific products.</w:t>
      </w:r>
    </w:p>
    <w:p>
      <w:pPr>
        <w:spacing w:after="0" w:line="94" w:lineRule="exact"/>
        <w:rPr>
          <w:sz w:val="20"/>
          <w:szCs w:val="20"/>
          <w:color w:val="auto"/>
        </w:rPr>
      </w:pPr>
    </w:p>
    <w:p>
      <w:pPr>
        <w:ind w:right="80" w:firstLine="399"/>
        <w:spacing w:after="0" w:line="267" w:lineRule="auto"/>
        <w:rPr>
          <w:sz w:val="20"/>
          <w:szCs w:val="20"/>
          <w:color w:val="auto"/>
        </w:rPr>
      </w:pPr>
      <w:r>
        <w:rPr>
          <w:rFonts w:ascii="Times New Roman" w:cs="Times New Roman" w:eastAsia="Times New Roman" w:hAnsi="Times New Roman"/>
          <w:sz w:val="20"/>
          <w:szCs w:val="20"/>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11" w:lineRule="exact"/>
        <w:rPr>
          <w:sz w:val="20"/>
          <w:szCs w:val="20"/>
          <w:color w:val="auto"/>
        </w:rPr>
      </w:pPr>
    </w:p>
    <w:p>
      <w:pPr>
        <w:ind w:right="360" w:firstLine="399"/>
        <w:spacing w:after="0" w:line="284" w:lineRule="auto"/>
        <w:rPr>
          <w:sz w:val="20"/>
          <w:szCs w:val="20"/>
          <w:color w:val="auto"/>
        </w:rPr>
      </w:pPr>
      <w:r>
        <w:rPr>
          <w:rFonts w:ascii="Times New Roman" w:cs="Times New Roman" w:eastAsia="Times New Roman" w:hAnsi="Times New Roman"/>
          <w:sz w:val="20"/>
          <w:szCs w:val="20"/>
          <w:color w:val="auto"/>
        </w:rPr>
        <w:t>In August 2020, the Company entered in a Clinical Trial Agreement with BCM, which provided for BCM to provide to the Company investigator-initiated research studies.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Purchases from Bio-Techne Corporation</w:t>
      </w:r>
      <w:r>
        <w:rPr>
          <w:rFonts w:ascii="Times New Roman" w:cs="Times New Roman" w:eastAsia="Times New Roman" w:hAnsi="Times New Roman"/>
          <w:sz w:val="20"/>
          <w:szCs w:val="20"/>
          <w:i w:val="1"/>
          <w:iCs w:val="1"/>
          <w:color w:val="auto"/>
        </w:rPr>
        <w:t>.</w:t>
      </w:r>
    </w:p>
    <w:p>
      <w:pPr>
        <w:spacing w:after="0" w:line="165"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Purchases from Wilson Wolf</w:t>
      </w:r>
      <w:r>
        <w:rPr>
          <w:rFonts w:ascii="Times New Roman" w:cs="Times New Roman" w:eastAsia="Times New Roman" w:hAnsi="Times New Roman"/>
          <w:sz w:val="20"/>
          <w:szCs w:val="20"/>
          <w:i w:val="1"/>
          <w:iCs w:val="1"/>
          <w:color w:val="auto"/>
        </w:rPr>
        <w:t>.</w:t>
      </w:r>
    </w:p>
    <w:p>
      <w:pPr>
        <w:spacing w:after="0" w:line="165" w:lineRule="exact"/>
        <w:rPr>
          <w:sz w:val="20"/>
          <w:szCs w:val="20"/>
          <w:color w:val="auto"/>
        </w:rPr>
      </w:pPr>
    </w:p>
    <w:p>
      <w:pPr>
        <w:ind w:right="200" w:firstLine="399"/>
        <w:spacing w:after="0" w:line="267" w:lineRule="auto"/>
        <w:rPr>
          <w:sz w:val="20"/>
          <w:szCs w:val="20"/>
          <w:color w:val="auto"/>
        </w:rPr>
      </w:pPr>
      <w:r>
        <w:rPr>
          <w:rFonts w:ascii="Times New Roman" w:cs="Times New Roman" w:eastAsia="Times New Roman" w:hAnsi="Times New Roman"/>
          <w:sz w:val="20"/>
          <w:szCs w:val="20"/>
          <w:color w:val="auto"/>
        </w:rPr>
        <w:t>The Company is currently utilizing Wilson Wolf for the purchases of cell culture devices called G-Rexes. Mr. John Wilson is a member of the Company’s board of directors and is serving as the CEO of Wilson Wolf Manufacturing Corporation.</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F-23</w:t>
      </w:r>
    </w:p>
    <w:p>
      <w:pPr>
        <w:sectPr>
          <w:pgSz w:w="11880" w:h="15480" w:orient="portrait"/>
          <w:cols w:equalWidth="0" w:num="1">
            <w:col w:w="9100"/>
          </w:cols>
          <w:pgMar w:left="1400" w:top="1023" w:right="1380" w:bottom="70" w:gutter="0" w:footer="0" w:header="0"/>
          <w:type w:val="continuous"/>
        </w:sectPr>
      </w:pPr>
    </w:p>
    <w:bookmarkStart w:id="121" w:name="page122"/>
    <w:bookmarkEnd w:id="121"/>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16:</w:t>
        <w:tab/>
        <w:t>INCOME TAXES</w:t>
      </w:r>
    </w:p>
    <w:p>
      <w:pPr>
        <w:spacing w:after="0" w:line="169" w:lineRule="exact"/>
        <w:rPr>
          <w:sz w:val="20"/>
          <w:szCs w:val="20"/>
          <w:color w:val="auto"/>
        </w:rPr>
      </w:pPr>
    </w:p>
    <w:p>
      <w:pPr>
        <w:ind w:right="860" w:firstLine="399"/>
        <w:spacing w:after="0" w:line="282" w:lineRule="auto"/>
        <w:rPr>
          <w:sz w:val="20"/>
          <w:szCs w:val="20"/>
          <w:color w:val="auto"/>
        </w:rPr>
      </w:pPr>
      <w:r>
        <w:rPr>
          <w:rFonts w:ascii="Times New Roman" w:cs="Times New Roman" w:eastAsia="Times New Roman" w:hAnsi="Times New Roman"/>
          <w:sz w:val="20"/>
          <w:szCs w:val="20"/>
          <w:color w:val="auto"/>
        </w:rPr>
        <w:t>The Company has no income tax expense due to operating losses incurred for the years ended December 31, 2022 and 2021.</w:t>
      </w:r>
    </w:p>
    <w:p>
      <w:pPr>
        <w:spacing w:after="0" w:line="94" w:lineRule="exact"/>
        <w:rPr>
          <w:sz w:val="20"/>
          <w:szCs w:val="20"/>
          <w:color w:val="auto"/>
        </w:rPr>
      </w:pPr>
    </w:p>
    <w:p>
      <w:pPr>
        <w:ind w:right="300" w:firstLine="399"/>
        <w:spacing w:after="0" w:line="282" w:lineRule="auto"/>
        <w:rPr>
          <w:sz w:val="20"/>
          <w:szCs w:val="20"/>
          <w:color w:val="auto"/>
        </w:rPr>
      </w:pPr>
      <w:r>
        <w:rPr>
          <w:rFonts w:ascii="Times New Roman" w:cs="Times New Roman" w:eastAsia="Times New Roman" w:hAnsi="Times New Roman"/>
          <w:sz w:val="20"/>
          <w:szCs w:val="20"/>
          <w:color w:val="auto"/>
        </w:rPr>
        <w:t>The effects of temporary differences that give rise to significant portions of the deferred tax assets as of December 31, 2022 and 2021 are as follows:</w:t>
      </w:r>
    </w:p>
    <w:p>
      <w:pPr>
        <w:spacing w:after="0" w:line="88"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jc w:val="center"/>
        <w:ind w:left="6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4384675</wp:posOffset>
                </wp:positionH>
                <wp:positionV relativeFrom="paragraph">
                  <wp:posOffset>33655</wp:posOffset>
                </wp:positionV>
                <wp:extent cx="13874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747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25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98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Operating Loss Carryforward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30,072,000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29,087,000</w:t>
            </w: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5,642,000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5,599,000</w:t>
            </w: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License Agreement  . . . . . . . . . . . . . . . . . . . . . . . . . . . . . . . . . . . . . . . .</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Capitalized R&amp;E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733,000</w:t>
            </w: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Charitable Contributions . . . . . . . . . . . . . . . . . . . . . . . . . . . . . . . . . . . .</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1,611,000</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2,514,000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9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42,876,000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38,578,000</w:t>
            </w:r>
          </w:p>
        </w:tc>
        <w:tc>
          <w:tcPr>
            <w:tcW w:w="0" w:type="dxa"/>
            <w:vAlign w:val="bottom"/>
          </w:tcPr>
          <w:p>
            <w:pPr>
              <w:spacing w:after="0"/>
              <w:rPr>
                <w:sz w:val="1"/>
                <w:szCs w:val="1"/>
                <w:color w:val="auto"/>
              </w:rPr>
            </w:pPr>
          </w:p>
        </w:tc>
      </w:tr>
      <w:tr>
        <w:trPr>
          <w:trHeight w:val="302"/>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Less: Valuation Allowance . . . . . . . . . . . . . . . . . . . . . . . . . . . . . . . . . . . . .</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98"/>
              </w:rPr>
              <w:t>(41,413,000)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(36,401,000)</w:t>
            </w:r>
          </w:p>
        </w:tc>
        <w:tc>
          <w:tcPr>
            <w:tcW w:w="0" w:type="dxa"/>
            <w:vAlign w:val="bottom"/>
          </w:tcPr>
          <w:p>
            <w:pPr>
              <w:spacing w:after="0"/>
              <w:rPr>
                <w:sz w:val="1"/>
                <w:szCs w:val="1"/>
                <w:color w:val="auto"/>
              </w:rPr>
            </w:pPr>
          </w:p>
        </w:tc>
      </w:tr>
      <w:tr>
        <w:trPr>
          <w:trHeight w:val="286"/>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1,463,000</w:t>
            </w:r>
          </w:p>
        </w:tc>
        <w:tc>
          <w:tcPr>
            <w:tcW w:w="22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2,177,000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Fixed Assets . . . . . . . . . . . . . . . . . . . . . . . . . . . . . . . . . . . . . . . . . . . . .</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(304,000)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(94,000)</w:t>
            </w:r>
          </w:p>
        </w:tc>
        <w:tc>
          <w:tcPr>
            <w:tcW w:w="0" w:type="dxa"/>
            <w:vAlign w:val="bottom"/>
          </w:tcPr>
          <w:p>
            <w:pPr>
              <w:spacing w:after="0"/>
              <w:rPr>
                <w:sz w:val="1"/>
                <w:szCs w:val="1"/>
                <w:color w:val="auto"/>
              </w:rPr>
            </w:pPr>
          </w:p>
        </w:tc>
      </w:tr>
      <w:tr>
        <w:trPr>
          <w:trHeight w:val="302"/>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Right-of-Use Assets  . . . . . . . . . . . . . . . . . . . . . . . . . . . . . . . . . . . . . . .</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(1,159,000)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(2,083,000)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(1,463,000)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(2,177,000)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9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xml:space="preserve">Net Deferred Tax Assets/(Liabilities) </w:t>
            </w:r>
            <w:r>
              <w:rPr>
                <w:rFonts w:ascii="Times New Roman" w:cs="Times New Roman" w:eastAsia="Times New Roman" w:hAnsi="Times New Roman"/>
                <w:sz w:val="20"/>
                <w:szCs w:val="20"/>
                <w:color w:val="auto"/>
              </w:rPr>
              <w:t>. . . . . . . . . . . . . . . . . . . . . . . . . . . . . .</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399"/>
        <w:spacing w:after="0" w:line="254" w:lineRule="auto"/>
        <w:rPr>
          <w:sz w:val="20"/>
          <w:szCs w:val="20"/>
          <w:color w:val="auto"/>
        </w:rPr>
      </w:pPr>
      <w:r>
        <w:rPr>
          <w:rFonts w:ascii="Times New Roman" w:cs="Times New Roman" w:eastAsia="Times New Roman" w:hAnsi="Times New Roman"/>
          <w:sz w:val="20"/>
          <w:szCs w:val="20"/>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2022 and 2021. The Company has research and development tax credit carryforwards of $733,000 available to offset future federal income taxes. The research and development tax credit carryforwards begin to expire in 2030.</w:t>
      </w:r>
    </w:p>
    <w:p>
      <w:pPr>
        <w:spacing w:after="0" w:line="124" w:lineRule="exact"/>
        <w:rPr>
          <w:sz w:val="20"/>
          <w:szCs w:val="20"/>
          <w:color w:val="auto"/>
        </w:rPr>
      </w:pPr>
    </w:p>
    <w:p>
      <w:pPr>
        <w:ind w:right="120" w:firstLine="399"/>
        <w:spacing w:after="0" w:line="253" w:lineRule="auto"/>
        <w:rPr>
          <w:sz w:val="20"/>
          <w:szCs w:val="20"/>
          <w:color w:val="auto"/>
        </w:rPr>
      </w:pPr>
      <w:r>
        <w:rPr>
          <w:rFonts w:ascii="Times New Roman" w:cs="Times New Roman" w:eastAsia="Times New Roman" w:hAnsi="Times New Roman"/>
          <w:sz w:val="20"/>
          <w:szCs w:val="20"/>
          <w:color w:val="auto"/>
        </w:rPr>
        <w:t>The Company has approximately $135.2 million of federal and $38.5 million of state Net Operating Losses (“NOL”s) that may be available to offset future taxable income, if any. The federal net operating loss carryforwards of $41.6 million, if not utilized, will expire between 2029 and 2037. The federal net operating loss carryforwards of $93.6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$16.6 million generated in 2018 and thereafter are subject to an 80% limitation on taxable income, do not expire and will carry forward indefinitely.</w:t>
      </w:r>
    </w:p>
    <w:p>
      <w:pPr>
        <w:spacing w:after="0" w:line="128" w:lineRule="exact"/>
        <w:rPr>
          <w:sz w:val="20"/>
          <w:szCs w:val="20"/>
          <w:color w:val="auto"/>
        </w:rPr>
      </w:pPr>
    </w:p>
    <w:p>
      <w:pPr>
        <w:jc w:val="both"/>
        <w:ind w:right="60" w:firstLine="399"/>
        <w:spacing w:after="0" w:line="267" w:lineRule="auto"/>
        <w:rPr>
          <w:sz w:val="20"/>
          <w:szCs w:val="20"/>
          <w:color w:val="auto"/>
        </w:rPr>
      </w:pPr>
      <w:r>
        <w:rPr>
          <w:rFonts w:ascii="Times New Roman" w:cs="Times New Roman" w:eastAsia="Times New Roman" w:hAnsi="Times New Roman"/>
          <w:sz w:val="20"/>
          <w:szCs w:val="20"/>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11" w:lineRule="exact"/>
        <w:rPr>
          <w:sz w:val="20"/>
          <w:szCs w:val="20"/>
          <w:color w:val="auto"/>
        </w:rPr>
      </w:pPr>
    </w:p>
    <w:p>
      <w:pPr>
        <w:ind w:right="200" w:firstLine="399"/>
        <w:spacing w:after="0" w:line="261" w:lineRule="auto"/>
        <w:rPr>
          <w:sz w:val="20"/>
          <w:szCs w:val="20"/>
          <w:color w:val="auto"/>
        </w:rPr>
      </w:pPr>
      <w:r>
        <w:rPr>
          <w:rFonts w:ascii="Times New Roman" w:cs="Times New Roman" w:eastAsia="Times New Roman" w:hAnsi="Times New Roman"/>
          <w:sz w:val="20"/>
          <w:szCs w:val="20"/>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w:t>
      </w:r>
    </w:p>
    <w:p>
      <w:pPr>
        <w:spacing w:after="0" w:line="2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F-24</w:t>
      </w:r>
    </w:p>
    <w:p>
      <w:pPr>
        <w:sectPr>
          <w:pgSz w:w="11880" w:h="15480" w:orient="portrait"/>
          <w:cols w:equalWidth="0" w:num="1">
            <w:col w:w="9160"/>
          </w:cols>
          <w:pgMar w:left="1400" w:top="1023" w:right="1320" w:bottom="70" w:gutter="0" w:footer="0" w:header="0"/>
        </w:sectPr>
      </w:pPr>
    </w:p>
    <w:bookmarkStart w:id="122" w:name="page123"/>
    <w:bookmarkEnd w:id="122"/>
    <w:p>
      <w:pPr>
        <w:ind w:right="40"/>
        <w:spacing w:after="0" w:line="254" w:lineRule="auto"/>
        <w:rPr>
          <w:sz w:val="20"/>
          <w:szCs w:val="20"/>
          <w:color w:val="auto"/>
        </w:rPr>
      </w:pPr>
      <w:r>
        <w:rPr>
          <w:rFonts w:ascii="Times New Roman" w:cs="Times New Roman" w:eastAsia="Times New Roman" w:hAnsi="Times New Roman"/>
          <w:sz w:val="20"/>
          <w:szCs w:val="20"/>
          <w:color w:val="auto"/>
        </w:rPr>
        <w:t>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2022, the Company performed an analysis based on available guidance and determined that it will continue to be in a loss position even after the required capitalization and amortization of its R&amp;E expenses. The Company will continue to monitor this issue for future developments, but it does not expect R&amp;E capitalization and amortization to require it to pay cash taxes now or in the near future.</w:t>
      </w:r>
    </w:p>
    <w:p>
      <w:pPr>
        <w:spacing w:after="0" w:line="128" w:lineRule="exact"/>
        <w:rPr>
          <w:sz w:val="20"/>
          <w:szCs w:val="20"/>
          <w:color w:val="auto"/>
        </w:rPr>
      </w:pPr>
    </w:p>
    <w:p>
      <w:pPr>
        <w:ind w:right="60" w:firstLine="399"/>
        <w:spacing w:after="0" w:line="267" w:lineRule="auto"/>
        <w:rPr>
          <w:sz w:val="20"/>
          <w:szCs w:val="20"/>
          <w:color w:val="auto"/>
        </w:rPr>
      </w:pPr>
      <w:r>
        <w:rPr>
          <w:rFonts w:ascii="Times New Roman" w:cs="Times New Roman" w:eastAsia="Times New Roman" w:hAnsi="Times New Roman"/>
          <w:sz w:val="20"/>
          <w:szCs w:val="20"/>
          <w:color w:val="auto"/>
        </w:rPr>
        <w:t>The Company’s income tax returns for 2018 to 2021 are still open and subject to audit. In addition, net operating losses arising from prior years are also subject to examination at the time they are utilized in future years.</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For the years ended December 31, 2022 and 2021, the expected tax expense (benefit) based on the U.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statutory rate is reconciled with the actual tax provision (benefit)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4"/>
              </w:rPr>
              <w:t>For the Years Ended December 31,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5020" w:type="dxa"/>
            <w:vAlign w:val="bottom"/>
          </w:tcPr>
          <w:p>
            <w:pPr>
              <w:spacing w:after="0"/>
              <w:rPr>
                <w:sz w:val="19"/>
                <w:szCs w:val="19"/>
                <w:color w:val="auto"/>
              </w:rPr>
            </w:pPr>
          </w:p>
        </w:tc>
        <w:tc>
          <w:tcPr>
            <w:tcW w:w="1260" w:type="dxa"/>
            <w:vAlign w:val="bottom"/>
            <w:gridSpan w:val="4"/>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5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Percent of</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03"/>
        </w:trPr>
        <w:tc>
          <w:tcPr>
            <w:tcW w:w="5020" w:type="dxa"/>
            <w:vAlign w:val="bottom"/>
          </w:tcPr>
          <w:p>
            <w:pPr>
              <w:spacing w:after="0"/>
              <w:rPr>
                <w:sz w:val="17"/>
                <w:szCs w:val="17"/>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Pretax Loss</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Pretax Loss</w:t>
            </w:r>
          </w:p>
        </w:tc>
      </w:tr>
      <w:tr>
        <w:trPr>
          <w:trHeight w:val="30"/>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gridSpan w:val="2"/>
          </w:tcPr>
          <w:p>
            <w:pPr>
              <w:spacing w:after="0"/>
              <w:rPr>
                <w:sz w:val="2"/>
                <w:szCs w:val="2"/>
                <w:color w:val="auto"/>
              </w:rPr>
            </w:pPr>
          </w:p>
        </w:tc>
      </w:tr>
      <w:tr>
        <w:trPr>
          <w:trHeight w:val="28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rate  . . . . . . . . . . . . . . . . . . . . .</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8"/>
              </w:rPr>
              <w:t>(6,285,000)</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21.00%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w w:val="98"/>
              </w:rPr>
              <w:t>(8,795,000)</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21.00%</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benefit . . . . . . . . . . . . . . . . .</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(44,000)</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0.15%</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(48,000)</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0.11%</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Tax rate change  . . . . . . . . . . . . . . . . . . . . . . . . . . .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10,000</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-0.03%</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(291,000)</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0.69%</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5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Other permanent differences . . . . . . . . . . . . . . . .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288,000</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-0.96%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262,000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-0.63%</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5,012,000</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-16.75%</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8,769,000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-20.94%</w:t>
            </w:r>
          </w:p>
        </w:tc>
      </w:tr>
      <w:tr>
        <w:trPr>
          <w:trHeight w:val="30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Deferred true-up . . . . . . . . . . . . . . . . . . . . . . . . . . .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1,019,000</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-3.40%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-0.25%</w:t>
            </w:r>
          </w:p>
        </w:tc>
      </w:tr>
      <w:tr>
        <w:trPr>
          <w:trHeight w:val="20"/>
        </w:trPr>
        <w:tc>
          <w:tcPr>
            <w:tcW w:w="5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8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Income tax provision/(benefit) . . . . . . . . . . . . . . . . .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0.00%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0"/>
        </w:trPr>
        <w:tc>
          <w:tcPr>
            <w:tcW w:w="5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firstLine="399"/>
        <w:spacing w:after="0" w:line="255" w:lineRule="auto"/>
        <w:rPr>
          <w:sz w:val="20"/>
          <w:szCs w:val="20"/>
          <w:color w:val="auto"/>
        </w:rPr>
      </w:pPr>
      <w:r>
        <w:rPr>
          <w:rFonts w:ascii="Times New Roman" w:cs="Times New Roman" w:eastAsia="Times New Roman" w:hAnsi="Times New Roman"/>
          <w:sz w:val="20"/>
          <w:szCs w:val="20"/>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2022, and 2021, there were no unrecognized tax benefits. The Company recognizes accrued interest and penalties as income tax expense. No amounts were accrued for the payment of interest and penalties at December 31, 2022 and 2021. The Company is currently not aware of any issues under review that could result in significant payments, accruals or material deviation from its position in the next year.</w:t>
      </w:r>
    </w:p>
    <w:p>
      <w:pPr>
        <w:spacing w:after="0" w:line="200" w:lineRule="exact"/>
        <w:rPr>
          <w:sz w:val="20"/>
          <w:szCs w:val="20"/>
          <w:color w:val="auto"/>
        </w:rPr>
      </w:pP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NOTE 17:</w:t>
        <w:tab/>
        <w:t>SUBSEQUENT EVENTS</w:t>
      </w:r>
    </w:p>
    <w:p>
      <w:pPr>
        <w:spacing w:after="0" w:line="171" w:lineRule="exact"/>
        <w:rPr>
          <w:sz w:val="20"/>
          <w:szCs w:val="20"/>
          <w:color w:val="auto"/>
        </w:rPr>
      </w:pPr>
    </w:p>
    <w:p>
      <w:pPr>
        <w:ind w:right="120" w:firstLine="399"/>
        <w:spacing w:after="0" w:line="284" w:lineRule="auto"/>
        <w:rPr>
          <w:sz w:val="20"/>
          <w:szCs w:val="20"/>
          <w:color w:val="auto"/>
        </w:rPr>
      </w:pPr>
      <w:r>
        <w:rPr>
          <w:rFonts w:ascii="Times New Roman" w:cs="Times New Roman" w:eastAsia="Times New Roman" w:hAnsi="Times New Roman"/>
          <w:sz w:val="20"/>
          <w:szCs w:val="20"/>
          <w:color w:val="auto"/>
        </w:rPr>
        <w:t>On March 13, 2023, Mythili Koneru, Chief Medical Officer of Marker Therapeutics, Inc., notified the Company of her intent to resign as Chief Medical Officer of the Company effective as of April 9, 2023.</w:t>
      </w:r>
    </w:p>
    <w:p>
      <w:pPr>
        <w:spacing w:after="0" w:line="94" w:lineRule="exact"/>
        <w:rPr>
          <w:sz w:val="20"/>
          <w:szCs w:val="20"/>
          <w:color w:val="auto"/>
        </w:rPr>
      </w:pPr>
    </w:p>
    <w:p>
      <w:pPr>
        <w:ind w:right="60" w:firstLine="399"/>
        <w:spacing w:after="0" w:line="258" w:lineRule="auto"/>
        <w:rPr>
          <w:sz w:val="20"/>
          <w:szCs w:val="20"/>
          <w:color w:val="auto"/>
        </w:rPr>
      </w:pPr>
      <w:r>
        <w:rPr>
          <w:rFonts w:ascii="Times New Roman" w:cs="Times New Roman" w:eastAsia="Times New Roman" w:hAnsi="Times New Roman"/>
          <w:sz w:val="20"/>
          <w:szCs w:val="20"/>
          <w:color w:val="auto"/>
        </w:rPr>
        <w:t>On March 14, 2023, the Company signed an agreement with AlloVir, Inc. in which Marker will collaborate with AlloVir to optimize certain aspects of AlloVir’s manufacturing process. Under the terms of this agreement, Marker will conduct a number of process improvement studies and provide AlloVir with the results of its findings. For its work with AlloVir, the Company will receive total compensation in the amount of $400,000, estimated to be fully earned by the end of the third quarter in 2023.</w:t>
      </w:r>
    </w:p>
    <w:p>
      <w:pPr>
        <w:sectPr>
          <w:pgSz w:w="11880" w:h="15480" w:orient="portrait"/>
          <w:cols w:equalWidth="0" w:num="1">
            <w:col w:w="9120"/>
          </w:cols>
          <w:pgMar w:left="1400" w:top="1025" w:right="136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F-25</w:t>
      </w:r>
    </w:p>
    <w:p>
      <w:pPr>
        <w:sectPr>
          <w:pgSz w:w="11880" w:h="15480" w:orient="portrait"/>
          <w:cols w:equalWidth="0" w:num="1">
            <w:col w:w="9120"/>
          </w:cols>
          <w:pgMar w:left="1400" w:top="1025" w:right="1360" w:bottom="7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David Eansor</w:t>
      </w:r>
      <w:r>
        <w:rPr>
          <w:rFonts w:ascii="Times New Roman" w:cs="Times New Roman" w:eastAsia="Times New Roman" w:hAnsi="Times New Roman"/>
          <w:sz w:val="20"/>
          <w:szCs w:val="20"/>
          <w:color w:val="auto"/>
        </w:rPr>
        <w:t>, Chairman of the Board of Directors</w:t>
      </w:r>
    </w:p>
    <w:p>
      <w:pPr>
        <w:spacing w:after="0" w:line="1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20"/>
          <w:szCs w:val="20"/>
          <w:color w:val="auto"/>
        </w:rPr>
        <w:t>Former President of Protein Sciences Segment, Bio-Techne Corporation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Elms</w:t>
      </w:r>
      <w:r>
        <w:rPr>
          <w:rFonts w:ascii="Times New Roman" w:cs="Times New Roman" w:eastAsia="Times New Roman" w:hAnsi="Times New Roman"/>
          <w:sz w:val="20"/>
          <w:szCs w:val="20"/>
          <w:color w:val="auto"/>
        </w:rPr>
        <w:t>, Director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Partner, Aisling Capital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Katharine Knobil</w:t>
      </w:r>
      <w:r>
        <w:rPr>
          <w:rFonts w:ascii="Times New Roman" w:cs="Times New Roman" w:eastAsia="Times New Roman" w:hAnsi="Times New Roman"/>
          <w:sz w:val="20"/>
          <w:szCs w:val="20"/>
          <w:color w:val="auto"/>
        </w:rPr>
        <w:t>, Director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Medical Officer, Agilent Technologies Inc.</w:t>
      </w:r>
    </w:p>
    <w:p>
      <w:pPr>
        <w:spacing w:after="0" w:line="207" w:lineRule="exact"/>
        <w:rPr>
          <w:sz w:val="20"/>
          <w:szCs w:val="20"/>
          <w:color w:val="auto"/>
        </w:rPr>
      </w:pPr>
    </w:p>
    <w:p>
      <w:pPr>
        <w:ind w:right="1700"/>
        <w:spacing w:after="0" w:line="314" w:lineRule="auto"/>
        <w:rPr>
          <w:sz w:val="20"/>
          <w:szCs w:val="20"/>
          <w:color w:val="auto"/>
        </w:rPr>
      </w:pPr>
      <w:r>
        <w:rPr>
          <w:rFonts w:ascii="Times New Roman" w:cs="Times New Roman" w:eastAsia="Times New Roman" w:hAnsi="Times New Roman"/>
          <w:sz w:val="19"/>
          <w:szCs w:val="19"/>
          <w:b w:val="1"/>
          <w:bCs w:val="1"/>
          <w:color w:val="auto"/>
        </w:rPr>
        <w:t>David Laskow-Pooley</w:t>
      </w:r>
      <w:r>
        <w:rPr>
          <w:rFonts w:ascii="Times New Roman" w:cs="Times New Roman" w:eastAsia="Times New Roman" w:hAnsi="Times New Roman"/>
          <w:sz w:val="19"/>
          <w:szCs w:val="19"/>
          <w:color w:val="auto"/>
        </w:rPr>
        <w:t>, Director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Founder, Pharmafor Ltd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Juan Vera</w:t>
      </w:r>
      <w:r>
        <w:rPr>
          <w:rFonts w:ascii="Times New Roman" w:cs="Times New Roman" w:eastAsia="Times New Roman" w:hAnsi="Times New Roman"/>
          <w:sz w:val="20"/>
          <w:szCs w:val="20"/>
          <w:color w:val="auto"/>
        </w:rPr>
        <w:t>, Director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 Marker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John Wilson</w:t>
      </w:r>
      <w:r>
        <w:rPr>
          <w:rFonts w:ascii="Times New Roman" w:cs="Times New Roman" w:eastAsia="Times New Roman" w:hAnsi="Times New Roman"/>
          <w:sz w:val="20"/>
          <w:szCs w:val="20"/>
          <w:color w:val="auto"/>
        </w:rPr>
        <w:t>, Director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 Wilson Wolf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Manufacturing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Juan Vera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Nadia Agopyan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Regulatory Affairs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Tsvetelina Hoang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Research and Development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Michael Loiacono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Anna Szymanska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CORPORATE HEADQUARTERS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Marker Therapeutics, Inc.</w:t>
      </w:r>
    </w:p>
    <w:p>
      <w:pPr>
        <w:spacing w:after="0" w:line="9" w:lineRule="exact"/>
        <w:rPr>
          <w:sz w:val="20"/>
          <w:szCs w:val="20"/>
          <w:color w:val="auto"/>
        </w:rPr>
      </w:pPr>
    </w:p>
    <w:p>
      <w:pPr>
        <w:ind w:right="1380"/>
        <w:spacing w:after="0" w:line="284" w:lineRule="auto"/>
        <w:rPr>
          <w:sz w:val="20"/>
          <w:szCs w:val="20"/>
          <w:color w:val="auto"/>
        </w:rPr>
      </w:pPr>
      <w:r>
        <w:rPr>
          <w:rFonts w:ascii="Times New Roman" w:cs="Times New Roman" w:eastAsia="Times New Roman" w:hAnsi="Times New Roman"/>
          <w:sz w:val="20"/>
          <w:szCs w:val="20"/>
          <w:color w:val="auto"/>
        </w:rPr>
        <w:t>3200 Southwest Freeway, Suite 2500 Houston, Texas 77027</w:t>
      </w:r>
    </w:p>
    <w:p>
      <w:pPr>
        <w:spacing w:after="0" w:line="134" w:lineRule="exact"/>
        <w:rPr>
          <w:sz w:val="20"/>
          <w:szCs w:val="20"/>
          <w:color w:val="auto"/>
        </w:rPr>
      </w:pPr>
    </w:p>
    <w:p>
      <w:pPr>
        <w:ind w:right="2000"/>
        <w:spacing w:after="0" w:line="282" w:lineRule="auto"/>
        <w:tabs>
          <w:tab w:leader="none" w:pos="22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(713) 400-6400 </w:t>
      </w:r>
      <w:r>
        <w:rPr>
          <w:rFonts w:ascii="Times New Roman" w:cs="Times New Roman" w:eastAsia="Times New Roman" w:hAnsi="Times New Roman"/>
          <w:sz w:val="20"/>
          <w:szCs w:val="20"/>
          <w:i w:val="1"/>
          <w:iCs w:val="1"/>
          <w:color w:val="auto"/>
        </w:rPr>
        <w:t>www.markertherapeutics.com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LISTING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Nasdaq Capital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Ticker Symbol: MRKR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 OF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Tuesday, June 6, 2023, at 8:00 a.m. Central Time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http://viewproxy.com/markertherapeutics/2023/htype.asp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REGISTRAR AND TRANSFER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American Stock Transfer &amp; Trust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6201 15th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Brooklyn, New York 11219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 (800) 937-5449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COUNSEL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Cooley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Washington, DC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INDEPENDENT AUDITORS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3200 Southwest Freeway, Suite 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77027</w:t>
      </w:r>
    </w:p>
    <w:p>
      <w:pPr>
        <w:spacing w:after="0" w:line="9" w:lineRule="exact"/>
        <w:rPr>
          <w:sz w:val="20"/>
          <w:szCs w:val="20"/>
          <w:color w:val="auto"/>
        </w:rPr>
      </w:pPr>
    </w:p>
    <w:p>
      <w:pPr>
        <w:ind w:left="240" w:hanging="240"/>
        <w:spacing w:after="0"/>
        <w:tabs>
          <w:tab w:leader="none" w:pos="2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investor.relations@markertherapeutics.com</w:t>
      </w:r>
    </w:p>
    <w:p>
      <w:pPr>
        <w:spacing w:after="0" w:line="9" w:lineRule="exact"/>
        <w:rPr>
          <w:rFonts w:ascii="Times New Roman" w:cs="Times New Roman" w:eastAsia="Times New Roman" w:hAnsi="Times New Roman"/>
          <w:sz w:val="20"/>
          <w:szCs w:val="20"/>
          <w:color w:val="auto"/>
        </w:rPr>
      </w:pPr>
    </w:p>
    <w:p>
      <w:pPr>
        <w:ind w:left="220" w:hanging="220"/>
        <w:spacing w:after="0"/>
        <w:tabs>
          <w:tab w:leader="none" w:pos="2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(713) 400-6400</w:t>
      </w:r>
    </w:p>
    <w:p>
      <w:pPr>
        <w:sectPr>
          <w:pgSz w:w="11880" w:h="15480" w:orient="portrait"/>
          <w:cols w:equalWidth="0" w:num="2">
            <w:col w:w="4320" w:space="340"/>
            <w:col w:w="4420"/>
          </w:cols>
          <w:pgMar w:left="1400" w:top="1023" w:right="1400" w:bottom="1440" w:gutter="0" w:footer="0" w:header="0"/>
        </w:sectPr>
      </w:pPr>
    </w:p>
    <w:bookmarkStart w:id="124" w:name="page125"/>
    <w:bookmarkEnd w:id="124"/>
    <w:p>
      <w:pPr>
        <w:spacing w:after="0"/>
        <w:tabs>
          <w:tab w:leader="none" w:pos="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1856105</wp:posOffset>
            </wp:positionH>
            <wp:positionV relativeFrom="page">
              <wp:posOffset>4333240</wp:posOffset>
            </wp:positionV>
            <wp:extent cx="3836035" cy="1012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836035" cy="101219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
      <w:numFmt w:val="bullet"/>
      <w:start w:val="1"/>
    </w:lvl>
  </w:abstractNum>
  <w:abstractNum w:abstractNumId="1">
    <w:nsid w:val="4516DDE9"/>
    <w:multiLevelType w:val="hybridMultilevel"/>
    <w:lvl w:ilvl="0">
      <w:lvlJc w:val="left"/>
      <w:lvlText w:val=" "/>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lvl w:ilvl="1">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
      <w:numFmt w:val="bullet"/>
      <w:start w:val="1"/>
    </w:lvl>
    <w:lvl w:ilvl="1">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upperLetter"/>
      <w:start w:val="39"/>
    </w:lvl>
    <w:lvl w:ilvl="1">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3"/>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3"/>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lowerLetter"/>
      <w:start w:val="2"/>
    </w:lvl>
  </w:abstractNum>
  <w:abstractNum w:abstractNumId="53">
    <w:nsid w:val="354FE9F9"/>
    <w:multiLevelType w:val="hybridMultilevel"/>
    <w:lvl w:ilvl="0">
      <w:lvlJc w:val="left"/>
      <w:lvlText w:val="(%1)"/>
      <w:numFmt w:val="lowerLetter"/>
      <w:start w:val="1"/>
    </w:lvl>
    <w:lvl w:ilvl="1">
      <w:lvlJc w:val="left"/>
      <w:lvlText w:val="%2."/>
      <w:numFmt w:val="decimal"/>
      <w:start w:val="1"/>
    </w:lvl>
  </w:abstractNum>
  <w:abstractNum w:abstractNumId="54">
    <w:nsid w:val="15B5AF5C"/>
    <w:multiLevelType w:val="hybridMultilevel"/>
    <w:lvl w:ilvl="0">
      <w:lvlJc w:val="left"/>
      <w:lvlText w:val="*"/>
      <w:numFmt w:val="bullet"/>
      <w:start w:val="1"/>
    </w:lvl>
    <w:lvl w:ilvl="1">
      <w:lvlJc w:val="left"/>
      <w:lvlText w:val="%2"/>
      <w:numFmt w:val="decimal"/>
      <w:start w:val="104"/>
    </w:lvl>
  </w:abstractNum>
  <w:abstractNum w:abstractNumId="55">
    <w:nsid w:val="741226BB"/>
    <w:multiLevelType w:val="hybridMultilevel"/>
    <w:lvl w:ilvl="0">
      <w:lvlJc w:val="left"/>
      <w:lvlText w:val="**"/>
      <w:numFmt w:val="bullet"/>
      <w:start w:val="1"/>
    </w:lvl>
    <w:lvl w:ilvl="1">
      <w:lvlJc w:val="left"/>
      <w:lvlText w:val="%2"/>
      <w:numFmt w:val="decimal"/>
      <w:start w:val="1"/>
    </w:lvl>
  </w:abstractNum>
  <w:abstractNum w:abstractNumId="56">
    <w:nsid w:val="D34B6A8"/>
    <w:multiLevelType w:val="hybridMultilevel"/>
    <w:lvl w:ilvl="0">
      <w:lvlJc w:val="left"/>
      <w:lvlText w:val="***"/>
      <w:numFmt w:val="bullet"/>
      <w:start w:val="1"/>
    </w:lvl>
    <w:lvl w:ilvl="1">
      <w:lvlJc w:val="left"/>
      <w:lvlText w:val="%2"/>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lvl w:ilvl="1">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upperLetter"/>
      <w:start w:val="20"/>
    </w:lvl>
  </w:abstractNum>
  <w:abstractNum w:abstractNumId="62">
    <w:nsid w:val="579BE4F1"/>
    <w:multiLevelType w:val="hybridMultilevel"/>
    <w:lvl w:ilvl="0">
      <w:lvlJc w:val="left"/>
      <w:lvlText w:val="%1:"/>
      <w:numFmt w:val="upperLetter"/>
      <w:start w:val="5"/>
    </w:lvl>
  </w:abstractNum>
  <w:abstractNum w:abstractNumId="63">
    <w:nsid w:val="310C50B3"/>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2023-04-28T15:53:33Z</dcterms:created>
  <dcterms:modified xsi:type="dcterms:W3CDTF">2023-04-28T15:53:33Z</dcterms:modified>
</cp:coreProperties>
</file>