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437515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10-Q</w:t>
      </w:r>
    </w:p>
    <w:p>
      <w:pPr>
        <w:spacing w:after="0" w:line="153"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Quarterly Report Under Section 13 or 15(d) of the Securities Exchange Act of 1934 for the quarterly period ended March 31, 2026</w:t>
      </w:r>
    </w:p>
    <w:p>
      <w:pPr>
        <w:spacing w:after="0" w:line="154" w:lineRule="exact"/>
        <w:rPr>
          <w:sz w:val="24"/>
          <w:szCs w:val="24"/>
          <w:color w:val="auto"/>
        </w:rPr>
      </w:pPr>
    </w:p>
    <w:p>
      <w:pPr>
        <w:ind w:left="3720" w:right="1140" w:hanging="3712"/>
        <w:spacing w:after="0" w:line="474" w:lineRule="auto"/>
        <w:tabs>
          <w:tab w:leader="none" w:pos="267"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Transition Report Under Section 13 or 15(d) of the Securities Exchange Act of 1934 for the transition period from _____ to _____. Commission File Number: </w:t>
      </w:r>
      <w:r>
        <w:rPr>
          <w:rFonts w:ascii="Times New Roman" w:cs="Times New Roman" w:eastAsia="Times New Roman" w:hAnsi="Times New Roman"/>
          <w:sz w:val="16"/>
          <w:szCs w:val="16"/>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1951990</wp:posOffset>
            </wp:positionH>
            <wp:positionV relativeFrom="paragraph">
              <wp:posOffset>-23495</wp:posOffset>
            </wp:positionV>
            <wp:extent cx="240030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30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MARKER THERAPEUTICS,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of registrant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DELAWARE</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Pr>
          <w:p>
            <w:pPr>
              <w:jc w:val="right"/>
              <w:ind w:right="1959"/>
              <w:spacing w:after="0"/>
              <w:rPr>
                <w:sz w:val="20"/>
                <w:szCs w:val="20"/>
                <w:color w:val="auto"/>
              </w:rPr>
            </w:pPr>
            <w:r>
              <w:rPr>
                <w:rFonts w:ascii="Times New Roman" w:cs="Times New Roman" w:eastAsia="Times New Roman" w:hAnsi="Times New Roman"/>
                <w:sz w:val="16"/>
                <w:szCs w:val="16"/>
                <w:b w:val="1"/>
                <w:bCs w:val="1"/>
                <w:color w:val="auto"/>
              </w:rPr>
              <w:t>45-4497941</w:t>
            </w:r>
          </w:p>
        </w:tc>
      </w:tr>
      <w:tr>
        <w:trPr>
          <w:trHeight w:val="210"/>
        </w:trPr>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220" w:type="dxa"/>
            <w:vAlign w:val="bottom"/>
            <w:tcBorders>
              <w:top w:val="single" w:sz="8" w:color="auto"/>
            </w:tcBorders>
          </w:tcPr>
          <w:p>
            <w:pPr>
              <w:jc w:val="center"/>
              <w:ind w:right="53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41"/>
        </w:trPr>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2450 Holcombe Blvd, TMC Partners Office 1.311</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Pr>
          <w:p>
            <w:pPr>
              <w:spacing w:after="0"/>
              <w:rPr>
                <w:sz w:val="24"/>
                <w:szCs w:val="24"/>
                <w:color w:val="auto"/>
              </w:rPr>
            </w:pPr>
          </w:p>
        </w:tc>
      </w:tr>
      <w:tr>
        <w:trPr>
          <w:trHeight w:val="225"/>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Houston, Texas</w:t>
            </w:r>
          </w:p>
        </w:tc>
        <w:tc>
          <w:tcPr>
            <w:tcW w:w="2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jc w:val="right"/>
              <w:ind w:right="2139"/>
              <w:spacing w:after="0"/>
              <w:rPr>
                <w:sz w:val="20"/>
                <w:szCs w:val="20"/>
                <w:color w:val="auto"/>
              </w:rPr>
            </w:pPr>
            <w:r>
              <w:rPr>
                <w:rFonts w:ascii="Times New Roman" w:cs="Times New Roman" w:eastAsia="Times New Roman" w:hAnsi="Times New Roman"/>
                <w:sz w:val="16"/>
                <w:szCs w:val="16"/>
                <w:b w:val="1"/>
                <w:bCs w:val="1"/>
                <w:color w:val="auto"/>
              </w:rPr>
              <w:t>77021</w:t>
            </w:r>
          </w:p>
        </w:tc>
      </w:tr>
      <w:tr>
        <w:trPr>
          <w:trHeight w:val="210"/>
        </w:trPr>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2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rPr>
              <w:t>(Zip Code)</w:t>
            </w:r>
          </w:p>
        </w:tc>
      </w:tr>
      <w:tr>
        <w:trPr>
          <w:trHeight w:val="337"/>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(713) 400-6400</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Pr>
          <w:p>
            <w:pPr>
              <w:spacing w:after="0"/>
              <w:rPr>
                <w:sz w:val="24"/>
                <w:szCs w:val="24"/>
                <w:color w:val="auto"/>
              </w:rPr>
            </w:pPr>
          </w:p>
        </w:tc>
      </w:tr>
      <w:tr>
        <w:trPr>
          <w:trHeight w:val="210"/>
        </w:trPr>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(Issuer’s telephone number)</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20" w:type="dxa"/>
            <w:vAlign w:val="bottom"/>
          </w:tcPr>
          <w:p>
            <w:pPr>
              <w:spacing w:after="0"/>
              <w:rPr>
                <w:sz w:val="18"/>
                <w:szCs w:val="18"/>
                <w:color w:val="auto"/>
              </w:rPr>
            </w:pPr>
          </w:p>
        </w:tc>
      </w:tr>
    </w:tbl>
    <w:p>
      <w:pPr>
        <w:spacing w:after="0" w:line="127"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354"/>
        </w:trPr>
        <w:tc>
          <w:tcPr>
            <w:tcW w:w="382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Name of each exchange on which registered</w:t>
            </w:r>
          </w:p>
        </w:tc>
      </w:tr>
      <w:tr>
        <w:trPr>
          <w:trHeight w:val="231"/>
        </w:trPr>
        <w:tc>
          <w:tcPr>
            <w:tcW w:w="38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7"/>
              </w:rPr>
              <w:t>MRKR</w:t>
            </w:r>
          </w:p>
        </w:tc>
        <w:tc>
          <w:tcPr>
            <w:tcW w:w="160" w:type="dxa"/>
            <w:vAlign w:val="bottom"/>
          </w:tcPr>
          <w:p>
            <w:pPr>
              <w:spacing w:after="0"/>
              <w:rPr>
                <w:sz w:val="20"/>
                <w:szCs w:val="20"/>
                <w:color w:val="auto"/>
              </w:rPr>
            </w:pPr>
          </w:p>
        </w:tc>
        <w:tc>
          <w:tcPr>
            <w:tcW w:w="34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62"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0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0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8"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6" w:lineRule="exact"/>
        <w:rPr>
          <w:sz w:val="24"/>
          <w:szCs w:val="24"/>
          <w:color w:val="auto"/>
        </w:rPr>
      </w:pPr>
    </w:p>
    <w:p>
      <w:pPr>
        <w:ind w:right="1620"/>
        <w:spacing w:after="0" w:line="29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registrant had 16,673,127 shares of common stock outstanding as of May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784860</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90170</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133350</wp:posOffset>
            </wp:positionV>
            <wp:extent cx="629221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2026 and December 31, 2025</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2026 and 2025</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months ended March 31, 2026 and</w:t>
            </w:r>
          </w:p>
        </w:tc>
        <w:tc>
          <w:tcPr>
            <w:tcW w:w="940" w:type="dxa"/>
            <w:vAlign w:val="bottom"/>
            <w:shd w:val="clear" w:color="auto" w:fill="CCEEFF"/>
          </w:tcPr>
          <w:p>
            <w:pPr>
              <w:spacing w:after="0"/>
              <w:rPr>
                <w:sz w:val="15"/>
                <w:szCs w:val="15"/>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4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156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188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102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6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 2025</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425"/>
        </w:trPr>
        <w:tc>
          <w:tcPr>
            <w:tcW w:w="2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4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20" w:type="dxa"/>
            <w:vAlign w:val="bottom"/>
          </w:tcPr>
          <w:p>
            <w:pPr>
              <w:jc w:val="center"/>
              <w:ind w:left="1853"/>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20" w:type="dxa"/>
            <w:vAlign w:val="bottom"/>
          </w:tcPr>
          <w:p>
            <w:pPr>
              <w:jc w:val="center"/>
              <w:ind w:left="1853"/>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20" w:type="dxa"/>
            <w:vAlign w:val="bottom"/>
          </w:tcPr>
          <w:p>
            <w:pPr>
              <w:jc w:val="center"/>
              <w:ind w:left="1853"/>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20" w:type="dxa"/>
            <w:vAlign w:val="bottom"/>
          </w:tcPr>
          <w:p>
            <w:pPr>
              <w:ind w:left="62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4"/>
                <w:szCs w:val="24"/>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64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14,915,519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1,377,300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17,434,008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19,070,997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17,434,008</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19,070,997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1,913,685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Related party payable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Deferred grant income</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723,136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974,799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3,638,050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3,638,050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 million shares authorized, 0 shares issued and outstanding</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 March 31, 2026 and December 31, 2025, respectively</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$0.001 par value, 30 million shares authorized, 16.7 million shares issued and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outstanding as of March 31, 2026 and December 31, 2025 (see Note 8)</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476,139,362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475,960,940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(462,360,076)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(459,180,798)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13,795,958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16,796,814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17,434,008</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19,070,997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260"/>
        <w:spacing w:after="0" w:line="268" w:lineRule="auto"/>
        <w:rPr>
          <w:sz w:val="20"/>
          <w:szCs w:val="20"/>
          <w:color w:val="auto"/>
        </w:rPr>
      </w:pPr>
      <w:r>
        <w:rPr>
          <w:rFonts w:ascii="Times New Roman" w:cs="Times New Roman" w:eastAsia="Times New Roman" w:hAnsi="Times New Roman"/>
          <w:sz w:val="18"/>
          <w:szCs w:val="18"/>
          <w:b w:val="1"/>
          <w:bCs w:val="1"/>
          <w:color w:val="auto"/>
        </w:rPr>
        <w:t>MARKER THERAPEUTICS, INC. CONDENSED CONSOLIDATED STATEMENTS OF OPERATIONS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20" w:type="dxa"/>
            <w:vAlign w:val="bottom"/>
          </w:tcPr>
          <w:p>
            <w:pPr>
              <w:ind w:left="7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2360" w:type="dxa"/>
            <w:vAlign w:val="bottom"/>
            <w:gridSpan w:val="5"/>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20" w:type="dxa"/>
            <w:vAlign w:val="bottom"/>
            <w:vMerge w:val="restart"/>
          </w:tcPr>
          <w:p>
            <w:pPr>
              <w:ind w:left="7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440" w:type="dxa"/>
            <w:vAlign w:val="bottom"/>
            <w:gridSpan w:val="2"/>
          </w:tcPr>
          <w:p>
            <w:pPr>
              <w:jc w:val="center"/>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2,842,728</w:t>
            </w:r>
          </w:p>
        </w:tc>
        <w:tc>
          <w:tcPr>
            <w:tcW w:w="40" w:type="dxa"/>
            <w:vAlign w:val="bottom"/>
          </w:tcPr>
          <w:p>
            <w:pPr>
              <w:spacing w:after="0"/>
              <w:rPr>
                <w:sz w:val="18"/>
                <w:szCs w:val="18"/>
                <w:color w:val="auto"/>
              </w:rPr>
            </w:pP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1,229,807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early termination of vendor agreement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4,072,535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4,957,777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(4,072,535)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 income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751,691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132,889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(3,179,278)</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(4,446,184)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(0.16)</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19,314,742</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11,106,027</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19,314,742</w:t>
            </w:r>
          </w:p>
        </w:tc>
        <w:tc>
          <w:tcPr>
            <w:tcW w:w="22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11,106,027</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year presentation.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2200" w:type="dxa"/>
            <w:vAlign w:val="bottom"/>
            <w:gridSpan w:val="4"/>
            <w:vMerge w:val="restart"/>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0"/>
                <w:szCs w:val="1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63"/>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220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00" w:type="dxa"/>
            <w:vAlign w:val="bottom"/>
          </w:tcPr>
          <w:p>
            <w:pPr>
              <w:ind w:left="34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380" w:type="dxa"/>
            <w:vAlign w:val="bottom"/>
            <w:gridSpan w:val="2"/>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gridSpan w:val="2"/>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16,673,127</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16,672</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475,960,940</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(459,180,798)</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16,796,814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(3,179,278)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(3,179,278)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16,673,127</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16,672</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476,139,362</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(462,360,076)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13,795,958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2200" w:type="dxa"/>
            <w:vAlign w:val="bottom"/>
            <w:gridSpan w:val="4"/>
            <w:vMerge w:val="restart"/>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0"/>
                <w:szCs w:val="1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63"/>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220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00" w:type="dxa"/>
            <w:vAlign w:val="bottom"/>
          </w:tcPr>
          <w:p>
            <w:pPr>
              <w:ind w:left="34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380" w:type="dxa"/>
            <w:vAlign w:val="bottom"/>
            <w:gridSpan w:val="2"/>
          </w:tcPr>
          <w:p>
            <w:pPr>
              <w:jc w:val="right"/>
              <w:ind w:right="12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gridSpan w:val="2"/>
          </w:tcPr>
          <w:p>
            <w:pPr>
              <w:jc w:val="right"/>
              <w:ind w:right="7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10,709,005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10,708</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465,564,876</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(447,017,178)</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18,558,406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from  exercise  of</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prefunded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505,830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379,144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(4,446,184)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(4,446,184)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11,214,835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11,213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465,944,020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(451,463,362)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14,491,871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MARKER THERAPEUTICS, INC. CONDENSED CONSOLIDATED STATEMENTS OF CASH FLOWS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gridSpan w:val="5"/>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7340" w:type="dxa"/>
            <w:vAlign w:val="bottom"/>
            <w:vMerge w:val="restart"/>
          </w:tcPr>
          <w:p>
            <w:pPr>
              <w:ind w:left="72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440" w:type="dxa"/>
            <w:vAlign w:val="bottom"/>
            <w:gridSpan w:val="2"/>
          </w:tcPr>
          <w:p>
            <w:pPr>
              <w:jc w:val="center"/>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(3,179,278)</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(4,446,184)</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 of net loss to net cash used in operating activities: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178,422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379,144</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240,697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(357,576)</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(112,062)</w:t>
            </w:r>
          </w:p>
        </w:tc>
        <w:tc>
          <w:tcPr>
            <w:tcW w:w="0" w:type="dxa"/>
            <w:vAlign w:val="bottom"/>
          </w:tcPr>
          <w:p>
            <w:pPr>
              <w:spacing w:after="0"/>
              <w:rPr>
                <w:sz w:val="1"/>
                <w:szCs w:val="1"/>
                <w:color w:val="auto"/>
              </w:rPr>
            </w:pPr>
          </w:p>
        </w:tc>
      </w:tr>
      <w:tr>
        <w:trPr>
          <w:trHeight w:val="216"/>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Related party payable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1,001,229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(1,299,173)</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614,301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336,114</w:t>
            </w:r>
          </w:p>
        </w:tc>
        <w:tc>
          <w:tcPr>
            <w:tcW w:w="0" w:type="dxa"/>
            <w:vAlign w:val="bottom"/>
          </w:tcPr>
          <w:p>
            <w:pPr>
              <w:spacing w:after="0"/>
              <w:rPr>
                <w:sz w:val="1"/>
                <w:szCs w:val="1"/>
                <w:color w:val="auto"/>
              </w:rPr>
            </w:pPr>
          </w:p>
        </w:tc>
      </w:tr>
      <w:tr>
        <w:trPr>
          <w:trHeight w:val="216"/>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grant income</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(251,663)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3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(1,404,192)</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(5,499,737)</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exercise of warrants and stock options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09"/>
        </w:trPr>
        <w:tc>
          <w:tcPr>
            <w:tcW w:w="7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(1,404,192)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(5,499,232)</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17,042,847</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19,192,440</w:t>
            </w:r>
          </w:p>
        </w:tc>
        <w:tc>
          <w:tcPr>
            <w:tcW w:w="0" w:type="dxa"/>
            <w:vAlign w:val="bottom"/>
          </w:tcPr>
          <w:p>
            <w:pPr>
              <w:spacing w:after="0"/>
              <w:rPr>
                <w:sz w:val="1"/>
                <w:szCs w:val="1"/>
                <w:color w:val="auto"/>
              </w:rPr>
            </w:pPr>
          </w:p>
        </w:tc>
      </w:tr>
      <w:tr>
        <w:trPr>
          <w:trHeight w:val="209"/>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15,638,655</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13,693,208</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Marker Therapeutics, Inc., a Delaware corporation (the “Company” or “we”), is a clinical-stage immuno-oncology company specializing in the development and commercialization of novel T cell-based immunotherapies for the treatment of hematological malignancies and solid tumor indications. The Company’s multi antigen recognizing (“MAR”)-T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The Company was incorporated in Nevada in 1992 and reincorporated in Delaware in October 2018.</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Currently, the Baylor College of Medicine (“BCM”) supplies the Company with its Multi-Antigen Recognizing (MAR)-T cell products, including MT-601, the Company’s lead MAR-T cell product.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16, 2025, the Company entered into a Statement of Work (the “SOW”) with Cellipont Bioservices (“Cellipont”), a leading cell therapy Contract Development and Manufacturing Organization (“CDMO”), for the manufacturing of MT-601. Pursuant to the SOW, Cellipont will provide technology transfer and cGMP manufacturing services to support the scale-up and production of MT-601 for the Company’s APOLLO study.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results for the unaudited condensed consolidated statement of operations are not necessarily indicative of results to be expected for the year ending December 31, 2026, or for any future interim period. The condensed consolidated balance sheet at December 31, 2025 has been derived from 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2025 and notes thereto included in the Company’s annual report on Form 10-K filed on March 18, 2026.</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year revenue amounts have been reclassified as other income to conform to the current year presentation. See Note 4 for further information on the Company’s adoption of ASU 2025-10 and the related reclassification.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LIQUIDITY AND FINANCIAL CONDITION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2026, the Company had cash, cash equivalents, and restricted cash of approximately $15.6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 and grants.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Company entered into an At The Market Offering Agreement, or the Sales Agreement, with H.C. Wainwright &amp; Co. LLC, relating to the sale of shares of its common stock having an agreement offering price of up to $11,431,713 from time to time through H.C. Wainwright &amp; Co. LLC. Any shares of common stock sold will be issued pursuant to the Company’s shelf registration statement on Form S-3 (File No. 333-283512), which the SEC declared effective on December 6, 2024. However, the Company’s use of the shelf registration statement on Form S-3 will be limited for so long as it is subject to General Instruction I.B.6 of Form S-3, which limits the amounts that the Company may sell under the registration statement and in accordance with the ATM agreement. H.C. Wainwright &amp; Co. LLC will be entitled to compensation under the Sales Agreement at a commission rate equal to 3.0% of the gross sales price per share sold under the ATM Agreement, and the Company has provided H.C. Wainwright &amp; Co. LLC with indemnification and contribution rights. The was no activity under the ATM Agreement during either period presented.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the Cancer Prevention &amp; Research Institute of Texas (“CPRIT”) to support the Company’s clinical investigation of MT-401 (the “CPRIT AML Grant”). Through the date of this filing, the Company has received $11.8 million in funds from the CPRIT AML Grant.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2022, the Company received notice from the FDA that it had awarded the Company a $2.0 million grant from the FDA’s Orphan Products Grant program to support the clinical investigation of MT-401 for the treatment of post-transplant AML (the “FDA Grant”). Through the date of this filing, the Company has received $1.2 million in funds from the FDA Grant.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2023, the Company announced that it had received a $2.0 million grant from the National Institutes of Health (“NIH”) Small Business Innovation Research (“SBIR”) program to support the development and investigation of MT-401 for the treatment of AML patients following standard-of-care therapy with hypomethylating agents (the “SBIR AML Grant”). Through the date of this filing, the Company has received $1.8 million in funds from the SBIR AML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funding agencies have agreed to continue their financial support and to shift funds to the MT-401-OTS program.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received notice of a $2.0 million grant over a 2-year period from the National Institutes of Health SBIR program to support control over tumor immune escape in pancreatic cancer using a dual T cell product strategy (the “Decoy Grant”). Through the date of this filing, the Company has received approximately $0.6 million in funds from the Decoy Grant.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the Company received notice of a $2.0 million grant from the NIH SBIR program to support the clinical investigation of MT-601 in patients with non-Hodgkin’s lymphoma (“NHL”) who have relapsed following anti-CD19 chimeric antigen receptor (CAR) T cell therapy (the “SBIR NHL Grant”). Through the date of this filing, the Company has received $1.3 million in funds from the SBIR NHL Grant.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Company received another $2.0 million grant from the NIH SBIR program to support the advancement of MT-601 in patients with pancreatic cancer (the “PANACEA Grant”). Through the date of this filing, the Company has received approximately $0.5 million in funds from the PANACEA Grant.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2024, the Company received notice of an additional $9.5 million grant from CPRIT to support the clinical investigation of MT-601 in patients with metastatic pancreatic cancer (the “CPRIT Pancreatic Grant”). Through the date of this filing, the Company has received $1.5 million in funds from this grant.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6 and Note 10 for grant income receivable and grant income recorded for each grant, respectively, for the periods presented.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The transaction closed on December 23, 2024, with net proceeds from the sale of securities in the Private Placement of approximately $14.9 million, which does not include any proceeds that may be received upon exercise of any warrants issued in the Private Placement. Both the Pre-Funded Warrants and the Private Placement Warrants were not exercisable until the Company obtained shareholder approval, which was received on March 21, 2025.</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continue to incur substantial losses over the next several years during its development phase.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Company’s lack of recurring revenues, anticipated uses of cash and historical recurring cash losses from operating activities, and cash, cash equivalents, and restricted cash as of March 31, 2026, the Company anticipates that it will be able to fund its operating expenses and capital expenditure requirements into the first quarter of 2027 assuming no additional grant funds are received, either from new grants or from existing awarded grants. These factors raise substantial doubt regarding the Company’s ability to continue as a going concern.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considering raising additional capital through the issuance of securities and intends to apply for additional grant funds, which could enable the Company to fund its operating expenses and capital expenditure requirements beyond the first quarter of 2027, although no assurance can be given that such capital or existing awarded grants will be earned or future grants will be awarded. The Company’s future cash requirements are based on the Company’s clinical and research and development plans, timing expectations related to the progress of its programs, and is subject to the Company’s ability to effectively manage its costs, raise additional capital, and receive additional grant funds, of which there can be no assurances.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assumptions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89"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Initiates, continues, or accelerates clinical trials of its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the research and development of its product candidates and seeks to discover additional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maintains and enforces intellectual property rights;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contract manufacturing arrangements with contract manufacturing organizations for clinical manufacturing supply;</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sales, marketing and distribution infrastructure and scale-up manufacturing capabilities to commercialize any product candidates that may receive regulatory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strategic transactions the Company may undertake;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on a going concern basis, which implies that the Company will continue to realize its assets and discharge its liabilities in the normal course of business. The Company’s financial statements do not include any adjustments to the recoverability and classification of recorded asset amounts and classification of liabilities that might be necessary should the Company be unable to continue as a going concern.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foregoing, high inflation and concerns about an economic recession in the United States or other major markets have resulted in, among other things, volatility in the capital markets that may have the effect of reducing the Company’s ability to access capital, which could in the future negatively affect the Company’s liquidity. In addition, a recession or market correction due to these factors could materially affect the Company’s business and the value of its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to those previously disclosed in the Annual Report on Form 10-K for the year ended December 31, 2025 filed on March 18,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Preparation of the Company’s consolidated financial statements in conformity with GAAP requires management to make estimates and assumptions that affect reported amounts of assets and liabilities and disclosure of contingent assets and liabilities at the date of the financial statements and the reported amounts of expenses during the reporting period. Accordingly, actual results may differ materially from those estimates. Management considers many factors in selecting appropriate financial accounting policies,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stock-based compensation expense and income taxes.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Restricted Cash, and Credit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considers highly liquid investments with a maturity of three months or less when purchased to be cash equivalents. Cash and cash equivalents at March 31, 2026 consisted of cash and certificates of deposit in institutions in the United States. The Company maintains cash in accounts which are in excess of the Federal Deposit Insurance Corporation (“FDIC”) insured limits of $250,000. As of March 31, 2026, the Company had approximately $1.3 million in cash at financial institutions, including $0.7 million of restricted cash at financial institutions, and approximately $14.3 million in U.S. government agency securities, for aggregate cash, cash equivalents, and restricted cash of $15.6 million. As of December 31, 2025, the Company had approximately $1.6 million in cash at financial institutions, including $1.0 million of restricted cash at financial institutions, and approximately $15.4 million in U.S. government agency securities, for aggregate cash, cash equivalents, and restricted cash of $17.0 million.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cash is received from grants in advance of incurring qualifying costs, it is recorded as restricted cash and deferred grant income until it is earned and recorded to grant income. As of March 31, 2026, $0.7 million was recorded as restricted cash and deferred grant income on the Company’s condensed consolidated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Stock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recorded incremental stock-based compensation expense of $0.3 million pertaining to the modification of stock options in connection with certain consultants. The modification provided for an acceleration of unvested options, resulting in $0.3 million in compensation expense that was immediately recognized, and is reflected in operating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similar modifications of stock options during the three months ended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discrete financial information is made available and that is regularly evaluated by the chief operating decision maker (“CODM”) in making decisions regarding resource allocation and assessing performance. The Company is a clinical-stage immuno-oncology company specializing in the development and commercialization of novel T cell-based immunotherapies for the treatment of hematological malignancies and solid tumor indications. The Company’s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operations are organized and reported as a single reportable segment, which includes all activities related to the discovery, development, and commercialization of its products. The Company’s CODM, its chief executive officer, reviews operating results on an aggregate basis and manages the operations as a single operating segment.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policies of the Company’s single operating and reportable segment are the same as those described in the Company’s summary of significant accounting policies as previously disclosed in the Annual Report on Form 10-K for the year ended December 31, 2025 filed on March 18, 2026. The measure of segment assets is reported on the condensed consolidated balance sheets as total assets. The CODM evaluates performance and allocates resources based on consolidated net income (loss) that also is reported on the condensed consolidated statements of operations as net loss, and consolidated cash used in operations. The Company’s significant expenses are consistent with the expenses presented on the consolidated statement of operations. The CODM makes operating decisions based on the availability of cash and the allocation of cash to the required expenditures. The significant expenses regularly reviewed by the CODM are consistent with those reported on the Company’s consolidated statements of operations, and expenses are not regularly reviewed on a more disaggregated basis for purposes of assessing segment performance and deciding how to allocate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Grants (Topic 832): Accounting for Government Grants Received by Business Entities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The new standard is intended to establish authoritative guidance on the accounting for government grants received by business entities and reduce diversity in practice. The amendments establish the timing and methods of recognition of both (1) a grant related to an asset and (2) a grant related to income. The amendments also require certain disclosures including the nature of the grant received, the accounting policies used to account for the grant, and significant terms and conditions for the grant. Effective January 1, 2026, the Company adopted the new standard and applied it retrospectively to prior periods presented. The Company continues to recognize grant income when the Company incurs qualifying expenses related to the grants for the amount the Company is entitled to under the provisions of the contract. This methodology is consistent with the guidance under ASU 2025-10, which states that an entity should not recognize a government grant until it is probable that 1) the entity will comply with the conditions attached to the government grant and 2) the government grant will be received. Accordingly, the Company does not believe the new disclosure requirements had a material impact to its financial positions, results of operations and cash flows, other than the reclassification of grant income from revenue into other income.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the Company adopts as of the specified effective date. Unless otherwise discussed, the Company does not believe that the impact of recently issued standards that are not yet effective will have a material impact on its consolidated financial position or results of operations upon adoption.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 Reporting Comprehensive Income – Expense Disaggregation Disclosures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to improve transparency in financial reporting by requiring entities to present more detailed information about the nature of expenses included within the Income Statement. The guidance will be effective for annual reporting periods beginning after December 15, 2026, and interim reporting periods beginning after December 15, 2027. Early adoption is permitted. Upon adoption, the guidance can be applied prospectively or retrospectively. The Company is in the process of assessing the impact of ASU 2024-03 on its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Tax Law Changes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introducing significant changes to U.S. tax law, including provisions related to bonus depreciation, interest expense limitations, and the treatment of domestic research and development expenditures.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the legislation in accordance with ASC 740 and determined that the enactment did not have a material impact on its financial statements for the three months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NET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net loss per share for the three months ended March 31, 2026 and 2025, respectively:</w:t>
      </w:r>
    </w:p>
    <w:p>
      <w:pPr>
        <w:spacing w:after="0" w:line="232" w:lineRule="exact"/>
        <w:rPr>
          <w:sz w:val="20"/>
          <w:szCs w:val="20"/>
          <w:color w:val="auto"/>
        </w:rPr>
      </w:pPr>
    </w:p>
    <w:p>
      <w:pPr>
        <w:ind w:left="6660"/>
        <w:spacing w:after="0"/>
        <w:tabs>
          <w:tab w:leader="none" w:pos="6920" w:val="left"/>
        </w:tabs>
        <w:rPr>
          <w:sz w:val="20"/>
          <w:szCs w:val="20"/>
          <w:color w:val="auto"/>
        </w:rPr>
      </w:pPr>
      <w:r>
        <w:rPr>
          <w:rFonts w:ascii="Times New Roman" w:cs="Times New Roman" w:eastAsia="Times New Roman" w:hAnsi="Times New Roman"/>
          <w:sz w:val="14"/>
          <w:szCs w:val="14"/>
          <w:b w:val="1"/>
          <w:bCs w:val="1"/>
          <w:color w:val="auto"/>
        </w:rPr>
        <w:t>​​​</w:t>
        <w:tab/>
        <w:t>For the Three Months Ended</w:t>
      </w: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(3,179,278)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(4,446,184)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19,314,742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11,106,027</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gridSpan w:val="2"/>
            <w:vMerge w:val="continue"/>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19,314,742</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11,106,027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securities were not included in the diluted net loss per share calculation because their effect was anti-dilutive for the periods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2900" w:type="dxa"/>
            <w:vAlign w:val="bottom"/>
            <w:gridSpan w:val="4"/>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6020" w:type="dxa"/>
            <w:vAlign w:val="bottom"/>
            <w:vMerge w:val="restart"/>
          </w:tcPr>
          <w:p>
            <w:pPr>
              <w:ind w:left="5920"/>
              <w:spacing w:after="0"/>
              <w:rPr>
                <w:sz w:val="20"/>
                <w:szCs w:val="20"/>
                <w:color w:val="auto"/>
              </w:rPr>
            </w:pPr>
            <w:r>
              <w:rPr>
                <w:rFonts w:ascii="Times New Roman" w:cs="Times New Roman" w:eastAsia="Times New Roman" w:hAnsi="Times New Roman"/>
                <w:sz w:val="14"/>
                <w:szCs w:val="14"/>
                <w:b w:val="1"/>
                <w:bCs w:val="1"/>
                <w:color w:val="auto"/>
              </w:rPr>
              <w:t>​​​</w:t>
            </w:r>
          </w:p>
        </w:tc>
        <w:tc>
          <w:tcPr>
            <w:tcW w:w="2900" w:type="dxa"/>
            <w:vAlign w:val="bottom"/>
            <w:gridSpan w:val="4"/>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6020" w:type="dxa"/>
            <w:vAlign w:val="bottom"/>
            <w:tcBorders>
              <w:bottom w:val="single" w:sz="8" w:color="CCEEFF"/>
            </w:tcBorders>
            <w:vMerge w:val="continue"/>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bottom w:val="single" w:sz="8" w:color="CCEEFF"/>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1,762,878</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727,704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Common stock purchase warrants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5,031,250</w:t>
            </w: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5,031,250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6,794,128</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5,758,954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jc w:val="right"/>
              <w:ind w:right="1875"/>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70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RECEIVABLE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receivable mainly consists of grant income receivable. Qualifying grant income earned in advance of cash received from grants is recognized as other income and recorded as other receivable. The following table summarizes the Company’s other receivable balance as of March 31, 2026 and December 31, 2025, respectively:</w:t>
      </w:r>
    </w:p>
    <w:p>
      <w:pPr>
        <w:spacing w:after="0" w:line="13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8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March 31,</w:t>
            </w:r>
          </w:p>
        </w:tc>
        <w:tc>
          <w:tcPr>
            <w:tcW w:w="40" w:type="dxa"/>
            <w:vAlign w:val="bottom"/>
          </w:tcPr>
          <w:p>
            <w:pPr>
              <w:spacing w:after="0"/>
              <w:rPr>
                <w:sz w:val="13"/>
                <w:szCs w:val="13"/>
                <w:color w:val="auto"/>
              </w:rPr>
            </w:pPr>
          </w:p>
        </w:tc>
        <w:tc>
          <w:tcPr>
            <w:tcW w:w="11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28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income receivable:</w:t>
            </w:r>
          </w:p>
        </w:tc>
        <w:tc>
          <w:tcPr>
            <w:tcW w:w="19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CPRIT AML Grant</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$ 1,054,666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FDA Grant</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SBIR AML Grant</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116,504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Decoy Grant</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SBIR NHL Grant</w:t>
            </w:r>
          </w:p>
        </w:tc>
        <w:tc>
          <w:tcPr>
            <w:tcW w:w="1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PANACEA Grant</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grant income receivable</w:t>
            </w:r>
          </w:p>
        </w:tc>
        <w:tc>
          <w:tcPr>
            <w:tcW w:w="19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1,320,879</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1,318,981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receivable</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$ 1,377,300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for details related to awarded grants and Note 10 for more information on grant income.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ACCOUNTS PAYABLE, ACCRUED LIABILITIES AND RELATED PARTY PAYABLE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Accounts payable, accrued liabilities, and related party payable consist of the following as of March 31, 2026 and December 31, 2025,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ind w:left="74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1,500,256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793,727</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87,083</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160,008</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payable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1,001,229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54,638</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204,051</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203,928</w:t>
            </w:r>
          </w:p>
        </w:tc>
      </w:tr>
      <w:tr>
        <w:trPr>
          <w:trHeight w:val="209"/>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2,914,914</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1,299,384</w:t>
            </w: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$1.0 million related-party payable as of March 31, 2026, reflects amounts for outsourced product development and manufacturing services. See Note 12: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warrants outstanding at March 31, 2026: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20" w:type="dxa"/>
            <w:vAlign w:val="bottom"/>
            <w:vMerge w:val="restart"/>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2"/>
                <w:szCs w:val="12"/>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New</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Issue Date</w:t>
            </w:r>
          </w:p>
        </w:tc>
        <w:tc>
          <w:tcPr>
            <w:tcW w:w="14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9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​​​Exercised ​​​</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40" w:type="dxa"/>
            <w:vAlign w:val="bottom"/>
            <w:gridSpan w:val="2"/>
            <w:vMerge w:val="continue"/>
          </w:tcPr>
          <w:p>
            <w:pPr>
              <w:spacing w:after="0"/>
              <w:rPr>
                <w:sz w:val="15"/>
                <w:szCs w:val="15"/>
                <w:color w:val="auto"/>
              </w:rPr>
            </w:pPr>
          </w:p>
        </w:tc>
        <w:tc>
          <w:tcPr>
            <w:tcW w:w="2020" w:type="dxa"/>
            <w:vAlign w:val="bottom"/>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940" w:type="dxa"/>
            <w:vAlign w:val="bottom"/>
            <w:gridSpan w:val="4"/>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178"/>
        </w:trPr>
        <w:tc>
          <w:tcPr>
            <w:tcW w:w="8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Private</w:t>
            </w:r>
          </w:p>
        </w:tc>
        <w:tc>
          <w:tcPr>
            <w:tcW w:w="880" w:type="dxa"/>
            <w:vAlign w:val="bottom"/>
            <w:tcBorders>
              <w:top w:val="single" w:sz="8" w:color="CCEEFF"/>
            </w:tcBorders>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placement</w:t>
            </w:r>
          </w:p>
        </w:tc>
        <w:tc>
          <w:tcPr>
            <w:tcW w:w="1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warrants</w:t>
            </w:r>
          </w:p>
        </w:tc>
        <w:tc>
          <w:tcPr>
            <w:tcW w:w="8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December 2024</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20"/>
                <w:szCs w:val="20"/>
                <w:color w:val="auto"/>
              </w:rPr>
            </w:pPr>
          </w:p>
        </w:tc>
        <w:tc>
          <w:tcPr>
            <w:tcW w:w="2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years from shareholder approval</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5,031,250</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5,031,250</w:t>
            </w: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December 2024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160" w:type="dxa"/>
            <w:vAlign w:val="bottom"/>
          </w:tcPr>
          <w:p>
            <w:pPr>
              <w:spacing w:after="0"/>
              <w:rPr>
                <w:sz w:val="18"/>
                <w:szCs w:val="18"/>
                <w:color w:val="auto"/>
              </w:rPr>
            </w:pP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 years from shareholder approval</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2,641,615</w:t>
            </w:r>
          </w:p>
        </w:tc>
        <w:tc>
          <w:tcPr>
            <w:tcW w:w="16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2,641,615</w:t>
            </w:r>
          </w:p>
        </w:tc>
        <w:tc>
          <w:tcPr>
            <w:tcW w:w="0" w:type="dxa"/>
            <w:vAlign w:val="bottom"/>
          </w:tcPr>
          <w:p>
            <w:pPr>
              <w:spacing w:after="0"/>
              <w:rPr>
                <w:sz w:val="1"/>
                <w:szCs w:val="1"/>
                <w:color w:val="auto"/>
              </w:rPr>
            </w:pPr>
          </w:p>
        </w:tc>
      </w:tr>
      <w:tr>
        <w:trPr>
          <w:trHeight w:val="210"/>
        </w:trPr>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20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7,672,865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7,672,865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vMerge w:val="restart"/>
          </w:tcPr>
          <w:p>
            <w:pPr>
              <w:jc w:val="right"/>
              <w:ind w:right="1302"/>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2026 Equity Incentive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three months ended March 31, 2026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14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1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Intrinsic Value</w:t>
            </w:r>
          </w:p>
        </w:tc>
        <w:tc>
          <w:tcPr>
            <w:tcW w:w="140" w:type="dxa"/>
            <w:vAlign w:val="bottom"/>
          </w:tcPr>
          <w:p>
            <w:pPr>
              <w:spacing w:after="0"/>
              <w:rPr>
                <w:sz w:val="12"/>
                <w:szCs w:val="12"/>
                <w:color w:val="auto"/>
              </w:rPr>
            </w:pPr>
          </w:p>
        </w:tc>
        <w:tc>
          <w:tcPr>
            <w:tcW w:w="1180" w:type="dxa"/>
            <w:vAlign w:val="bottom"/>
          </w:tcPr>
          <w:p>
            <w:pPr>
              <w:jc w:val="right"/>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60" w:type="dxa"/>
            <w:vAlign w:val="bottom"/>
            <w:gridSpan w:val="3"/>
            <w:vMerge w:val="continue"/>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Life (in years)</w:t>
            </w: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0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563,368</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Cancelled/Expired</w:t>
            </w:r>
          </w:p>
        </w:tc>
        <w:tc>
          <w:tcPr>
            <w:tcW w:w="10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0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1,762,878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354,429</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w:t>
            </w:r>
          </w:p>
        </w:tc>
        <w:tc>
          <w:tcPr>
            <w:tcW w:w="100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533,772</w:t>
            </w:r>
          </w:p>
        </w:tc>
        <w:tc>
          <w:tcPr>
            <w:tcW w:w="14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23.19</w:t>
            </w:r>
          </w:p>
        </w:tc>
        <w:tc>
          <w:tcPr>
            <w:tcW w:w="14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6,402</w:t>
            </w:r>
          </w:p>
        </w:tc>
        <w:tc>
          <w:tcPr>
            <w:tcW w:w="14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stock-based compensation expenses recorded during the respective periods: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80" w:type="dxa"/>
            <w:vAlign w:val="bottom"/>
          </w:tcPr>
          <w:p>
            <w:pPr>
              <w:ind w:left="50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2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5180" w:type="dxa"/>
            <w:vAlign w:val="bottom"/>
            <w:vMerge w:val="restart"/>
          </w:tcPr>
          <w:p>
            <w:pPr>
              <w:ind w:left="50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540" w:type="dxa"/>
            <w:vAlign w:val="bottom"/>
            <w:gridSpan w:val="3"/>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expenses:</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580" w:type="dxa"/>
            <w:vAlign w:val="bottom"/>
            <w:gridSpan w:val="4"/>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177,968</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stock compensation expenses</w:t>
            </w:r>
          </w:p>
        </w:tc>
        <w:tc>
          <w:tcPr>
            <w:tcW w:w="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178,422</w:t>
            </w:r>
          </w:p>
        </w:tc>
        <w:tc>
          <w:tcPr>
            <w:tcW w:w="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total stock-based compensation cost related to unvested awards not yet recognized was $0.8 million. The expected weighted average period compensation costs to be recognized was approximately 1.7 years. Future option grants will impact the compensation expense recognized.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recorded incremental stock-based compensation expense of $0.3 million pertaining to the modification of stock options in connection with certain consultants. The modification resulted in an acceleration of $0.3 million in compensation expense that was immediately recognized and is reflected in operating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GRANT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restricted cash is received from grants in advance of incurring qualifying costs, it is recorded as deferred grant income and recognized as other income when qualifying costs are incurred. The Company had $0.7 million and $1.0 million of restricted cash recorded as of March 31, 2026 and December 31,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grant income recorded for the three months ended March 31, 2026 and 2025, by grant: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3"/>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1000" w:type="dxa"/>
            <w:vAlign w:val="bottom"/>
          </w:tcPr>
          <w:p>
            <w:pPr>
              <w:spacing w:after="0"/>
              <w:rPr>
                <w:sz w:val="18"/>
                <w:szCs w:val="18"/>
                <w:color w:val="auto"/>
              </w:rPr>
            </w:pPr>
          </w:p>
        </w:tc>
        <w:tc>
          <w:tcPr>
            <w:tcW w:w="4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2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400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CPRIT AML Grant</w:t>
            </w:r>
            <w:r>
              <w:rPr>
                <w:rFonts w:ascii="Times New Roman" w:cs="Times New Roman" w:eastAsia="Times New Roman" w:hAnsi="Times New Roman"/>
                <w:sz w:val="25"/>
                <w:szCs w:val="25"/>
                <w:color w:val="auto"/>
                <w:vertAlign w:val="superscript"/>
              </w:rPr>
              <w:t>1</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208,509</w:t>
            </w:r>
          </w:p>
        </w:tc>
        <w:tc>
          <w:tcPr>
            <w:tcW w:w="32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217,641</w:t>
            </w:r>
          </w:p>
        </w:tc>
      </w:tr>
      <w:tr>
        <w:trPr>
          <w:trHeight w:val="216"/>
        </w:trPr>
        <w:tc>
          <w:tcPr>
            <w:tcW w:w="1000" w:type="dxa"/>
            <w:vAlign w:val="bottom"/>
          </w:tcPr>
          <w:p>
            <w:pPr>
              <w:spacing w:after="0"/>
              <w:rPr>
                <w:sz w:val="18"/>
                <w:szCs w:val="18"/>
                <w:color w:val="auto"/>
              </w:rPr>
            </w:pPr>
          </w:p>
        </w:tc>
        <w:tc>
          <w:tcPr>
            <w:tcW w:w="4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FDA Grant</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SBIR AML Grant</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96,724</w:t>
            </w:r>
          </w:p>
        </w:tc>
      </w:tr>
      <w:tr>
        <w:trPr>
          <w:trHeight w:val="216"/>
        </w:trPr>
        <w:tc>
          <w:tcPr>
            <w:tcW w:w="1000" w:type="dxa"/>
            <w:vAlign w:val="bottom"/>
          </w:tcPr>
          <w:p>
            <w:pPr>
              <w:spacing w:after="0"/>
              <w:rPr>
                <w:sz w:val="18"/>
                <w:szCs w:val="18"/>
                <w:color w:val="auto"/>
              </w:rPr>
            </w:pPr>
          </w:p>
        </w:tc>
        <w:tc>
          <w:tcPr>
            <w:tcW w:w="4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Decoy Grant</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14,216</w:t>
            </w:r>
          </w:p>
        </w:tc>
      </w:tr>
      <w:tr>
        <w:trPr>
          <w:trHeight w:val="216"/>
        </w:trPr>
        <w:tc>
          <w:tcPr>
            <w:tcW w:w="1000" w:type="dxa"/>
            <w:vAlign w:val="bottom"/>
          </w:tcPr>
          <w:p>
            <w:pPr>
              <w:spacing w:after="0"/>
              <w:rPr>
                <w:sz w:val="18"/>
                <w:szCs w:val="18"/>
                <w:color w:val="auto"/>
              </w:rPr>
            </w:pPr>
          </w:p>
        </w:tc>
        <w:tc>
          <w:tcPr>
            <w:tcW w:w="4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PANACEA Grant</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r>
      <w:tr>
        <w:trPr>
          <w:trHeight w:val="216"/>
        </w:trPr>
        <w:tc>
          <w:tcPr>
            <w:tcW w:w="1000" w:type="dxa"/>
            <w:vAlign w:val="bottom"/>
          </w:tcPr>
          <w:p>
            <w:pPr>
              <w:spacing w:after="0"/>
              <w:rPr>
                <w:sz w:val="18"/>
                <w:szCs w:val="18"/>
                <w:color w:val="auto"/>
              </w:rPr>
            </w:pPr>
          </w:p>
        </w:tc>
        <w:tc>
          <w:tcPr>
            <w:tcW w:w="400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CPRIT Pancreatic Grant</w:t>
            </w:r>
            <w:r>
              <w:rPr>
                <w:rFonts w:ascii="Times New Roman" w:cs="Times New Roman" w:eastAsia="Times New Roman" w:hAnsi="Times New Roman"/>
                <w:sz w:val="25"/>
                <w:szCs w:val="25"/>
                <w:color w:val="auto"/>
                <w:vertAlign w:val="superscript"/>
              </w:rPr>
              <w:t>1</w:t>
            </w:r>
          </w:p>
        </w:tc>
        <w:tc>
          <w:tcPr>
            <w:tcW w:w="20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251,663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w:t>
            </w:r>
          </w:p>
        </w:tc>
      </w:tr>
      <w:tr>
        <w:trPr>
          <w:trHeight w:val="209"/>
        </w:trPr>
        <w:tc>
          <w:tcPr>
            <w:tcW w:w="50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Total grant income</w:t>
            </w:r>
          </w:p>
        </w:tc>
        <w:tc>
          <w:tcPr>
            <w:tcW w:w="20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751,691</w:t>
            </w:r>
          </w:p>
        </w:tc>
        <w:tc>
          <w:tcPr>
            <w:tcW w:w="200" w:type="dxa"/>
            <w:vAlign w:val="bottom"/>
            <w:gridSpan w:val="2"/>
          </w:tcPr>
          <w:p>
            <w:pPr>
              <w:spacing w:after="0"/>
              <w:rPr>
                <w:sz w:val="18"/>
                <w:szCs w:val="18"/>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349,104</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5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Both CPRIT grants are subject to certain revenue-sharing arrangements, as per the grant agreements (see Note 11).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qualifying grant income is earned in advance of cash received from grants, it is recognized as other income and recorded as other receivable (see Note 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Cancer Prevention and Research Institute of Texas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Cancer Prevention &amp; Research Institute of Texas (“CPRIT”) to support the Company’s clinical investigation of MT-401 (the “CPRIT AML Grant”). In December 2024, the Company received notice of an additional $9.5 million grant from CPRIT to support the clinical investigation of MT-601 in patients with pancreatic cancer (“the CPRIT Pancreatic Grant”). Both CPRIT grants contain identical terms surrounding intellectual property and revenue sharing.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 the CPRIT grant agreements, the Company will retain ownership over any intellectual property developed under the contracts (the “Project Results”). With respect to non-commercial use of any Project Results, the Company agreed to grant to CPRIT a nonexclusive, irrevocable, royalty-free, perpetual, worldwide license with the right to sublicense any necessary additional intellectual property rights to exploit all Project Results by CPRIT, other governmental entities and agencies of the State of Texas, and private or independent institutions of higher education located in Texas, solely for academic, research, and other non-commercial purposes.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Company’s products become commercially saleable, the Company is obligated to make payments to CPRIT, with respect to net sales of any product covered in the contract, equal to a percentage of revenue ranging from the low-to-mid single digits. These payments will continue up to and until CPRIT receives an aggregate amount of 400% of the sum of all monies paid to the Company by CPRIT under the grant agreements. If the Company is required to obtain a license from a third party to sell any such product, the revenue sharing percentages may be reduced. In addition, once the Company has paid CPRIT 400% of the monies received under the grant agreements, the Company will continue to pay CPRIT a revenue-sharing percentage of 0.5% for the remainder of the Revenue Term as specified in the grant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Baylor College of Medicine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2018, the Company entered into an exclusive license agreement with BCM under which the Company acquired a worldwide, exclusive license to BCM’s rights in and to certain intellectual property rights, including a European patent to develop and commercialize MAR-T cell product candidates (the “BCM License Agreement”). In exchange for the license, the Company issued shares of its common stock to BCM valued at approximately $5.0 million at the time of issuance, agreed to make royalty payments to BCM upon commercial sales according to the royalty schedule in the BCM License Agreement, under which the royalty percentages increase in proportion to the aggregate net sales, and agreed to pay BCM certain milestone payments up to an aggregate of $64.85 million. The milestone payments are based upon the occurrence of nine particular milestones relating to completion of the first dosing in clinical trials for a first and second distinct product, FDA approval, and achievement of certain net sales goals. The Company is also responsible for sublicensing fees and for reimbursing BCM for related-party expenses. In addition, upon a liquidity event (as defined in the BCM License Agreement) of the Company, BCM will receive a one-time liquidity incentive payment of 0.5% of the liquidity event proceeds (as defined in the BCM License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including those arising in the ordinary course of our business. We are not currently a party to any material legal proceedings that we believe could have an adverse effect on our business, operating results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related party transaction expenses recorded for the three months ended March 31, 2026 and 2025, respectively.</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5"/>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5660" w:type="dxa"/>
            <w:vAlign w:val="bottom"/>
            <w:vMerge w:val="restart"/>
          </w:tcPr>
          <w:p>
            <w:pPr>
              <w:ind w:left="5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3"/>
          </w:tcPr>
          <w:p>
            <w:pPr>
              <w:jc w:val="center"/>
              <w:ind w:right="1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Baylor College of Medicine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1,110,212</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619,843</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Cell Ready</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1,016,303</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Wilson Wolf Manufacturing Corporation</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29,132</w:t>
            </w: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related party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1,110,212</w:t>
            </w:r>
          </w:p>
        </w:tc>
        <w:tc>
          <w:tcPr>
            <w:tcW w:w="220" w:type="dxa"/>
            <w:vAlign w:val="bottom"/>
            <w:gridSpan w:val="2"/>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1,665,278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$1.0 million of related party transactions are included in accounts payable and accrued liabilities as of March 31, 2026. See Note 7 for additional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Agreements with The Baylor College of Medicine (“BCM”)</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2018, January 2020 and February 2020, the Company entered in Sponsored Research Agreements with BCM, which provided for the conduct of research for the Company by credentialed personnel at BCM’s Center for Cell and Gene Therapy. On April 1, 2025, the Company signed Amendment #1 to the Sponsored Research and Product Development Agreement with BCM to perform research on “Controlling Tumor Immune Escape in Pancreatic Cancer using a Dual T-Cell Product Strategy.”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2019, May 2020 and July 2021, the Company entered into Clinical Supply Agreements with BCM, which provided for BCM to provide to the Company multi tumor antigen specific products.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2019, the Company entered in a Workforce Grant Agreement with BCM, which provided for BCM to provide to the Company manpower costs of projects for manufacturing, quality control testing and validation run activities.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August 2020, the Company entered in a Clinical Trial Agreement with BCM, which provided for BCM to provide to the Company investigator-initiated research studies.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entered into a Clinical Site Agreement and Laboratory Service Agreement with BCM, pursuant to which BCM conducts clinical trials for the Company and testing of Marker’s product candidates to develop an optimized potency assay.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BCM is also a shareholder of the Company’s common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incurred $1.1 million in expenses related to services and manufacturing costs and paid BCM approximately $0 for invoices received. During the three months ended March 31, 2025, the Company incurred $0.6 million in expenses related to services and manufacturing costs and paid BCM approximately $90,000 for invoices received.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Purchases from Wilson Wolf</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2025, the Company utilized Wilson Wolf for the purchases of cell culture devices. Mr. John Wilson is a former director and current shareholder and is serving as the CEO of Wilson Wolf Manufacturing Corporation.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incurred approximately $29,000 in expenses related to cell culture devices and paid Wilson Wolf approximately $29,000 for invoices received.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Purchases from Cell Ready, LLC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utilized Cell Ready, LLC for clinical manufacturing supply and product development. Cell Ready, which is owned by a former director, Mr. John Wilson, is a contract development and manufacturing organization (“CDMO”). On February 22, 2024, the Company entered into a 3-year Master Services Agreement for Product Supply (the “MSA”) with Cell Ready. During the three months ended March 31, 2025, the Company incurred $0.6 million in expenses related to services and manufacturing costs and paid $2.6 million for invoices received. During the three months ended March 31, 2026, no expenses were incurred related to services and manufacturing costs.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27, 2025, the Company mutually agreed with Cell Ready to terminate the MSA. In connection therewith, the Company entered into a settlement and release agreement with Cell Ready pursuant to which the Company paid Cell Ready approximately $453,000 and the parties provided one another with mutual releases of all claims associated with any and all agreements between the Company and Cell Ready.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 2026, the Company held its 2026 Annual Meeting of Stockholders, at which meeting the Company’s stockholders approved an amendment to the Company’s Certificate of Incorporation, as amended, to increase the number of authorized shares of our Common Stock from 30,000,000 shares of Common Stock to 130,000,000 shares of Common Stock. On May 4, 2026, the Company filed a Certificate of Amendment to its Certificate of Incorporation, increasing its authorized shares of Common Stock from 30,000,000 to 130,000,000.</w:t>
      </w:r>
    </w:p>
    <w:p>
      <w:pPr>
        <w:spacing w:after="0" w:line="17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21E of the Securities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Readers are cautioned not to place undue reliance on these forward-looking statements, which reflect management’s analysis, judgment, belief, or expectation only as of the date hereof. We assume no obligation to update these forward-looking statements to reflect events or circumstances that arise after the date hereof.</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should be read in conjunction with our unaudited condensed consolidated interim financial statements and related notes included in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clinical-stage immuno-oncology company specializing in the development and commercialization of novel T cell-based immunotherapies for the treatment of hematological malignancies and solid tumor indications. Harnessing millions of years of immunologic evolution, Marker’s multi antigen recognizing (“MAR”)-T cell technology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MAR-T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MAR-T cells are designed to kill cancer cells expressing the TAA and potentially recruit the patient’s immune system to participate in the cancer killing process.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licensed the underlying technology for MAR-T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continuing to advance two product candidates for 3 clinical indications as part of our MAR-T cell program for:</w:t>
      </w:r>
    </w:p>
    <w:p>
      <w:pPr>
        <w:spacing w:after="0" w:line="225"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Autologous MAR-T cell product for the treatment of lymphoma and pancreatic cancer (MT-601)</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Off-the-Shelf (OTS) product in various indications (e.g., MT-401-OTS in AML or MDS)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genetically engineer our MAR-T cell therapies and we believe that our product candidates are superior to T cells engineered with chimeric antigen receptors, or CAR-T, for several reasons including:</w:t>
      </w:r>
    </w:p>
    <w:p>
      <w:pPr>
        <w:spacing w:after="0" w:line="162" w:lineRule="exact"/>
        <w:rPr>
          <w:sz w:val="20"/>
          <w:szCs w:val="20"/>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targets → enhanced tumoricidal effect→ minimized tumor immune escape</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safety → no treatment-related side effects, including immune effector cell-associated neurotoxicity syndrome (ICANS) or other severe adverse effects (SAEs), were attributed to the use of MAR-T cell therapies to date</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Non-genetically engineered T cell products → selective expansion of tumor-specific T cells from a patient’s or donor’s blood capable of recognizing a broad range of tumor antigens→ no risk of mutagenesis and reduced manufacturing complexity → lower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123190</wp:posOffset>
            </wp:positionV>
            <wp:extent cx="5846445" cy="1423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644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these reasons, we believe our endogenous T cell receptor-based therapies may provide meaningful clinical benefit and safety to patients with both hematological and solid tumors.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simplicity of our manufacturing process allows additional modifications to expand MAR-T cell recognition of cancer targets. For example, we are assessing the potential of combining MAR-T cell products with other products.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2025, we issued a press release providing an update on the progress and clinical observations from the Phase 1 APOLLO study, with a data cutoff date of June 2025. Our Phase 1 APOLLO study is investigating MT-601, a MAR-T cell product, in patients with lymphoma who have relapsed after anti-CD19 chimeric antigen receptor (CAR) T cell therapy or for whom anti-CD19 CAR-T cells are not an option. In this update, clinical data was available for a total of 24 B-cell lymphoma patients from 7 clinical sites across the United States, including 15 patients with Non-Hodgkin Lymphoma (“NHL”) and 9 patients with Hodgkin Lymphoma (“HL”). At the time of the data cutoff, 12 NHL and 9 HL patients have been assessed. Study participants showed objective responses and a favorable safety profile with and without lymphodepletion.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clinical-stage pipeline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1146175</wp:posOffset>
            </wp:positionH>
            <wp:positionV relativeFrom="paragraph">
              <wp:posOffset>154305</wp:posOffset>
            </wp:positionV>
            <wp:extent cx="4011930" cy="1997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1193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Manufacturing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manufacturing process was originally developed at Baylor College of Medicine, where we initially conducted our clinical trials. We continue to contract and collaborate with BCM and others to perform a wide variety of services to ensure the continuation of our research and development efforts, with the goal of optimizing our manufacturing process, product quality and commercial scalability.</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22, 2024, we entered into a Master Services Agreement for Product Supply (the “MSA”) with Cell Ready for the provision of various products and services by Cell Ready pursuant to work orders that may be entered into from time to time. Cell Ready, which is owned by one of our former directors, Mr. John Wilson, is a contract development and manufacturing organization (CDMO). The MSA contains customary representations, warranties and indemnification provision. The initial term of the MSA is three years and may be extended upon the mutual written agreement of the parties. On March 27, 2025, we mutually agreed with Cell Ready to terminate the MSA. In connection therewith, we and Cell Ready entered into a settlement and release agreement pursuant to which we paid Cell Ready approximately $453,000 and we and Cell Ready provided one another with mutual releases of all claims associated with any and all agreements between Marker and Cell Ready.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BCM continues to supply us with products as we continue our clinical trials, in anticipation of the commencement of our larger pivotal trial for lymphoma in 2026, as well as the eventual need for commercial scale production, on June 16, 2025, the Company entered into a Statement of Work (the “SOW”) with Cellipont Bioservices (“Cellipont”), a leading cell therapy Contract Development and Manufacturing Organization (“CDMO”), for the manufacturing of MT-601, the Company’s lead MAR-T cell product. Pursuant to the SOW, Cellipont will provide technology transfer and cGMP manufacturing services to support the scale-up and production of MT-601 for Marker’s APOLLO study.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there is no guarantee that we will have or have properly estimated our required manufacturing capacities or that the third parties on which we rely to manufacture our products will be able or willing to perform on our proposed timelines or to meet our manufacturing demands, if at all. If any of our third-party vendors experience disruptions, or otherwise cease or substantially reduce the amount of products they are willing to supply us, our business and operations could be adversely affected. See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4, 2026, the Company filed a Certificate of Amendment to its Certificate of Incorporation, increasing its authorized shares of Common Stock from 30,000,000 to 130,000,000.</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discussion of our results of operations and financial condition, amounts in financial tables, other than per-share amounts, have been rounded to the nearest thousand.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continuing operations for the three months ended March 31, 2026 and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ind w:left="4960"/>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Pr>
          <w:p>
            <w:pPr>
              <w:spacing w:after="0"/>
              <w:rPr>
                <w:sz w:val="13"/>
                <w:szCs w:val="13"/>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5080" w:type="dxa"/>
            <w:vAlign w:val="bottom"/>
          </w:tcPr>
          <w:p>
            <w:pPr>
              <w:spacing w:after="0"/>
              <w:rPr>
                <w:sz w:val="15"/>
                <w:szCs w:val="15"/>
                <w:color w:val="auto"/>
              </w:rPr>
            </w:pPr>
          </w:p>
        </w:tc>
        <w:tc>
          <w:tcPr>
            <w:tcW w:w="1420" w:type="dxa"/>
            <w:vAlign w:val="bottom"/>
            <w:tcBorders>
              <w:bottom w:val="single" w:sz="8" w:color="auto"/>
            </w:tcBorders>
            <w:gridSpan w:val="4"/>
          </w:tcPr>
          <w:p>
            <w:pPr>
              <w:jc w:val="center"/>
              <w:ind w:left="7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080" w:type="dxa"/>
            <w:vAlign w:val="bottom"/>
          </w:tcPr>
          <w:p>
            <w:pPr>
              <w:ind w:left="49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3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3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3"/>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2,842,728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3,135,427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(292,699)</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1,229,807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1,369,215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(139,408)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early termination of vendor agreement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453,135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(453,135)</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 %</w:t>
            </w: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4,072,535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4,957,777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(885,242)</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(4,072,535)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(4,957,777)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751,691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349,104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402,587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132,889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162,489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(29,600)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 %</w:t>
            </w:r>
          </w:p>
        </w:tc>
      </w:tr>
      <w:tr>
        <w:trPr>
          <w:trHeight w:val="209"/>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(3,179,278)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(4,446,184)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1,266,906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5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expenses incurred during the three months ended March 31, 2026 were $4.1 million compared to $5.0 million during the same period ended March 31, 2025. Significant changes and expenditures in operating expenses are outlined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9% to $2.8 million for the three months ended March 31, 2026, compared to $3.1 million for the three months ended March 31,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of $0.3 million in 2026 was primarily attributable to a decrease of $0.3 million in stock-based compensation expense due to the modification of certain options in the prior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10% to $1.2 million for the three months ended March 31, 2026, compared to $1.4 million during the same period ended 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of $0.1 million in 2026 was primarily attributable to legal and professional fees and other administrative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on Early Termination of Vendor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mutually agreed with Cell Ready to terminate the MSA. In connection therewith, we entered into a settlement and release agreement with Cell Ready pursuant to which we paid Cell Ready approximately $453,000 and the parties provided one another with mutual releases of all claims associated with any and all agreements between us and Cell Ready.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Grant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we received notice of a Product Development Research award totaling approximately $13.1 million from the Cancer Prevention and Research Institute of Texas (“CPRIT”), to support the clinical investigation of MT-401 as an Off-the-Shelf (“OTS”) product in patients with Acute Myeloid Leukemia (“AML”) (the “CPRIT AML Grant”).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2022, we received notice from the FDA that we had been awarded a $2.0 million grant from the FDA’s Orphan Products Grant program to support the clinical investigation of MT-401 for the treatment of AML (the “FDA Grant”).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2023, we received notice of a $2.0 million grant from the National Institutes of Health (“NIH”) Small Business Innovation Research (“SBIR”) program to support the development and investigation of MT-401 for the treatment of AML patients following standard-of-care therapy with hypomethylating agents (the “SBIR AML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funding agencies have agreed to continue their financial support and to shift funds to the MT-401-OTS program.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2024, we received notice of a $2.0 million grant over a 2-year period from the National Institutes of Health SBIR program to support control over tumor immune escape in pancreatic cancer using a dual T cell product strategy (the “Decoy Grant”).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we received notice of an additional $2.0 million grant from the NIH SBIR program to support the clinical investigation of MT-601 in patients with non-Hodgkin’s lymphoma (“NHL”) who have relapsed following anti-CD19 chimeric antigen receptor (“CAR”) T cell therapy (the “SBIR NHL Grant”).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2024, we received another $2.0 million grant from the National Institutes of Health SBIR Program to support the advancement of MT-601 in patients with pancreatic cancer (the “PANACEA Grant”).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2024, we received notice an additional $9.5 million grant from CPRIT to support the clinical investigation of MT-601 in patients with metastatic pancreatic cancer (the “CPRIT Pancreatic Grant”).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grant income recorded for the three months ended March 31, 2026 and 2025, by grant:</w:t>
      </w:r>
    </w:p>
    <w:p>
      <w:pPr>
        <w:spacing w:after="0" w:line="23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3"/>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2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0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CPRIT AML Grant</w:t>
            </w:r>
            <w:r>
              <w:rPr>
                <w:rFonts w:ascii="Times New Roman" w:cs="Times New Roman" w:eastAsia="Times New Roman" w:hAnsi="Times New Roman"/>
                <w:sz w:val="25"/>
                <w:szCs w:val="25"/>
                <w:color w:val="auto"/>
                <w:vertAlign w:val="superscript"/>
              </w:rPr>
              <w:t>1</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208,509</w:t>
            </w:r>
          </w:p>
        </w:tc>
        <w:tc>
          <w:tcPr>
            <w:tcW w:w="34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FDA Grant</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SBIR AML Grant</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Decoy Grant</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PANACEA Grant</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0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CPRIT Pancreatic Grant</w:t>
            </w:r>
            <w:r>
              <w:rPr>
                <w:rFonts w:ascii="Times New Roman" w:cs="Times New Roman" w:eastAsia="Times New Roman" w:hAnsi="Times New Roman"/>
                <w:sz w:val="25"/>
                <w:szCs w:val="25"/>
                <w:color w:val="auto"/>
                <w:vertAlign w:val="superscript"/>
              </w:rPr>
              <w:t>1</w:t>
            </w:r>
          </w:p>
        </w:tc>
        <w:tc>
          <w:tcPr>
            <w:tcW w:w="20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251,663</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Total grant income</w:t>
            </w:r>
          </w:p>
        </w:tc>
        <w:tc>
          <w:tcPr>
            <w:tcW w:w="20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751,691</w:t>
            </w: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5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Both CPRIT grants are subject to certain revenue - sharing arrangements, as per the grant agreements (see Note 11).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Income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income was $0.1 million and $0.2 million for the three months ended March 31, 2026 and 2025, respectively, and was attributable to interest income relating to funds that are held in U.S. Treasury notes and U.S. government agency-backed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was immaterial and nil for the three months ended March 31, 2026 and 2025, respectively, and was attributable to a vendor refund.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our net loss during the three months ended March 31, 2026 compared to the three months ended March 31, 2025 was primarily due to cost decreases in our research and development activities and in our general and administrative expenses, as well as higher grant income. We anticipate that we will continue to incur net losses in the future as we continue to invest in research and development activities, including clinical development of our MAR-T cell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revenues from the sales or licensing of our product candidates since inception and only have limited grant income associated with grants to fund research. We have financed our operations primarily through public and private offerings of our stock and debt including warrants and the exercise thereof, as well as grants.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our lack of recurring revenues, anticipated uses of cash and historical recurring cash losses from operating activities, and cash, cash equivalents, and restricted cash as of December 31, 2025, and taking into consideration the net proceeds received in July and August of 2025 through the sale of Common Stock pursuant to its ATM Agreement with H.C. Wainwright &amp; Co., LLC, we anticipate that we will be able to fund our operating expenses and capital expenditure requirements into the first quarter of 2027, assuming no additional grant funds are received, either from new grants or from existing awarded grants. We are considering raising additional capital through the issuance of common shares or preferred shares and intend to apply for additional grant funds, which could enable us to fund our operating expenses and capital expenditure requirements beyond the first quarter of 2027, although no assurance can be given that such capital or existing awarded grants will be earned or future grants will be awarded. This estimate is subject to our ability to effectively manage our costs, raise additional capital, and receive additional grant funds, of which there can be no assurance.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Working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cash equivalents, and restricted cash and working capital as of March 31, 2026 and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8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gridSpan w:val="2"/>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66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15,638,655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17,042,847</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13,795,958</w:t>
            </w:r>
          </w:p>
        </w:tc>
        <w:tc>
          <w:tcPr>
            <w:tcW w:w="4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16,796,814</w:t>
            </w:r>
          </w:p>
        </w:tc>
        <w:tc>
          <w:tcPr>
            <w:tcW w:w="0" w:type="dxa"/>
            <w:vAlign w:val="bottom"/>
          </w:tcPr>
          <w:p>
            <w:pPr>
              <w:spacing w:after="0"/>
              <w:rPr>
                <w:sz w:val="1"/>
                <w:szCs w:val="1"/>
                <w:color w:val="auto"/>
              </w:rPr>
            </w:pPr>
          </w:p>
        </w:tc>
      </w:tr>
      <w:tr>
        <w:trPr>
          <w:trHeight w:val="41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2026 and 2025:</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5"/>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2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300" w:type="dxa"/>
            <w:vAlign w:val="bottom"/>
            <w:gridSpan w:val="2"/>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(1,404,192)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(5,499,737)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26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(1,404,192)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(5,499,232)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80" w:type="dxa"/>
            <w:vAlign w:val="bottom"/>
            <w:vMerge w:val="restart"/>
          </w:tcPr>
          <w:p>
            <w:pPr>
              <w:jc w:val="right"/>
              <w:ind w:right="2197"/>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6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6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2026 was $1.4 million. The use of cash primarily related to our net loss of $3.2 million, offset by $0.2 million of non-cash stock-based compensation, and a $1.6 million increase from changes in assets and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2025 was $5.5 million. The use of cash primarily related to our net loss of $4.4 million, offset by $0.4 million of non-cash stock-based compensation, and a $1.5 million decrease from changes in assets and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cash provided by financing during the three months ended March 31, 2026.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$505 during the three months ended March 31, 2025, due to the net proceeds from the exercise of warrants and stock options,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Capital Requirements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receivable mainly consists of grant income receivable. Qualifying grant income earned in advance of cash received from grants is recognized as other income and recorded as other receivable. The following table summarizes the Company’s other receivable balance as of March 31, 2026 and December 31, 2025, respectively:</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8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March 31,</w:t>
            </w:r>
          </w:p>
        </w:tc>
        <w:tc>
          <w:tcPr>
            <w:tcW w:w="40" w:type="dxa"/>
            <w:vAlign w:val="bottom"/>
          </w:tcPr>
          <w:p>
            <w:pPr>
              <w:spacing w:after="0"/>
              <w:rPr>
                <w:sz w:val="13"/>
                <w:szCs w:val="13"/>
                <w:color w:val="auto"/>
              </w:rPr>
            </w:pPr>
          </w:p>
        </w:tc>
        <w:tc>
          <w:tcPr>
            <w:tcW w:w="11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28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income receivable:</w:t>
            </w:r>
          </w:p>
        </w:tc>
        <w:tc>
          <w:tcPr>
            <w:tcW w:w="19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CPRIT AML Grant</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$ 1,060,666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FDA Grant</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SBIR AML Grant</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116,504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Decoy Grant</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SBIR NHL Grant</w:t>
            </w:r>
          </w:p>
        </w:tc>
        <w:tc>
          <w:tcPr>
            <w:tcW w:w="1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PANACEA Grant</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grant income receivable</w:t>
            </w:r>
          </w:p>
        </w:tc>
        <w:tc>
          <w:tcPr>
            <w:tcW w:w="19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1,326,879</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1,318,981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receivable</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$ 1,377,300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we had working capital of $13.8 million, compared to working capital of $16.8 million as of December 31, 2025. Operating expenses incurred during the three months ended March 31, 2026 were $4.1 million compared to $5.0 million during the equivalent prior year period. Based on our lack of recurring revenues, anticipated uses of cash and historical recurring cash losses from operating activities, and cash, cash equivalents, and restricted cash as of March 31, 2026, we anticipate that we will be able to fund our operating expenses and capital expenditure requirements into the first quarter of 2027, assuming no additional grant funds are received. We currently plan to raise additional capital through the issuance of common shares and receive additional grant funds, which could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enable us to fund our operating expenses and capital expenditure requirements beyond the first quarter of 2027 although no assurance can be given that such capital or existing awarded grants will be earned or future grants will be awarded. This estimate is subject to our ability to effectively manage our costs, raise additional capital, and receive additional grant funds. Our assumptions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94" w:lineRule="exact"/>
        <w:rPr>
          <w:sz w:val="20"/>
          <w:szCs w:val="20"/>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continue clinical trials of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product candidates and seek to discover additional product candidates; seek regulatory approvals for our product candidates if they successfully complete clinical trials;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development of our manufacturing capabilities;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and scale-up manufacturing capabilities to commercialize any product candidates that may receive regulatory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strategic transactions we may undertake;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foregoing, high inflation and concerns about an economic recession in the United States or other major markets have resulted in, among other things, volatility in the capital markets that may have the effect of reducing our ability to access capital, which could in the future negatively affect our liquidity. In addition, a recession or market correction due to these factors could materially affect our business and the value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we entered into an At The Market Offering Agreement (the “Sales Agreement”), with H.C. Wainwright &amp; Co. LLC, relating to the sale of shares of our common stock having an agreement offering price of up to $11,431,713 from time to time through H.C. Wainwright &amp; Co. LLC. Any shares of our common stock sold will be issued pursuant to our shelf registration statement on Form S-3 (File No. 333-283512), which the SEC declared effective on December 6, 2024. However, our use of the shelf registration statement on Form S-3 will be limited for so long as we are subject to General Instruction I.B.6 of Form S-3, which limits the amounts that we</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may sell under the registration statement and in accordance with the ATM agreement. H.C. Wainwright &amp; Co. LLC will be entitled to compensation under the Sales Agreement at a commission rate equal to 3.0% of the gross sales price per share sold under the ATM Agreement, and we have provided H.C. Wainwright &amp; Co. LLC with indemnification and contribution rights. There was no activity under the ATM Agreement during either period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Total gross proceeds from the sale of securities in the Private Placement, before deducting commissions to the placement agent and estimated offering expenses, was approximately $16.1 million, which did not include any proceeds that may be received upon exercise of any warrants issued in the Private Placement. Both the Pre-Funded Warrants and the Private Placement Warrants were not exercisable until the Company obtained shareholder approval. On March 21, 2025, the Company obtained shareholder approval for the exercise of such warrants. The transaction closed on December 23,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sources of income, other than grant income, to provide incoming cash flows to sustain our future operations. As outlined above, our ability to pursue our long-term planned business activities is dependent upon our successful efforts to raise additional capital.</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critical accounting policies include grant income. The Company does not have any critical accounting estimates.</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respect to grant income, the Company recognizes grant income when qualifying costs are incurred for the amount the Company is entitled to under the provisions of the contract.</w:t>
      </w:r>
    </w:p>
    <w:p>
      <w:pPr>
        <w:spacing w:after="0" w:line="158"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28575</wp:posOffset>
            </wp:positionV>
            <wp:extent cx="6283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28575</wp:posOffset>
            </wp:positionV>
            <wp:extent cx="6283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the end of the period covered by this report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the end of the period covered by this report. Based on that evaluation, our principal executive officer and principal financial officer concluded that our disclosure controls and procedures are effective in recording, processing, summarizing, and reporting, on a timely basis, information required to be disclosed by us in the reports that we file or submit under the Exchange Act.</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Principal Financial and Accounting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fiscal quarter ended March 31, 2026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including those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2025, filed with the Securities and Exchange Commission on March 18, 2026. There have been no material changes to the risk factors described in that report.</w:t>
      </w:r>
    </w:p>
    <w:p>
      <w:pPr>
        <w:spacing w:after="0" w:line="179"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36830</wp:posOffset>
            </wp:positionV>
            <wp:extent cx="6283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record any issuances of unregistered securities during the three months ended March 31, 2026.</w:t>
      </w:r>
    </w:p>
    <w:p>
      <w:pPr>
        <w:spacing w:after="0" w:line="221"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28575</wp:posOffset>
            </wp:positionV>
            <wp:extent cx="6283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36830</wp:posOffset>
            </wp:positionV>
            <wp:extent cx="6283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50"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 and Officer Trading Plans and Arrangements</w:t>
      </w:r>
      <w:r>
        <w:rPr>
          <w:rFonts w:ascii="Times New Roman" w:cs="Times New Roman" w:eastAsia="Times New Roman" w:hAnsi="Times New Roman"/>
          <w:sz w:val="18"/>
          <w:szCs w:val="18"/>
          <w:color w:val="auto"/>
        </w:rPr>
        <w:t>. During the quarterly period ended March 31, 2026, no director or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adopted or terminated any contract, instruction or written plan for the purchase or sale of securities of the Company intended to satisfy the affirmative defense conditions of Rule 10b5-1(c) of the Exchange Act or any “non-Rule 10b5-1 trading arrangement” (as defined in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included with this Quarterly Report on Form 10-Q:</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20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07"/>
        </w:trPr>
        <w:tc>
          <w:tcPr>
            <w:tcW w:w="720" w:type="dxa"/>
            <w:vAlign w:val="bottom"/>
            <w:vMerge w:val="continue"/>
          </w:tcPr>
          <w:p>
            <w:pPr>
              <w:spacing w:after="0"/>
              <w:rPr>
                <w:sz w:val="9"/>
                <w:szCs w:val="9"/>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9"/>
                <w:szCs w:val="9"/>
                <w:color w:val="auto"/>
              </w:rPr>
            </w:pPr>
          </w:p>
        </w:tc>
        <w:tc>
          <w:tcPr>
            <w:tcW w:w="2680" w:type="dxa"/>
            <w:vAlign w:val="bottom"/>
            <w:gridSpan w:val="6"/>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Form</w:t>
            </w:r>
          </w:p>
        </w:tc>
        <w:tc>
          <w:tcPr>
            <w:tcW w:w="180" w:type="dxa"/>
            <w:vAlign w:val="bottom"/>
          </w:tcPr>
          <w:p>
            <w:pPr>
              <w:spacing w:after="0"/>
              <w:rPr>
                <w:sz w:val="9"/>
                <w:szCs w:val="9"/>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2680" w:type="dxa"/>
            <w:vAlign w:val="bottom"/>
            <w:gridSpan w:val="6"/>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85"/>
        </w:trPr>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2900" w:type="dxa"/>
            <w:vAlign w:val="bottom"/>
            <w:tcBorders>
              <w:top w:val="single" w:sz="8" w:color="auto"/>
              <w:bottom w:val="single" w:sz="8" w:color="0000EE"/>
            </w:tcBorders>
            <w:gridSpan w:val="5"/>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Certificate of Incorporation (Delaware).</w:t>
              </w:r>
            </w:hyperlink>
          </w:p>
        </w:tc>
        <w:tc>
          <w:tcPr>
            <w:tcW w:w="760" w:type="dxa"/>
            <w:vAlign w:val="bottom"/>
            <w:tcBorders>
              <w:top w:val="single" w:sz="8" w:color="auto"/>
            </w:tcBorders>
            <w:gridSpan w:val="2"/>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top w:val="single" w:sz="8" w:color="auto"/>
            </w:tcBorders>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center"/>
              <w:ind w:right="53"/>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4"/>
                <w:szCs w:val="24"/>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10/17/18</w:t>
            </w: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Certificate  of  Amendment  to  Certificate  of</w:t>
              </w:r>
            </w:hyperlink>
          </w:p>
        </w:tc>
        <w:tc>
          <w:tcPr>
            <w:tcW w:w="200" w:type="dxa"/>
            <w:vAlign w:val="bottom"/>
          </w:tcPr>
          <w:p>
            <w:pPr>
              <w:spacing w:after="0"/>
              <w:rPr>
                <w:sz w:val="24"/>
                <w:szCs w:val="24"/>
                <w:color w:val="auto"/>
              </w:rPr>
            </w:pPr>
          </w:p>
        </w:tc>
        <w:tc>
          <w:tcPr>
            <w:tcW w:w="6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5/27/2022</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gridSpan w:val="7"/>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Incorporation.</w:t>
              </w:r>
            </w:hyperlink>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Certificate  of  Amendment  to  Certificate  of</w:t>
              </w:r>
            </w:hyperlink>
          </w:p>
        </w:tc>
        <w:tc>
          <w:tcPr>
            <w:tcW w:w="200" w:type="dxa"/>
            <w:vAlign w:val="bottom"/>
          </w:tcPr>
          <w:p>
            <w:pPr>
              <w:spacing w:after="0"/>
              <w:rPr>
                <w:sz w:val="24"/>
                <w:szCs w:val="24"/>
                <w:color w:val="auto"/>
              </w:rPr>
            </w:pPr>
          </w:p>
        </w:tc>
        <w:tc>
          <w:tcPr>
            <w:tcW w:w="6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1/26/2023</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gridSpan w:val="7"/>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Incorporation</w:t>
              </w:r>
            </w:hyperlink>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Certificate  of  Amendment  to  Certificate  of</w:t>
              </w:r>
            </w:hyperlink>
          </w:p>
        </w:tc>
        <w:tc>
          <w:tcPr>
            <w:tcW w:w="200" w:type="dxa"/>
            <w:vAlign w:val="bottom"/>
          </w:tcPr>
          <w:p>
            <w:pPr>
              <w:spacing w:after="0"/>
              <w:rPr>
                <w:sz w:val="24"/>
                <w:szCs w:val="24"/>
                <w:color w:val="auto"/>
              </w:rPr>
            </w:pPr>
          </w:p>
        </w:tc>
        <w:tc>
          <w:tcPr>
            <w:tcW w:w="6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5/4/2026</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gridSpan w:val="7"/>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Incorporation</w:t>
              </w:r>
            </w:hyperlink>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26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Bylaws of Marker Therapeutics, Inc.</w:t>
              </w:r>
            </w:hyperlink>
          </w:p>
        </w:tc>
        <w:tc>
          <w:tcPr>
            <w:tcW w:w="100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to Rule 13a-14(a) or 15d-14(a) of the Securities</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amended.</w:t>
            </w:r>
          </w:p>
        </w:tc>
        <w:tc>
          <w:tcPr>
            <w:tcW w:w="106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6"/>
                <w:szCs w:val="26"/>
                <w:color w:val="auto"/>
                <w:vertAlign w:val="superscript"/>
              </w:rPr>
              <w:t>*</w:t>
            </w:r>
          </w:p>
        </w:tc>
        <w:tc>
          <w:tcPr>
            <w:tcW w:w="2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to 18 U.S.C. 1350 as adopted pursuant to Section</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906 of the Sarbanes-Oxley Act of 2002.</w:t>
            </w:r>
          </w:p>
        </w:tc>
        <w:tc>
          <w:tcPr>
            <w:tcW w:w="78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6"/>
                <w:szCs w:val="26"/>
                <w:color w:val="auto"/>
                <w:vertAlign w:val="superscript"/>
              </w:rPr>
              <w:t>*</w:t>
            </w:r>
          </w:p>
        </w:tc>
        <w:tc>
          <w:tcPr>
            <w:tcW w:w="20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to 18 U.S.C. 1350 as adopted pursuant to Section</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906 of the Sarbanes-Oxley Act of 2002.</w:t>
            </w:r>
          </w:p>
        </w:tc>
        <w:tc>
          <w:tcPr>
            <w:tcW w:w="78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 - XBRL Instance Document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 - XBRL Taxonomy Extension Presentation Linkbase Document</w:t>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 Cover Page Interactive Data File (formatted as Inline XBRL and contained in Exhibit 101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wp:posOffset>
            </wp:positionV>
            <wp:extent cx="15684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7" w:lineRule="exact"/>
        <w:rPr>
          <w:sz w:val="20"/>
          <w:szCs w:val="20"/>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180" w:lineRule="exact"/>
        <w:rPr>
          <w:sz w:val="20"/>
          <w:szCs w:val="20"/>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as to certain portions of this exhibit pursuant to Rule 406 of the Securities Act of 1933, as amended, or Rule 24b-2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18415</wp:posOffset>
            </wp:positionV>
            <wp:extent cx="28803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Juan Vera</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Chief Executive Officer and Treasurer (Principal</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Executive Officer and Principal Financial and Accounting</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Juan Vera,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Marker Therapeutics,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Juan Vera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Chief Executive Officer and Treasurer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Juan Vera, certify that:</w:t>
      </w:r>
    </w:p>
    <w:p>
      <w:pPr>
        <w:spacing w:after="0" w:line="22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Marker Therapeutics,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Juan Vera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Chief Executive Officer and Treasurer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Juan Vera, the Chief Executive Officer of Marker Therapeutics, Inc. (the “Company”) hereby certifies, pursuant to 18 U.S.C. Section 1350, as adopted pursuant to Section 906 of the Sarbanes-Oxley Act of 2002, that, to the best of his knowledge, the Quarterly Report on Form 10-Q for the period ended March 31, 2026,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18415</wp:posOffset>
            </wp:positionV>
            <wp:extent cx="28289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Juan Vera</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Chief Executive Officer and Treasurer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Juan Vera, the Principal Financial Officer of Marker Therapeutics, Inc. (the “Company”) hereby certifies, pursuant to 18 U.S.C. Section 1350, as adopted pursuant to Section 906 of the Sarbanes-Oxley Act of 2002, that, to the best of his knowledge, the Quarterly Report on Form 10-Q for the period ended March 31, 2026,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18415</wp:posOffset>
            </wp:positionV>
            <wp:extent cx="28289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Juan Vera</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Chief Executive Officer and Treasurer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50" Type="http://schemas.openxmlformats.org/officeDocument/2006/relationships/hyperlink" Target="https://www.sec.gov/Archives/edgar/data/1094038/000114420418054209/tv504951_ex3-4.htm" TargetMode="External"/><Relationship Id="rId51" Type="http://schemas.openxmlformats.org/officeDocument/2006/relationships/hyperlink" Target="https://www.sec.gov/Archives/edgar/data/1094038/000119312522162322/d480537dex31.htm" TargetMode="External"/><Relationship Id="rId52" Type="http://schemas.openxmlformats.org/officeDocument/2006/relationships/hyperlink" Target="https://www.sec.gov/Archives/edgar/data/1094038/000110465923007019/tm234466d1_ex3-1.htm" TargetMode="External"/><Relationship Id="rId53" Type="http://schemas.openxmlformats.org/officeDocument/2006/relationships/hyperlink" Target="https://www.sec.gov/Archives/edgar/data/1094038/000110465926054940/tm2613511d1_ex3-1.htm" TargetMode="External"/><Relationship Id="rId54" Type="http://schemas.openxmlformats.org/officeDocument/2006/relationships/hyperlink" Target="https://www.sec.gov/Archives/edgar/data/1094038/000114420418054209/tv504951_ex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2026-05-15T16:17:49Z</dcterms:created>
  <dcterms:modified xsi:type="dcterms:W3CDTF">2026-05-15T16:17:49Z</dcterms:modified>
</cp:coreProperties>
</file>