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13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SEC Form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4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4</w:t>
            </w:r>
          </w:p>
        </w:tc>
        <w:tc>
          <w:tcPr>
            <w:tcW w:w="6280" w:type="dxa"/>
            <w:vAlign w:val="bottom"/>
            <w:gridSpan w:val="2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00" w:type="dxa"/>
            <w:vAlign w:val="bottom"/>
            <w:gridSpan w:val="7"/>
            <w:vMerge w:val="restart"/>
          </w:tcPr>
          <w:p>
            <w:pPr>
              <w:jc w:val="center"/>
              <w:ind w:right="40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6280" w:type="dxa"/>
            <w:vAlign w:val="bottom"/>
            <w:gridSpan w:val="23"/>
            <w:vMerge w:val="restart"/>
          </w:tcPr>
          <w:p>
            <w:pPr>
              <w:jc w:val="center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80" w:type="dxa"/>
            <w:vAlign w:val="bottom"/>
            <w:gridSpan w:val="2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</w:p>
        </w:tc>
        <w:tc>
          <w:tcPr>
            <w:tcW w:w="5720" w:type="dxa"/>
            <w:vAlign w:val="bottom"/>
            <w:gridSpan w:val="22"/>
            <w:vMerge w:val="restart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Instruction 1(b).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720" w:type="dxa"/>
            <w:vAlign w:val="bottom"/>
            <w:gridSpan w:val="2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720" w:type="dxa"/>
            <w:vAlign w:val="bottom"/>
            <w:gridSpan w:val="2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60" w:type="dxa"/>
            <w:vAlign w:val="bottom"/>
            <w:gridSpan w:val="12"/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ind w:left="6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6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40" w:type="dxa"/>
            <w:vAlign w:val="bottom"/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Wilson John Robert</w:t>
              </w:r>
            </w:hyperlink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13"/>
          </w:tcPr>
          <w:p>
            <w:pPr>
              <w:spacing w:after="0" w:line="106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Marker Therapeutics,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MRKR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ind w:left="2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160" w:type="dxa"/>
            <w:vAlign w:val="bottom"/>
            <w:gridSpan w:val="5"/>
            <w:vMerge w:val="restart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6"/>
            <w:vMerge w:val="restart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gridSpan w:val="1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6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12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06/06/2023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MARKER THERAPEUTICS, INC.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00" w:type="dxa"/>
            <w:vAlign w:val="bottom"/>
            <w:gridSpan w:val="13"/>
            <w:vMerge w:val="restart"/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340" w:type="dxa"/>
            <w:vAlign w:val="bottom"/>
            <w:gridSpan w:val="1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0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340" w:type="dxa"/>
            <w:vAlign w:val="bottom"/>
            <w:gridSpan w:val="1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4551 KENNEDY COMMERCE DRIVE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14"/>
          </w:tcPr>
          <w:p>
            <w:pPr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gridSpan w:val="1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80" w:type="dxa"/>
            <w:vAlign w:val="bottom"/>
            <w:gridSpan w:val="3"/>
            <w:vMerge w:val="restart"/>
          </w:tcPr>
          <w:p>
            <w:pPr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60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77032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00" w:type="dxa"/>
            <w:vAlign w:val="bottom"/>
            <w:gridSpan w:val="1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  <w:w w:val="99"/>
              </w:rPr>
              <w:t>Rule 10b5-1(c) Transaction Indication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0" w:type="dxa"/>
            <w:vAlign w:val="bottom"/>
            <w:gridSpan w:val="28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to indicate that a transaction was made pursuant to a contract, instruction or written plan that is intended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0" w:type="dxa"/>
            <w:vAlign w:val="bottom"/>
            <w:gridSpan w:val="2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20" w:type="dxa"/>
            <w:vAlign w:val="bottom"/>
            <w:gridSpan w:val="17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satisfy the affirmative defense conditions of Rule 10b5-1(c). See Instruction 10.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28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8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8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2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6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40" w:type="dxa"/>
            <w:vAlign w:val="bottom"/>
            <w:gridSpan w:val="6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5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of (D)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5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5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5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5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1.72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06/06/2023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8,000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06/05/2033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8,000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760" w:type="dxa"/>
            <w:vAlign w:val="bottom"/>
            <w:gridSpan w:val="2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1"/>
              </w:rPr>
              <w:t>1. This option vests on June 6, 2024, subject to the Reporting Person's continued service as a director through the vesting date.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Michael Loiacono,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06/08/2023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Attorney-in-Fact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60" w:type="dxa"/>
            <w:vAlign w:val="bottom"/>
            <w:gridSpan w:val="2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6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-8890</wp:posOffset>
            </wp:positionH>
            <wp:positionV relativeFrom="paragraph">
              <wp:posOffset>-6985000</wp:posOffset>
            </wp:positionV>
            <wp:extent cx="7045325" cy="58635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325" cy="5863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jc w:val="both"/>
        <w:ind w:left="40" w:right="3440" w:firstLine="5"/>
        <w:spacing w:after="0" w:line="315" w:lineRule="auto"/>
        <w:tabs>
          <w:tab w:leader="none" w:pos="17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3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755569" TargetMode="External"/><Relationship Id="rId9" Type="http://schemas.openxmlformats.org/officeDocument/2006/relationships/hyperlink" Target="http://www.sec.gov/cgi-bin/browse-edgar?action=getcompany&amp;CIK=00010940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2023-06-08T20:40:31Z</dcterms:created>
  <dcterms:modified xsi:type="dcterms:W3CDTF">2023-06-08T20:40:31Z</dcterms:modified>
</cp:coreProperties>
</file>