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8-K/A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October 16,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2600" w:type="dxa"/>
            <w:vAlign w:val="bottom"/>
            <w:gridSpan w:val="4"/>
          </w:tcPr>
          <w:p>
            <w:pPr>
              <w:jc w:val="center"/>
              <w:ind w:left="1410"/>
              <w:spacing w:after="0"/>
              <w:rPr>
                <w:sz w:val="20"/>
                <w:szCs w:val="20"/>
                <w:color w:val="auto"/>
              </w:rPr>
            </w:pPr>
            <w:r>
              <w:rPr>
                <w:rFonts w:ascii="Arial" w:cs="Arial" w:eastAsia="Arial" w:hAnsi="Arial"/>
                <w:sz w:val="18"/>
                <w:szCs w:val="18"/>
                <w:b w:val="1"/>
                <w:bCs w:val="1"/>
                <w:color w:val="auto"/>
                <w:w w:val="90"/>
              </w:rPr>
              <w:t>001-37939</w:t>
            </w:r>
          </w:p>
        </w:tc>
        <w:tc>
          <w:tcPr>
            <w:tcW w:w="1660" w:type="dxa"/>
            <w:vAlign w:val="bottom"/>
          </w:tcPr>
          <w:p>
            <w:pPr>
              <w:spacing w:after="0"/>
              <w:rPr>
                <w:sz w:val="17"/>
                <w:szCs w:val="17"/>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5"/>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5 West Forsyth Street</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3"/>
          </w:tcPr>
          <w:p>
            <w:pPr>
              <w:jc w:val="center"/>
              <w:ind w:right="1420"/>
              <w:spacing w:after="0"/>
              <w:rPr>
                <w:sz w:val="20"/>
                <w:szCs w:val="20"/>
                <w:color w:val="auto"/>
              </w:rPr>
            </w:pPr>
            <w:r>
              <w:rPr>
                <w:rFonts w:ascii="Arial" w:cs="Arial" w:eastAsia="Arial" w:hAnsi="Arial"/>
                <w:sz w:val="18"/>
                <w:szCs w:val="18"/>
                <w:b w:val="1"/>
                <w:bCs w:val="1"/>
                <w:color w:val="auto"/>
                <w:w w:val="88"/>
              </w:rPr>
              <w:t>Suite 200</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40" w:type="dxa"/>
            <w:vAlign w:val="bottom"/>
          </w:tcPr>
          <w:p>
            <w:pPr>
              <w:spacing w:after="0"/>
              <w:rPr>
                <w:sz w:val="16"/>
                <w:szCs w:val="16"/>
                <w:color w:val="auto"/>
              </w:rPr>
            </w:pPr>
          </w:p>
        </w:tc>
        <w:tc>
          <w:tcPr>
            <w:tcW w:w="12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90"/>
              </w:rPr>
              <w:t>Jacksonville, FL</w:t>
            </w:r>
          </w:p>
        </w:tc>
        <w:tc>
          <w:tcPr>
            <w:tcW w:w="1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4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32202</w:t>
            </w:r>
          </w:p>
        </w:tc>
        <w:tc>
          <w:tcPr>
            <w:tcW w:w="800" w:type="dxa"/>
            <w:vAlign w:val="bottom"/>
          </w:tcPr>
          <w:p>
            <w:pPr>
              <w:spacing w:after="0"/>
              <w:rPr>
                <w:sz w:val="16"/>
                <w:szCs w:val="16"/>
                <w:color w:val="auto"/>
              </w:rPr>
            </w:pPr>
          </w:p>
        </w:tc>
      </w:tr>
      <w:tr>
        <w:trPr>
          <w:trHeight w:val="20"/>
        </w:trPr>
        <w:tc>
          <w:tcPr>
            <w:tcW w:w="33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392"/>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gridSpan w:val="4"/>
          </w:tcPr>
          <w:p>
            <w:pPr>
              <w:jc w:val="center"/>
              <w:ind w:left="1390"/>
              <w:spacing w:after="0"/>
              <w:rPr>
                <w:sz w:val="20"/>
                <w:szCs w:val="20"/>
                <w:color w:val="auto"/>
              </w:rPr>
            </w:pPr>
            <w:r>
              <w:rPr>
                <w:rFonts w:ascii="Arial" w:cs="Arial" w:eastAsia="Arial" w:hAnsi="Arial"/>
                <w:sz w:val="18"/>
                <w:szCs w:val="18"/>
                <w:b w:val="1"/>
                <w:bCs w:val="1"/>
                <w:color w:val="auto"/>
                <w:w w:val="90"/>
              </w:rPr>
              <w:t>(904) 516-5436</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60" w:type="dxa"/>
            <w:vAlign w:val="bottom"/>
            <w:gridSpan w:val="5"/>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firstLine="45"/>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On October 17, 2018, Marker Therapeutics, Inc. formerly known as TapImmune Inc., (“Marker” or the “Company”), completed its business combination with Marker Cell Therapy, Inc. (formerly Marker Therapeutics, Inc.), a privately-held Delaware corporation (“Marker Cell”) dedicated to the development of adoptive non-gene modified T cell therapies for the treatment of hematologic malignancies and solid tumors, in accordance with the terms of an Agreement and Plan of Merger and Reorganization, dated as of May 15, 2018 (the “Merger Agreement”), by and among the Company, Timberwolf Merger Sub, Inc., a Delaware corporation and wholly owned subsidiary of the Company (“Merger Sub”), and Marker Cell. On October 17, 2018, pursuant to the Merger Agreement, Merger Sub was merged with and into Marker Cell (the “Merger”), with Marker Cell being the surviving corporation and becoming a wholly owned subsidiary of the Company. In connection with the Merger, the Company changed its name to Marker Therapeutics, Inc., and Marker Cell changed its name to Marker Cell Therapy, Inc. The name change and merger were both affected on October 17, 2018. Shares of the Company’s common stock commenced trading on The Nasdaq Capital Market under the new ticker symbol “MRKR” as of market open on October 18, 2018.</w:t>
      </w:r>
    </w:p>
    <w:p>
      <w:pPr>
        <w:spacing w:after="0" w:line="16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On October 17, 2018, the Company filed a Current Report on Form 8-K (the Original Form 8-K) reporting, among other items, the consummation of the Merger.</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This Amendment No. 1 to Current Report on Form 8-K amends the Original Form 8-K to provide (i) the historical audited consolidated financial statements of Marker Cell as of and for the year ended December 31, 2017, (ii) unaudited financial statements of Marker Cell for six months ended June 30, 2018; and (iii) the unaudited pro forma condensed combined statements of income for the year ended December 31, 2017, and unaudited pro forma condensed combined balance sheet as of December 31, 2017, as required by Items 9.01(a) and 9.01(b) of Current Report on Form 8-K, respectively. Such financial information was excluded from the Original Form 8-K in reliance on the instructions to such Items. On October 25, 2018, the Securities and Exchange Commission (the “SEC”) pursuant to its authority under Rule 3-13 of Regulation S-X granted the Company a waiver from the requirements to file certain Item 9.01 Information called for in such Original Form 8-K for the Marker transaction that was otherwise required under Rule 8.04 of Regulation S-X. The Company had submitted such request for a waiver from the requirements of Rule 8.04 of Regulation S-X for filing Marker Cell’s 2016 audited financial statements because (among other things) it believed the 2016 audited financials of Marker Cell would not be meaningful to investors as a result of the lack of operations and revenue in 2016.</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The audited consolidated financial statements of Marker Cell Therapy Inc. as of and for the year ended December 31, 2017 are filed herewith as Exhibit 99.1 and are incorporated herein by reference. The unaudited consolidated financial statements of Marker Cell Therapy, Inc. (formerly Marker Therapeutics, Inc.) as of the six months ended June 30, 2018 are filed herewith as Exhibit 99.2 and are incorporated herein by reference.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The unaudited pro forma condensed combined statements for the year ended December 31, 2017, and unaudited pro forma condensed combined balance sheet as of December 31, 2017, each giving effect to the Merger, are filed as Exhibit 99.3 to this Current Report on Form 8-K and are incorporated herein by reference.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Number</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17145</wp:posOffset>
            </wp:positionV>
            <wp:extent cx="6800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223"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Consent of Marcum LLP</w:t>
        </w:r>
      </w:hyperlink>
    </w:p>
    <w:p>
      <w:pPr>
        <w:spacing w:after="0" w:line="225"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Audited Financial Statements of Marker Cell Therapy Inc. (formerly Marker Therapeutics, Inc.), as of and for the year ended December 31, 2017.</w:t>
        </w:r>
      </w:hyperlink>
    </w:p>
    <w:p>
      <w:pPr>
        <w:spacing w:after="0" w:line="225"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Unaudited Financial Statements of Marker Cell Therapy Inc. (formerly Marker Therapeutics, Inc.) for Six Months ended June 30, 2018.</w:t>
        </w:r>
      </w:hyperlink>
    </w:p>
    <w:p>
      <w:pPr>
        <w:spacing w:after="0" w:line="225" w:lineRule="exact"/>
        <w:rPr>
          <w:sz w:val="20"/>
          <w:szCs w:val="20"/>
          <w:color w:val="auto"/>
        </w:rPr>
      </w:pPr>
    </w:p>
    <w:p>
      <w:pPr>
        <w:ind w:left="720" w:right="80" w:hanging="701"/>
        <w:spacing w:after="0" w:line="277" w:lineRule="auto"/>
        <w:tabs>
          <w:tab w:leader="none" w:pos="700" w:val="left"/>
        </w:tabs>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99.3</w:t>
        </w:r>
      </w:hyperlink>
      <w:r>
        <w:rPr>
          <w:rFonts w:ascii="Arial" w:cs="Arial" w:eastAsia="Arial" w:hAnsi="Arial"/>
          <w:sz w:val="18"/>
          <w:szCs w:val="18"/>
          <w:u w:val="single" w:color="auto"/>
          <w:color w:val="0000EE"/>
        </w:rPr>
        <w:tab/>
      </w:r>
      <w:hyperlink w:anchor="page30">
        <w:r>
          <w:rPr>
            <w:rFonts w:ascii="Arial" w:cs="Arial" w:eastAsia="Arial" w:hAnsi="Arial"/>
            <w:sz w:val="18"/>
            <w:szCs w:val="18"/>
            <w:u w:val="single" w:color="auto"/>
            <w:color w:val="0000EE"/>
          </w:rPr>
          <w:t>Unaudited Pro Forma Condensed Consolidated Financial Statement of the Company and Marker Cell Therapy Inc. (formerly Marker Therapeutics,</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Inc.) as of and for the year ended December 31,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5940" w:type="dxa"/>
            <w:vAlign w:val="bottom"/>
            <w:gridSpan w:val="2"/>
          </w:tcPr>
          <w:p>
            <w:pPr>
              <w:ind w:left="1940"/>
              <w:spacing w:after="0"/>
              <w:rPr>
                <w:sz w:val="20"/>
                <w:szCs w:val="20"/>
                <w:color w:val="auto"/>
              </w:rPr>
            </w:pPr>
            <w:r>
              <w:rPr>
                <w:rFonts w:ascii="Arial" w:cs="Arial" w:eastAsia="Arial" w:hAnsi="Arial"/>
                <w:sz w:val="18"/>
                <w:szCs w:val="18"/>
                <w:b w:val="1"/>
                <w:bCs w:val="1"/>
                <w:color w:val="auto"/>
              </w:rPr>
              <w:t>MARKER THERAPEUTICS, INC.</w:t>
            </w:r>
          </w:p>
        </w:tc>
        <w:tc>
          <w:tcPr>
            <w:tcW w:w="1700" w:type="dxa"/>
            <w:vAlign w:val="bottom"/>
          </w:tcPr>
          <w:p>
            <w:pPr>
              <w:spacing w:after="0"/>
              <w:rPr>
                <w:sz w:val="20"/>
                <w:szCs w:val="20"/>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b w:val="1"/>
                <w:bCs w:val="1"/>
                <w:color w:val="auto"/>
              </w:rPr>
              <w:t>Date: October 26, 2018</w:t>
            </w: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Loiacono</w:t>
            </w:r>
          </w:p>
        </w:tc>
        <w:tc>
          <w:tcPr>
            <w:tcW w:w="170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62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3320" w:type="dxa"/>
            <w:vAlign w:val="bottom"/>
          </w:tcPr>
          <w:p>
            <w:pPr>
              <w:spacing w:after="0" w:line="195" w:lineRule="exact"/>
              <w:rPr>
                <w:sz w:val="20"/>
                <w:szCs w:val="20"/>
                <w:color w:val="auto"/>
              </w:rPr>
            </w:pPr>
            <w:r>
              <w:rPr>
                <w:rFonts w:ascii="Arial" w:cs="Arial" w:eastAsia="Arial" w:hAnsi="Arial"/>
                <w:sz w:val="18"/>
                <w:szCs w:val="18"/>
                <w:color w:val="auto"/>
              </w:rPr>
              <w:t>Michael Loiacono</w:t>
            </w:r>
          </w:p>
        </w:tc>
        <w:tc>
          <w:tcPr>
            <w:tcW w:w="170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0"/>
                <w:szCs w:val="20"/>
                <w:color w:val="auto"/>
              </w:rPr>
            </w:pPr>
          </w:p>
        </w:tc>
      </w:tr>
      <w:tr>
        <w:trPr>
          <w:trHeight w:val="1756"/>
        </w:trPr>
        <w:tc>
          <w:tcPr>
            <w:tcW w:w="37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 Nos. 333-220538 and 333-215258 on Form S-3, as well as Registration Statement No. 333-223900, on Form S-8, of our report dated September 7, 2018, which included an explanatory paragraph as to the Company’s ability to continue as a going concern, with respect to our audits of the consolidated financial statements of Marker Cell Therapy, Inc. (formerly known as Marker Therapeutics, Inc.) and subsidiaries as of December 31, 2017 and for the year then, which report appears in the amended Form 8-K of Marker Therapeutics,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360" w:type="dxa"/>
            <w:vAlign w:val="bottom"/>
          </w:tcPr>
          <w:p>
            <w:pPr>
              <w:ind w:left="4340"/>
              <w:spacing w:after="0"/>
              <w:rPr>
                <w:sz w:val="20"/>
                <w:szCs w:val="20"/>
                <w:color w:val="auto"/>
              </w:rPr>
            </w:pPr>
            <w:r>
              <w:rPr>
                <w:rFonts w:ascii="Arial" w:cs="Arial" w:eastAsia="Arial" w:hAnsi="Arial"/>
                <w:sz w:val="18"/>
                <w:szCs w:val="18"/>
                <w:b w:val="1"/>
                <w:bCs w:val="1"/>
                <w:color w:val="auto"/>
              </w:rPr>
              <w:t>MARKER THERAPEUTICS, INC.</w:t>
            </w:r>
          </w:p>
        </w:tc>
        <w:tc>
          <w:tcPr>
            <w:tcW w:w="2060" w:type="dxa"/>
            <w:vAlign w:val="bottom"/>
          </w:tcPr>
          <w:p>
            <w:pPr>
              <w:spacing w:after="0"/>
              <w:rPr>
                <w:sz w:val="20"/>
                <w:szCs w:val="20"/>
                <w:color w:val="auto"/>
              </w:rPr>
            </w:pPr>
          </w:p>
        </w:tc>
      </w:tr>
      <w:tr>
        <w:trPr>
          <w:trHeight w:val="439"/>
        </w:trPr>
        <w:tc>
          <w:tcPr>
            <w:tcW w:w="936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Page</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20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Balance Sheet as of December 31, 2017</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Statement of Operations for the year ended December 31, 2017</w:t>
            </w: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Statement of Stockholders’ Equity for the year ended December 31, 2017</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Statement of Cash Flows for the year ended December 31, 2017</w:t>
            </w:r>
          </w:p>
        </w:tc>
        <w:tc>
          <w:tcPr>
            <w:tcW w:w="2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Notes to Financial Statements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 14</w:t>
            </w:r>
          </w:p>
        </w:tc>
      </w:tr>
      <w:tr>
        <w:trPr>
          <w:trHeight w:val="648"/>
        </w:trPr>
        <w:tc>
          <w:tcPr>
            <w:tcW w:w="936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2</w:t>
            </w: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We have audited the accompanying balance sheets of Marker Therapeutics, Inc </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as of December 31, 2017, the related statements of operations, stockholders’ equity and cash flow for the year in the period ended December 31, 2017, and the related notes (collectively referred to as the “financial statements”). In our opinion, the financial statements present fairly, in all material respects, the financial position of the Company as of December 31, 2017, and the results of its operations and its cash flow for the year in the period ended December 31, 2017,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ind w:left="1500"/>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Accounts payable to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60" w:hanging="145"/>
        <w:spacing w:after="0" w:line="250" w:lineRule="auto"/>
        <w:rPr>
          <w:sz w:val="20"/>
          <w:szCs w:val="20"/>
          <w:color w:val="auto"/>
        </w:rPr>
      </w:pPr>
      <w:r>
        <w:rPr>
          <w:rFonts w:ascii="Arial" w:cs="Arial" w:eastAsia="Arial" w:hAnsi="Arial"/>
          <w:sz w:val="18"/>
          <w:szCs w:val="18"/>
          <w:color w:val="auto"/>
        </w:rPr>
        <w:t>Preferred stock, $0.0001 par value; 10,000,000 shares authorized of which 8,500,000 have been designated as Series A Preferred Stock; 0 shares issued and outstanding as of December 31,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Common stock, $0.0001 par value; 23,222,224 shares authorized; 10,000,002 shares issued and outstanding as of December 31,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deficit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2017</w:t>
      </w:r>
    </w:p>
    <w:p>
      <w:pPr>
        <w:spacing w:after="0" w:line="200" w:lineRule="exact"/>
        <w:rPr>
          <w:sz w:val="20"/>
          <w:szCs w:val="20"/>
          <w:color w:val="auto"/>
        </w:rPr>
      </w:pPr>
    </w:p>
    <w:p>
      <w:pPr>
        <w:spacing w:after="0" w:line="254" w:lineRule="exact"/>
        <w:rPr>
          <w:sz w:val="20"/>
          <w:szCs w:val="20"/>
          <w:color w:val="auto"/>
        </w:rPr>
      </w:pPr>
    </w:p>
    <w:p>
      <w:pPr>
        <w:ind w:left="760" w:hanging="751"/>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85,059</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85,059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7886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1" w:lineRule="exact"/>
        <w:rPr>
          <w:sz w:val="20"/>
          <w:szCs w:val="20"/>
          <w:color w:val="auto"/>
        </w:rPr>
      </w:pPr>
    </w:p>
    <w:p>
      <w:pPr>
        <w:ind w:left="760" w:hanging="751"/>
        <w:spacing w:after="0"/>
        <w:tabs>
          <w:tab w:leader="none" w:pos="7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85,059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886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980" w:hanging="971"/>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335</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335</w:t>
      </w:r>
    </w:p>
    <w:p>
      <w:pPr>
        <w:spacing w:after="0" w:line="2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7886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1,000</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374,000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(290,276)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84,724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886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1" w:lineRule="exact"/>
        <w:rPr>
          <w:sz w:val="20"/>
          <w:szCs w:val="20"/>
          <w:color w:val="auto"/>
        </w:rPr>
      </w:pPr>
    </w:p>
    <w:p>
      <w:pPr>
        <w:ind w:left="760" w:hanging="751"/>
        <w:spacing w:after="0"/>
        <w:tabs>
          <w:tab w:leader="none" w:pos="7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85,059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886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7886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20" w:space="140"/>
            <w:col w:w="1320"/>
          </w:cols>
          <w:pgMar w:left="240" w:top="904" w:right="279" w:bottom="1440" w:gutter="0" w:footer="0" w:header="0"/>
        </w:sectPr>
      </w:pP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580" w:type="dxa"/>
            <w:vAlign w:val="bottom"/>
          </w:tcPr>
          <w:p>
            <w:pPr>
              <w:ind w:left="4340"/>
              <w:spacing w:after="0"/>
              <w:rPr>
                <w:sz w:val="20"/>
                <w:szCs w:val="20"/>
                <w:color w:val="auto"/>
              </w:rPr>
            </w:pPr>
            <w:r>
              <w:rPr>
                <w:rFonts w:ascii="Arial" w:cs="Arial" w:eastAsia="Arial" w:hAnsi="Arial"/>
                <w:sz w:val="18"/>
                <w:szCs w:val="18"/>
                <w:b w:val="1"/>
                <w:bCs w:val="1"/>
                <w:color w:val="auto"/>
              </w:rPr>
              <w:t>MARKER THERAPEUTICS, INC.</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80" w:type="dxa"/>
            <w:vAlign w:val="bottom"/>
          </w:tcPr>
          <w:p>
            <w:pPr>
              <w:ind w:left="4400"/>
              <w:spacing w:after="0"/>
              <w:rPr>
                <w:sz w:val="20"/>
                <w:szCs w:val="20"/>
                <w:color w:val="auto"/>
              </w:rPr>
            </w:pPr>
            <w:r>
              <w:rPr>
                <w:rFonts w:ascii="Arial" w:cs="Arial" w:eastAsia="Arial" w:hAnsi="Arial"/>
                <w:sz w:val="18"/>
                <w:szCs w:val="18"/>
                <w:b w:val="1"/>
                <w:bCs w:val="1"/>
                <w:color w:val="auto"/>
              </w:rPr>
              <w:t>STATEMENT OF OPERATIONS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58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54,392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277,402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(277,402</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(277,402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85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share, basic and diluted</w:t>
            </w: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5,863,015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6"/>
            <w:vMerge w:val="restart"/>
          </w:tcPr>
          <w:p>
            <w:pPr>
              <w:ind w:left="600"/>
              <w:spacing w:after="0"/>
              <w:rPr>
                <w:sz w:val="20"/>
                <w:szCs w:val="20"/>
                <w:color w:val="auto"/>
              </w:rPr>
            </w:pPr>
            <w:r>
              <w:rPr>
                <w:rFonts w:ascii="Arial" w:cs="Arial" w:eastAsia="Arial" w:hAnsi="Arial"/>
                <w:sz w:val="14"/>
                <w:szCs w:val="14"/>
                <w:b w:val="1"/>
                <w:bCs w:val="1"/>
                <w:color w:val="auto"/>
              </w:rPr>
              <w:t>Member Units</w:t>
            </w:r>
          </w:p>
        </w:tc>
        <w:tc>
          <w:tcPr>
            <w:tcW w:w="230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Series A preferred stock</w:t>
            </w:r>
          </w:p>
        </w:tc>
        <w:tc>
          <w:tcPr>
            <w:tcW w:w="2240" w:type="dxa"/>
            <w:vAlign w:val="bottom"/>
            <w:gridSpan w:val="6"/>
            <w:vMerge w:val="restart"/>
          </w:tcPr>
          <w:p>
            <w:pPr>
              <w:jc w:val="right"/>
              <w:ind w:right="7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340" w:type="dxa"/>
            <w:vAlign w:val="bottom"/>
            <w:gridSpan w:val="6"/>
            <w:vMerge w:val="continue"/>
          </w:tcPr>
          <w:p>
            <w:pPr>
              <w:spacing w:after="0"/>
              <w:rPr>
                <w:sz w:val="14"/>
                <w:szCs w:val="14"/>
                <w:color w:val="auto"/>
              </w:rPr>
            </w:pPr>
          </w:p>
        </w:tc>
        <w:tc>
          <w:tcPr>
            <w:tcW w:w="2300" w:type="dxa"/>
            <w:vAlign w:val="bottom"/>
            <w:gridSpan w:val="5"/>
            <w:vMerge w:val="continue"/>
          </w:tcPr>
          <w:p>
            <w:pPr>
              <w:spacing w:after="0"/>
              <w:rPr>
                <w:sz w:val="14"/>
                <w:szCs w:val="14"/>
                <w:color w:val="auto"/>
              </w:rPr>
            </w:pPr>
          </w:p>
        </w:tc>
        <w:tc>
          <w:tcPr>
            <w:tcW w:w="22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128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28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as of</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10,000,002</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10,000</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(12,874)</w:t>
            </w:r>
          </w:p>
        </w:tc>
        <w:tc>
          <w:tcPr>
            <w:tcW w:w="2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(2,874)</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January 1, 2017</w:t>
            </w:r>
          </w:p>
        </w:tc>
        <w:tc>
          <w:tcPr>
            <w:tcW w:w="108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180"/>
              <w:spacing w:after="0" w:line="149" w:lineRule="exact"/>
              <w:rPr>
                <w:sz w:val="20"/>
                <w:szCs w:val="20"/>
                <w:color w:val="auto"/>
              </w:rPr>
            </w:pPr>
            <w:r>
              <w:rPr>
                <w:rFonts w:ascii="Arial" w:cs="Arial" w:eastAsia="Arial" w:hAnsi="Arial"/>
                <w:sz w:val="14"/>
                <w:szCs w:val="14"/>
                <w:color w:val="auto"/>
              </w:rPr>
              <w:t>Series A</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180"/>
              <w:spacing w:after="0" w:line="149" w:lineRule="exact"/>
              <w:rPr>
                <w:sz w:val="20"/>
                <w:szCs w:val="20"/>
                <w:color w:val="auto"/>
              </w:rPr>
            </w:pPr>
            <w:r>
              <w:rPr>
                <w:rFonts w:ascii="Arial" w:cs="Arial" w:eastAsia="Arial" w:hAnsi="Arial"/>
                <w:sz w:val="14"/>
                <w:szCs w:val="14"/>
                <w:color w:val="auto"/>
              </w:rPr>
              <w:t>preferred stock</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tcPr>
          <w:p>
            <w:pPr>
              <w:ind w:left="180"/>
              <w:spacing w:after="0"/>
              <w:rPr>
                <w:sz w:val="20"/>
                <w:szCs w:val="20"/>
                <w:color w:val="auto"/>
              </w:rPr>
            </w:pPr>
            <w:r>
              <w:rPr>
                <w:rFonts w:ascii="Arial" w:cs="Arial" w:eastAsia="Arial" w:hAnsi="Arial"/>
                <w:sz w:val="14"/>
                <w:szCs w:val="14"/>
                <w:color w:val="auto"/>
              </w:rPr>
              <w:t>for cash</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1,500</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2,998,500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30"/>
        </w:trPr>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of</w:t>
            </w: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Series A</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(1,500,000)</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(2,623,500)</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(2,625,000)</w:t>
            </w: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Capital distribution</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30"/>
        </w:trPr>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from</w:t>
            </w: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LLC to</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Corporation</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(10,000,002)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10,000,002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(277,402)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(277,402)</w:t>
            </w:r>
          </w:p>
        </w:tc>
        <w:tc>
          <w:tcPr>
            <w:tcW w:w="0" w:type="dxa"/>
            <w:vAlign w:val="bottom"/>
          </w:tcPr>
          <w:p>
            <w:pPr>
              <w:spacing w:after="0"/>
              <w:rPr>
                <w:sz w:val="1"/>
                <w:szCs w:val="1"/>
                <w:color w:val="auto"/>
              </w:rPr>
            </w:pPr>
          </w:p>
        </w:tc>
      </w:tr>
      <w:tr>
        <w:trPr>
          <w:trHeight w:val="126"/>
        </w:trPr>
        <w:tc>
          <w:tcPr>
            <w:tcW w:w="12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as of</w:t>
            </w: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December 31,</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2017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10,000,002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374,000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2"/>
                <w:szCs w:val="12"/>
                <w:b w:val="1"/>
                <w:bCs w:val="1"/>
                <w:color w:val="auto"/>
              </w:rPr>
              <w:t>(290,276</w:t>
            </w:r>
            <w:r>
              <w:rPr>
                <w:rFonts w:ascii="Arial" w:cs="Arial" w:eastAsia="Arial" w:hAnsi="Arial"/>
                <w:sz w:val="22"/>
                <w:szCs w:val="22"/>
                <w:b w:val="1"/>
                <w:bCs w:val="1"/>
                <w:color w:val="auto"/>
                <w:vertAlign w:val="superscript"/>
              </w:rPr>
              <w:t>)</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84,724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0060" w:type="dxa"/>
            <w:vAlign w:val="bottom"/>
          </w:tcPr>
          <w:p>
            <w:pPr>
              <w:ind w:left="4340"/>
              <w:spacing w:after="0"/>
              <w:rPr>
                <w:sz w:val="20"/>
                <w:szCs w:val="20"/>
                <w:color w:val="auto"/>
              </w:rPr>
            </w:pPr>
            <w:r>
              <w:rPr>
                <w:rFonts w:ascii="Arial" w:cs="Arial" w:eastAsia="Arial" w:hAnsi="Arial"/>
                <w:sz w:val="18"/>
                <w:szCs w:val="18"/>
                <w:b w:val="1"/>
                <w:bCs w:val="1"/>
                <w:color w:val="auto"/>
              </w:rPr>
              <w:t>MARKER THERAPEUTICS, INC.</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60" w:type="dxa"/>
            <w:vAlign w:val="bottom"/>
          </w:tcPr>
          <w:p>
            <w:pPr>
              <w:ind w:left="4400"/>
              <w:spacing w:after="0"/>
              <w:rPr>
                <w:sz w:val="20"/>
                <w:szCs w:val="20"/>
                <w:color w:val="auto"/>
              </w:rPr>
            </w:pPr>
            <w:r>
              <w:rPr>
                <w:rFonts w:ascii="Arial" w:cs="Arial" w:eastAsia="Arial" w:hAnsi="Arial"/>
                <w:sz w:val="18"/>
                <w:szCs w:val="18"/>
                <w:b w:val="1"/>
                <w:bCs w:val="1"/>
                <w:color w:val="auto"/>
              </w:rPr>
              <w:t>STATEMENT OF CASH FLOWS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0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10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0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(277,402)</w:t>
            </w:r>
          </w:p>
        </w:tc>
      </w:tr>
      <w:tr>
        <w:trPr>
          <w:trHeight w:val="216"/>
        </w:trPr>
        <w:tc>
          <w:tcPr>
            <w:tcW w:w="10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cash resulting from changes in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5,356</w:t>
            </w:r>
          </w:p>
        </w:tc>
        <w:tc>
          <w:tcPr>
            <w:tcW w:w="80" w:type="dxa"/>
            <w:vAlign w:val="bottom"/>
          </w:tcPr>
          <w:p>
            <w:pPr>
              <w:spacing w:after="0"/>
              <w:rPr>
                <w:sz w:val="18"/>
                <w:szCs w:val="18"/>
                <w:color w:val="auto"/>
              </w:rPr>
            </w:pPr>
          </w:p>
        </w:tc>
      </w:tr>
      <w:tr>
        <w:trPr>
          <w:trHeight w:val="230"/>
        </w:trPr>
        <w:tc>
          <w:tcPr>
            <w:tcW w:w="10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(18,902)</w:t>
            </w:r>
          </w:p>
        </w:tc>
      </w:tr>
      <w:tr>
        <w:trPr>
          <w:trHeight w:val="210"/>
        </w:trPr>
        <w:tc>
          <w:tcPr>
            <w:tcW w:w="100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(290,948)</w:t>
            </w:r>
          </w:p>
        </w:tc>
        <w:tc>
          <w:tcPr>
            <w:tcW w:w="100" w:type="dxa"/>
            <w:vAlign w:val="bottom"/>
            <w:gridSpan w:val="2"/>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ind w:left="160"/>
              <w:spacing w:after="0"/>
              <w:rPr>
                <w:sz w:val="20"/>
                <w:szCs w:val="20"/>
                <w:color w:val="auto"/>
              </w:rPr>
            </w:pPr>
            <w:r>
              <w:rPr>
                <w:rFonts w:ascii="Arial" w:cs="Arial" w:eastAsia="Arial" w:hAnsi="Arial"/>
                <w:sz w:val="18"/>
                <w:szCs w:val="18"/>
                <w:color w:val="auto"/>
              </w:rPr>
              <w:t>Proceeds from issuance of Series A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8"/>
                <w:szCs w:val="18"/>
                <w:color w:val="auto"/>
              </w:rPr>
            </w:pPr>
          </w:p>
        </w:tc>
      </w:tr>
      <w:tr>
        <w:trPr>
          <w:trHeight w:val="216"/>
        </w:trPr>
        <w:tc>
          <w:tcPr>
            <w:tcW w:w="10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Series A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(2,625,000)</w:t>
            </w:r>
          </w:p>
        </w:tc>
      </w:tr>
      <w:tr>
        <w:trPr>
          <w:trHeight w:val="216"/>
        </w:trPr>
        <w:tc>
          <w:tcPr>
            <w:tcW w:w="10060" w:type="dxa"/>
            <w:vAlign w:val="bottom"/>
          </w:tcPr>
          <w:p>
            <w:pPr>
              <w:ind w:left="160"/>
              <w:spacing w:after="0"/>
              <w:rPr>
                <w:sz w:val="20"/>
                <w:szCs w:val="20"/>
                <w:color w:val="auto"/>
              </w:rPr>
            </w:pPr>
            <w:r>
              <w:rPr>
                <w:rFonts w:ascii="Arial" w:cs="Arial" w:eastAsia="Arial" w:hAnsi="Arial"/>
                <w:sz w:val="18"/>
                <w:szCs w:val="18"/>
                <w:color w:val="auto"/>
              </w:rPr>
              <w:t>Proceeds from issuance of loan to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46,000</w:t>
            </w:r>
          </w:p>
        </w:tc>
        <w:tc>
          <w:tcPr>
            <w:tcW w:w="80" w:type="dxa"/>
            <w:vAlign w:val="bottom"/>
          </w:tcPr>
          <w:p>
            <w:pPr>
              <w:spacing w:after="0"/>
              <w:rPr>
                <w:sz w:val="18"/>
                <w:szCs w:val="18"/>
                <w:color w:val="auto"/>
              </w:rPr>
            </w:pPr>
          </w:p>
        </w:tc>
      </w:tr>
      <w:tr>
        <w:trPr>
          <w:trHeight w:val="216"/>
        </w:trPr>
        <w:tc>
          <w:tcPr>
            <w:tcW w:w="10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loan payable to 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(46,000)</w:t>
            </w:r>
          </w:p>
        </w:tc>
      </w:tr>
      <w:tr>
        <w:trPr>
          <w:trHeight w:val="230"/>
        </w:trPr>
        <w:tc>
          <w:tcPr>
            <w:tcW w:w="10060" w:type="dxa"/>
            <w:vAlign w:val="bottom"/>
          </w:tcPr>
          <w:p>
            <w:pPr>
              <w:ind w:left="160"/>
              <w:spacing w:after="0"/>
              <w:rPr>
                <w:sz w:val="20"/>
                <w:szCs w:val="20"/>
                <w:color w:val="auto"/>
              </w:rPr>
            </w:pPr>
            <w:r>
              <w:rPr>
                <w:rFonts w:ascii="Arial" w:cs="Arial" w:eastAsia="Arial" w:hAnsi="Arial"/>
                <w:sz w:val="18"/>
                <w:szCs w:val="18"/>
                <w:color w:val="auto"/>
              </w:rPr>
              <w:t>Capital distribution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(10,000)</w:t>
            </w:r>
          </w:p>
        </w:tc>
      </w:tr>
      <w:tr>
        <w:trPr>
          <w:trHeight w:val="210"/>
        </w:trPr>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Net increase in cash and cash equivalents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74,052</w:t>
            </w:r>
          </w:p>
        </w:tc>
        <w:tc>
          <w:tcPr>
            <w:tcW w:w="80" w:type="dxa"/>
            <w:vAlign w:val="bottom"/>
          </w:tcPr>
          <w:p>
            <w:pPr>
              <w:spacing w:after="0"/>
              <w:rPr>
                <w:sz w:val="18"/>
                <w:szCs w:val="18"/>
                <w:color w:val="auto"/>
              </w:rPr>
            </w:pPr>
          </w:p>
        </w:tc>
      </w:tr>
      <w:tr>
        <w:trPr>
          <w:trHeight w:val="23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11,007</w:t>
            </w:r>
          </w:p>
        </w:tc>
        <w:tc>
          <w:tcPr>
            <w:tcW w:w="80" w:type="dxa"/>
            <w:vAlign w:val="bottom"/>
            <w:shd w:val="clear" w:color="auto" w:fill="CCEEFF"/>
          </w:tcPr>
          <w:p>
            <w:pPr>
              <w:spacing w:after="0"/>
              <w:rPr>
                <w:sz w:val="19"/>
                <w:szCs w:val="19"/>
                <w:color w:val="auto"/>
              </w:rPr>
            </w:pPr>
          </w:p>
        </w:tc>
      </w:tr>
      <w:tr>
        <w:trPr>
          <w:trHeight w:val="263"/>
        </w:trPr>
        <w:tc>
          <w:tcPr>
            <w:tcW w:w="10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85,059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10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83"/>
        </w:trPr>
        <w:tc>
          <w:tcPr>
            <w:tcW w:w="1006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10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10060" w:type="dxa"/>
            <w:vAlign w:val="bottom"/>
          </w:tcPr>
          <w:p>
            <w:pPr>
              <w:ind w:left="160"/>
              <w:spacing w:after="0"/>
              <w:rPr>
                <w:sz w:val="20"/>
                <w:szCs w:val="20"/>
                <w:color w:val="auto"/>
              </w:rPr>
            </w:pPr>
            <w:r>
              <w:rPr>
                <w:rFonts w:ascii="Arial" w:cs="Arial" w:eastAsia="Arial" w:hAnsi="Arial"/>
                <w:sz w:val="18"/>
                <w:szCs w:val="18"/>
                <w:color w:val="auto"/>
              </w:rPr>
              <w:t>Conversion from LLC to Corporation</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Marker Therapeutics Inc. (the “Company”) was formed as Marker Therapeutics, LLC on December 11, 2015, by John Wilson and the members of the Baylor College of Medicine (“BCM”) research team, with the goal of licensing from BCM certain technology being developed for BCM by the research team. BCM has a policy that any technology license requires the approval of the researchers working on the subject technology, so Marker had the first right to license the technology, subject to finding outside financing and negotiating mutually acceptable terms with BCM. At December 31, 207, the Company did not have a license to the technology being developed for BCM by the research team. Accordingly, all research by the BCM research team during the year ending December 31, 2017 was conducted at BCM facilities under the auspices of BCM.</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may seek to obtain additional capital through the sale of debt or equity financings or other arrangements to fund its research and development activities as well as its operations; however, there can be no assurance that the Company will be able to raise needed capital under acceptable terms, if at all. The sale of additional equity may dilute existing stockholders and newly issued shares may contain senior rights and preferences compared to currently outstanding shares of common stock. Issued debt securities may contain covenants and limit the Company’s ability to pay dividends or make other distributions to stockholders. If the Company is unable to obtain such additional financing, future operations would need to be scaled back or discontinued.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Financial Condition and Management’s Plans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had limited operating activities to date, substantially all of which have been devoted to seeking financing to fund future research and development activities. The Company has financed its operations since inception using proceeds received from capital contributions made by its stockholders and proceeds in financing transactions.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Notwithstanding, the Company has no revenues, limited capital resources and is subject to all of the risks and uncertainties that are typical of an early stage enterprise. Significant uncertainties include, among others, whether the Company will be able to raise the capital it needs to finance its longer-term operations and whether such operations, if launched, will enable the Company to sustain operations as a profitable enterprise.</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working capital needs are influenced by the level of operations, and generally decrease with higher levels of revenue. The Company had cash of approximately $85,000 and working capital approximately $85,000 at December 31, 2017. The Company expects to incur losses into the foreseeable future as it undertakes its efforts to execute its business plans.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will require significant additional capital to sustain its short-term operations and make the investments it needs to execute its longer-term business plan. The Company’s existing liquidity is not sufficient to fund its operations and anticipated capital expenditures for the foreseeable future. The Company is currently seeking to obtain additional debt or equity financing, however there are currently no commitments in place for further financing nor is there any assurance that such financing will be available to the Company on favorable terms, if at all.</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Because of recurring operating losses, net operating cash flow deficits, and an accumulated deficit, there is substantial doubt about the Company’s ability to continue as a going concern for one year from the issuance of the financial statements. The financial statements have been prepared assuming the Company will continue as a going concern. The Company has not made adjustments to the accompanying financial statements to reflect the potential effects on the recoverability and classification of assets or liabilities should the Company be unable to continue as a going concern.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maintains its books of account and prepares financial statements in accordance with Generally Accepted Accounting Principles in the United States of America (“U.S. GAAP”). The Company’s fiscal year ends on December 31.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 most significant estimates in the Company’s financial statements relate to the valuation of preferred and common stock, the valuation of stock options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2017, the Company had cash balances deposited at major financial institutions. Cash balances are considered subject to minimal credit risk as the balances are with high credit quality financial institutions. Cash and cash equivalents include cash in readily available checking and money market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research and development costs are expensed as incurred. Research and development costs consist primarily of lab supplies purchased for the research being conducted in the BCM labs and license agreement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incurred costs of approximately $54,000 on research and development for the year ended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2017,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2017.</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Basic loss per share include only the weighted average common shares outstanding, without consideration of potentially dilutive securities. Diluted loss per share include the weighted average common shares outstanding and any potentially dilutive common stock equivalent shares in the calculation.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2014, the FASB issued ASU No. 2014-15, “Presentation of Financial Statements-Going Concern”, which defines management’s responsibility to assess an entity’s ability to continue as a going concern, and requires related footnote disclosures if there is substantial doubt about its ability to continue as a going concern. ASU No. 2014-15 is effective for the Company for the fiscal year ending on December 31, 2016, with early adoption permitted. The Company adopted ASU 2014-15 as of December 31, 2017 in its financial statements and related disclosures, which did not have a material impact on its results of operations, cash flows or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Observable inputs such as quoted prices in active markets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Inputs, other than the quoted prices in active markets, that are observable either directly or indirectly; and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Unobservable inputs in which there is little or no market data, which require the reporting entity to develop its own assumptions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assets or liabilities measured at fair value as of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Outstanding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Between January and May 2017, the Company’s Chief Executive Officer, John Wilson loaned the Company $46,000.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July 2017, the Company made an aggregate payment of $46,000.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Net Loss per Share Applicable to Common Stockholders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 to basic loss per common share except that it reflects the potential dilution that could occur if dilutive securities or other obligations to issue common stock were exercised or converted into common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Wilson Wolf Manufacturing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John Wilson, the Company’s Chief Executive Officer, owns 100% of Wilson Wolf Manufacturing, which is a supplier of the Company.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2017, expenses incurred related to Wilson Wolf Manufacturing were approximately $23,000, which were recorded as part of general and administrative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Temporary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has authorized up to 10,000,000 shares of preferred stock, $0.0001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10,000,000 shares of preferred stock were initially designated as Series A preferred stock.</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Series A preferred stock holders control the Board. Consequently, the Series A preferred shareholders could force a deemed liquidation event by virtue of their Board control. As such, redemption of the Series A, upon a deemed liquidation event, is not solely within the control of the Company. Therefore, the Series A preferred stock was classified in temporary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Preferred Stock Transactions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June 5, 2017, the Company entered into a Series A Preferred Stock Purchase Agreement with an investor pursuant to which the Company received proceeds of $3.0 million. The Company issued 1,500,000 shares of Series A preferred stock at a purchase price of $2.00 per share.</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2, 2017, the Company entered into a Stock Repurchase Agreement with same investor. The Company repurchased 1,500,000 shares of Series A preferred stock at a purchase price of $2.6 million.</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Due to the repurchase of the 1,500,000 shares of Series A preferred stock, such shares were automatically retired and may not be reissued. Accordingly, the number of shares designated as Series A preferred stock was reduced to 8,500,000, none of which are issued and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has authorized 23,222,224 shares of common stock, $0.0001 par value per share, for issuance. Each share of common stock is entitled to one vote. Common stock owners are entitled to dividends when funds are legally available and declared by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Common Stock Transactions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1, 2017, the Company converted from an limited liability company (the “Prior Entity”) to a Delaware corporation in accordance with Section 265 of the Delaware General Corporation Law. The Company issued 10,000,002 shares of common stock, par value $0.0001, in exchange for all outstanding membership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 Options Plans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has reserved 2,222,222 shares of common stock for issuance to officers, directors, employees and consultants of the Company pursuant to its 2017 Equity Incentive Plan. Of such reserved shares of common stock, none have been issued pursuant to restricted stock purchase agreements, no options to purchase shares have been granted, and all 2,222,222 shares of common stock remain available for issuance.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which makes broad and complex changes to the U.S. tax code. Certain of these changes may be applicable to the Company, including but not limited to, reducing the U.S. federal corporate tax rate from 35 percent to 21 percent, creating a new limitation on deductible interest expense, eliminating the corporate alternative minimum tax (“AMT”), modifying the rules related to uses and limitations of net operating loss carryforwards generated in tax years ending after December 31, 2017, and changing the rules pertaining to the taxation of profits earned abroad. Changes in tax rates and tax laws are accounted for in the period of enactment. The Tax Act reduces the corporate tax rate to 21 percent, effective January 1, 2018. Consequently, the Company has recorded a decrease related to deferred tax assets, exclusive of the corresponding change in the valuation allowance, for the six months from June 1, 2017 to December 31, 2017. Due to the full valuation allowance on the deferred tax assets, there is no net adjustment to deferred tax expense or benefit due to the reduction of the corporate tax rate.</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2017, the Company has net operating loss carryforwards of approximately $35,000 available to reduce future taxable income, if any, for Federal and state income tax purposes. The U.S. federal and state net operating loss carryforwards will begin to expire in 2037 for federal purposes and state purposes.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Internal Revenue Code (“IRC”) Section 382, annual use of the Company’s net operating loss carryforwards to offset taxable income may be limited based on cumulative changes in ownership. The Company has not completed an analysis to determine whether any such limitations have been triggered as of December 31, 2017. The Company has no income tax affect due to the recognition of a full valuation allowance on the expected tax benefits of future loss carry forwards based on uncertainty surrounding realization of such assets.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the temporary differences and carry forwards that give rise to deferred tax assets consist of the following:</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8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b w:val="1"/>
                <w:bCs w:val="1"/>
                <w:color w:val="auto"/>
                <w:w w:val="94"/>
              </w:rPr>
              <w:t>For the six months from</w:t>
            </w:r>
          </w:p>
        </w:tc>
      </w:tr>
      <w:tr>
        <w:trPr>
          <w:trHeight w:val="216"/>
        </w:trPr>
        <w:tc>
          <w:tcPr>
            <w:tcW w:w="8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1, 2017 to</w:t>
            </w:r>
          </w:p>
        </w:tc>
      </w:tr>
      <w:tr>
        <w:trPr>
          <w:trHeight w:val="234"/>
        </w:trPr>
        <w:tc>
          <w:tcPr>
            <w:tcW w:w="8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 2017</w:t>
            </w:r>
          </w:p>
        </w:tc>
      </w:tr>
      <w:tr>
        <w:trPr>
          <w:trHeight w:val="210"/>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10,146</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(10,146)</w:t>
            </w:r>
          </w:p>
        </w:tc>
      </w:tr>
      <w:tr>
        <w:trPr>
          <w:trHeight w:val="223"/>
        </w:trPr>
        <w:tc>
          <w:tcPr>
            <w:tcW w:w="8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net of allowance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statutory income tax rates and the Company’s effective tax rate is as follows: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Statutory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87768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State Taxes, Net of Federal Tax Benefit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Federal tax rate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87768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Taxes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87768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For the six months from</w:t>
      </w:r>
    </w:p>
    <w:p>
      <w:pPr>
        <w:spacing w:after="0" w:line="50"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June 1, 2017 to</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(34.0)%</w:t>
      </w:r>
    </w:p>
    <w:p>
      <w:pPr>
        <w:spacing w:after="0" w:line="2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(6.5)%</w:t>
      </w:r>
    </w:p>
    <w:p>
      <w:pPr>
        <w:spacing w:after="0" w:line="9"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11.7%</w:t>
      </w:r>
    </w:p>
    <w:p>
      <w:pPr>
        <w:spacing w:after="0" w:line="9"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28.8%</w:t>
      </w:r>
    </w:p>
    <w:p>
      <w:pPr>
        <w:spacing w:after="0" w:line="23"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40005</wp:posOffset>
            </wp:positionV>
            <wp:extent cx="1174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80" w:space="720"/>
            <w:col w:w="2320"/>
          </w:cols>
          <w:pgMar w:left="240" w:top="904" w:right="239" w:bottom="1440" w:gutter="0" w:footer="0" w:header="0"/>
          <w:type w:val="continuous"/>
        </w:sectPr>
      </w:pPr>
    </w:p>
    <w:p>
      <w:pPr>
        <w:spacing w:after="0" w:line="78"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Company’s major tax jurisdictions are the United States and Minnesota. The Company’s tax year will remain open starting 2017 for examination by the Federal and state tax authorities from the date of utilization of the net operating loss. The Company does not have any tax audits pending.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15, 2018, the Company entered into an Agreement and Plan of Merger and Reorganization (the “Merger Agreement”) with the Company, TapImmune Inc. (“TapImmune”), and Timberwolf Merger Sub, Inc. (“Merger Sub”). Subject to the terms and conditions set forth in the Merger Agreement, Merger Sub will merge with and into Marker (the “Merger”), with Marker surviving the Merger as a wholly-owned subsidiary of TapImmune (the “Surviving Corporation”).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outstanding share of the Company’s common stock will be converted into the right to receive (i) shares of TapImmune’s common stock, par value $0.001 per share (“TapImmune Common Stock”), in an amount equal to the exchange ratio calculated pursuant to the Merger Agreement (the “Stock Exchange Ratio”), and (ii) warrants to purchase TapImmune Common Stock, in an amount equal to the exchange ratio calculated pursuant to the Merger Agreement (the “Warrant Exchange Ratio”).</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Merger Agreement contains customary representations, warranties and covenants made by TapImmune and the Company, including covenants relating to obtaining the requisite approvals of the stockholders of TapImmune and the Company, indemnification of directors and officers, and TapImmune’s and the Company’s conduct of their respective businesses between the date of signing of the Merger Agreement and the closing of the Merger.</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issuance of TapImmune Common Stock and other transactions contemplated by the Merger Agreement are subject to approval by TapImmune’s stockholders. The Merger is subject to other customary closing conditions, including, among other things, the accuracy of the representations and warranties, subject generally to an overall material adverse effect qualification, compliance by the parties with their respective covenants and no existence of any law or order preventing the Merger and related transactions.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Merger Agreement contains certain termination rights for both TapImmune and the Company and provides for the payment of a termination fee of $1,500,000 by TapImmune to the Company upon termination of the Merger Agreement under specified circumstances. In connection with a termination of the Merger Agreement under specified circumstances involving competing transactions, a willful, intentional and material breach of the non-solicitation obligations by us, a change in our board of directors’ recommendation of the Merger to the stockholders or other triggering events, Tapimmune may be required to pay the Company reimbursement for certain fees and expenses up to $500,000. In connection with a termination of the Merger Agreement under specified circumstances involving the failure of the Company stockholders to approve the Merger Agreement within 24 hours of signing the Merger Agreement, intentional and material breach of the non-solicitation obligations by the Company or other triggering events, the Company may be required to pay our reimbursement for certain fees and expenses up to $500,000. The Merger Agreement may also be terminated by either us or the Company if the merger has not been consummated by September 15, 2018, subject to an extension of an additional 60 days if our proxy statement is being reviewed or commented upon by the SEC.</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Following the Merger, the board of directors of TapImmune will consist of six directors and will be comprised of (i) three members designated by the Company, and (ii) three members designated by TapImmune.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BCM License Agreement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March 16, 2018, the Company entered into a License Agreement (the “Agreement”) with BCM. As partial consideration for the license, the Company issued to BCM 1,200,000 shares of common stock, with a fair value of approximately $5.0 million (10.71% of $46.2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Loan from Related Party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June 11, 2018, the Company’s Chief Executive Officer, John Wilson loaned the Company $100,000 to enable it to pay transaction expenses.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FINANCIAL STATEMENTS</w:t>
      </w:r>
    </w:p>
    <w:p>
      <w:pPr>
        <w:spacing w:after="0" w:line="2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JUNE 30, 2018</w:t>
      </w:r>
    </w:p>
    <w:p>
      <w:pPr>
        <w:spacing w:after="0" w:line="200" w:lineRule="exact"/>
        <w:rPr>
          <w:sz w:val="20"/>
          <w:szCs w:val="20"/>
          <w:color w:val="auto"/>
        </w:rPr>
      </w:pPr>
    </w:p>
    <w:p>
      <w:pPr>
        <w:spacing w:after="0" w:line="2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10280" w:type="dxa"/>
            <w:vAlign w:val="bottom"/>
          </w:tcPr>
          <w:p>
            <w:pPr>
              <w:ind w:left="4340"/>
              <w:spacing w:after="0"/>
              <w:rPr>
                <w:sz w:val="20"/>
                <w:szCs w:val="20"/>
                <w:color w:val="auto"/>
              </w:rPr>
            </w:pPr>
            <w:r>
              <w:rPr>
                <w:rFonts w:ascii="Arial" w:cs="Arial" w:eastAsia="Arial" w:hAnsi="Arial"/>
                <w:sz w:val="18"/>
                <w:szCs w:val="18"/>
                <w:b w:val="1"/>
                <w:bCs w:val="1"/>
                <w:color w:val="auto"/>
              </w:rPr>
              <w:t>MARKER THERAPEUTICS, INC.</w:t>
            </w:r>
          </w:p>
        </w:tc>
        <w:tc>
          <w:tcPr>
            <w:tcW w:w="1140" w:type="dxa"/>
            <w:vAlign w:val="bottom"/>
          </w:tcPr>
          <w:p>
            <w:pPr>
              <w:spacing w:after="0"/>
              <w:rPr>
                <w:sz w:val="20"/>
                <w:szCs w:val="20"/>
                <w:color w:val="auto"/>
              </w:rPr>
            </w:pPr>
          </w:p>
        </w:tc>
      </w:tr>
      <w:tr>
        <w:trPr>
          <w:trHeight w:val="432"/>
        </w:trPr>
        <w:tc>
          <w:tcPr>
            <w:tcW w:w="1028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210"/>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1140" w:type="dxa"/>
            <w:vAlign w:val="bottom"/>
            <w:shd w:val="clear" w:color="auto" w:fill="CCEEFF"/>
          </w:tcPr>
          <w:p>
            <w:pPr>
              <w:spacing w:after="0"/>
              <w:rPr>
                <w:sz w:val="18"/>
                <w:szCs w:val="18"/>
                <w:color w:val="auto"/>
              </w:rPr>
            </w:pP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Condensed Balance Sheets as of June 30, 2018 and December 31, 2017</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Condensed Statements of Operations for the six months ended June 30, 2018 and 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Condensed Statement of Stockholders’ Equity for the six months ended June 30, 2018</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Condensed Statements of Cash Flows for the six months ended June 30, 2018 and 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280" w:type="dxa"/>
            <w:vAlign w:val="bottom"/>
          </w:tcPr>
          <w:p>
            <w:pPr>
              <w:spacing w:after="0"/>
              <w:rPr>
                <w:sz w:val="20"/>
                <w:szCs w:val="20"/>
                <w:color w:val="auto"/>
              </w:rPr>
            </w:pPr>
            <w:r>
              <w:rPr>
                <w:rFonts w:ascii="Arial" w:cs="Arial" w:eastAsia="Arial" w:hAnsi="Arial"/>
                <w:sz w:val="18"/>
                <w:szCs w:val="18"/>
                <w:color w:val="auto"/>
              </w:rPr>
              <w:t>Notes to Condensed Financial Statements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634"/>
        </w:trPr>
        <w:tc>
          <w:tcPr>
            <w:tcW w:w="10280" w:type="dxa"/>
            <w:vAlign w:val="bottom"/>
            <w:tcBorders>
              <w:bottom w:val="single" w:sz="8" w:color="auto"/>
            </w:tcBorders>
          </w:tcPr>
          <w:p>
            <w:pPr>
              <w:ind w:left="5680"/>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-1251585</wp:posOffset>
            </wp:positionV>
            <wp:extent cx="6525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8000" w:type="dxa"/>
            <w:vAlign w:val="bottom"/>
          </w:tcPr>
          <w:p>
            <w:pPr>
              <w:jc w:val="center"/>
              <w:ind w:left="3330"/>
              <w:spacing w:after="0"/>
              <w:rPr>
                <w:sz w:val="20"/>
                <w:szCs w:val="20"/>
                <w:color w:val="auto"/>
              </w:rPr>
            </w:pPr>
            <w:r>
              <w:rPr>
                <w:rFonts w:ascii="Arial" w:cs="Arial" w:eastAsia="Arial" w:hAnsi="Arial"/>
                <w:sz w:val="18"/>
                <w:szCs w:val="18"/>
                <w:b w:val="1"/>
                <w:bCs w:val="1"/>
                <w:color w:val="auto"/>
              </w:rPr>
              <w:t>MARKER THERAPEUTICS, INC.</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Pr>
          <w:p>
            <w:pPr>
              <w:jc w:val="center"/>
              <w:ind w:left="3330"/>
              <w:spacing w:after="0"/>
              <w:rPr>
                <w:sz w:val="20"/>
                <w:szCs w:val="20"/>
                <w:color w:val="auto"/>
              </w:rPr>
            </w:pPr>
            <w:r>
              <w:rPr>
                <w:rFonts w:ascii="Arial" w:cs="Arial" w:eastAsia="Arial" w:hAnsi="Arial"/>
                <w:sz w:val="18"/>
                <w:szCs w:val="18"/>
                <w:b w:val="1"/>
                <w:bCs w:val="1"/>
                <w:color w:val="auto"/>
                <w:w w:val="98"/>
              </w:rPr>
              <w:t>CONDENSED BALANCE SHEET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tcPr>
          <w:p>
            <w:pPr>
              <w:jc w:val="center"/>
              <w:ind w:left="333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June 30, 2018</w:t>
            </w:r>
          </w:p>
        </w:tc>
        <w:tc>
          <w:tcPr>
            <w:tcW w:w="8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77,244</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85,059</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77,244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Accounts payable (including related party of $8,482)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73,413</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Loan payable to related party</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173,413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173,413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Series A preferred stock, $0.0001 par value; 10,000,000 shares authorized; 0 shares issued and outstanding as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June 30, 2018 and December 31, 2017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Stockholders’ equity (deficiency)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$0.0001 par value; 23,222,224 shares authorized; 11,200,002 and 10,000,002 shares issued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 as of June 30, 2018 and December 31, 2017, respectively</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5,321,900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374,000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(5,419,189)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(290,276)</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 (deficiency)</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(96,169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77,244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7860" w:type="dxa"/>
            <w:vAlign w:val="bottom"/>
          </w:tcPr>
          <w:p>
            <w:pPr>
              <w:jc w:val="center"/>
              <w:ind w:left="3470"/>
              <w:spacing w:after="0"/>
              <w:rPr>
                <w:sz w:val="20"/>
                <w:szCs w:val="20"/>
                <w:color w:val="auto"/>
              </w:rPr>
            </w:pPr>
            <w:r>
              <w:rPr>
                <w:rFonts w:ascii="Arial" w:cs="Arial" w:eastAsia="Arial" w:hAnsi="Arial"/>
                <w:sz w:val="18"/>
                <w:szCs w:val="18"/>
                <w:b w:val="1"/>
                <w:bCs w:val="1"/>
                <w:color w:val="auto"/>
              </w:rPr>
              <w:t>MARKER THERAPEUTICS, INC.</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60" w:type="dxa"/>
            <w:vAlign w:val="bottom"/>
          </w:tcPr>
          <w:p>
            <w:pPr>
              <w:jc w:val="center"/>
              <w:ind w:left="3490"/>
              <w:spacing w:after="0"/>
              <w:rPr>
                <w:sz w:val="20"/>
                <w:szCs w:val="20"/>
                <w:color w:val="auto"/>
              </w:rPr>
            </w:pPr>
            <w:r>
              <w:rPr>
                <w:rFonts w:ascii="Arial" w:cs="Arial" w:eastAsia="Arial" w:hAnsi="Arial"/>
                <w:sz w:val="18"/>
                <w:szCs w:val="18"/>
                <w:b w:val="1"/>
                <w:bCs w:val="1"/>
                <w:color w:val="auto"/>
                <w:w w:val="98"/>
              </w:rPr>
              <w:t>CONDENSED STATEMENT OF OPERATIONS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60" w:type="dxa"/>
            <w:vAlign w:val="bottom"/>
          </w:tcPr>
          <w:p>
            <w:pPr>
              <w:jc w:val="center"/>
              <w:ind w:left="347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3"/>
              </w:rPr>
              <w:t>June 30, 2018</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180,893</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188,476</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 license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4,948,020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53,627</w:t>
            </w:r>
          </w:p>
        </w:tc>
        <w:tc>
          <w:tcPr>
            <w:tcW w:w="0" w:type="dxa"/>
            <w:vAlign w:val="bottom"/>
          </w:tcPr>
          <w:p>
            <w:pPr>
              <w:spacing w:after="0"/>
              <w:rPr>
                <w:sz w:val="1"/>
                <w:szCs w:val="1"/>
                <w:color w:val="auto"/>
              </w:rPr>
            </w:pPr>
          </w:p>
        </w:tc>
      </w:tr>
      <w:tr>
        <w:trPr>
          <w:trHeight w:val="210"/>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5,128,913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(5,128,913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(242,103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(5,128,913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(242,103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common shares outstanding, basic and diluted</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10,709,394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1,657,459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3"/>
              </w:rPr>
              <w:t>Total stockholders’</w:t>
            </w:r>
          </w:p>
        </w:tc>
      </w:tr>
      <w:tr>
        <w:trPr>
          <w:trHeight w:val="234"/>
        </w:trPr>
        <w:tc>
          <w:tcPr>
            <w:tcW w:w="4860" w:type="dxa"/>
            <w:vAlign w:val="bottom"/>
          </w:tcPr>
          <w:p>
            <w:pPr>
              <w:spacing w:after="0"/>
              <w:rPr>
                <w:sz w:val="20"/>
                <w:szCs w:val="20"/>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Common stock</w:t>
            </w:r>
          </w:p>
        </w:tc>
        <w:tc>
          <w:tcPr>
            <w:tcW w:w="1420" w:type="dxa"/>
            <w:vAlign w:val="bottom"/>
            <w:gridSpan w:val="4"/>
          </w:tcPr>
          <w:p>
            <w:pPr>
              <w:ind w:left="100"/>
              <w:spacing w:after="0"/>
              <w:rPr>
                <w:sz w:val="20"/>
                <w:szCs w:val="20"/>
                <w:color w:val="auto"/>
              </w:rPr>
            </w:pPr>
            <w:r>
              <w:rPr>
                <w:rFonts w:ascii="Arial" w:cs="Arial" w:eastAsia="Arial" w:hAnsi="Arial"/>
                <w:sz w:val="18"/>
                <w:szCs w:val="18"/>
                <w:b w:val="1"/>
                <w:bCs w:val="1"/>
                <w:color w:val="auto"/>
              </w:rPr>
              <w:t>paid-in capital</w:t>
            </w: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280" w:type="dxa"/>
            <w:vAlign w:val="bottom"/>
          </w:tcPr>
          <w:p>
            <w:pPr>
              <w:spacing w:after="0"/>
              <w:rPr>
                <w:sz w:val="20"/>
                <w:szCs w:val="20"/>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Equity</w:t>
            </w:r>
          </w:p>
        </w:tc>
      </w:tr>
      <w:tr>
        <w:trPr>
          <w:trHeight w:val="223"/>
        </w:trPr>
        <w:tc>
          <w:tcPr>
            <w:tcW w:w="486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10,000,002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374,000</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(290,276)</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84,724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Issuance of common stock to acquire license</w:t>
            </w:r>
          </w:p>
        </w:tc>
        <w:tc>
          <w:tcPr>
            <w:tcW w:w="1020" w:type="dxa"/>
            <w:vAlign w:val="bottom"/>
          </w:tcPr>
          <w:p>
            <w:pPr>
              <w:jc w:val="right"/>
              <w:spacing w:after="0"/>
              <w:rPr>
                <w:sz w:val="20"/>
                <w:szCs w:val="20"/>
                <w:color w:val="auto"/>
              </w:rPr>
            </w:pPr>
            <w:r>
              <w:rPr>
                <w:rFonts w:ascii="Arial" w:cs="Arial" w:eastAsia="Arial" w:hAnsi="Arial"/>
                <w:sz w:val="18"/>
                <w:szCs w:val="18"/>
                <w:color w:val="auto"/>
              </w:rPr>
              <w:t>1,200,000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4,947,900</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4,948,020</w:t>
            </w:r>
          </w:p>
        </w:tc>
        <w:tc>
          <w:tcPr>
            <w:tcW w:w="80" w:type="dxa"/>
            <w:vAlign w:val="bottom"/>
          </w:tcPr>
          <w:p>
            <w:pPr>
              <w:spacing w:after="0"/>
              <w:rPr>
                <w:sz w:val="18"/>
                <w:szCs w:val="18"/>
                <w:color w:val="auto"/>
              </w:rPr>
            </w:pPr>
          </w:p>
        </w:tc>
      </w:tr>
      <w:tr>
        <w:trPr>
          <w:trHeight w:val="23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(5,128,913)</w:t>
            </w: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(5,128,913)</w:t>
            </w: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Balance as of June 30, 2018</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11,200,002</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5,321,900</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(5,419,189</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(96,169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4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7880" w:type="dxa"/>
            <w:vAlign w:val="bottom"/>
          </w:tcPr>
          <w:p>
            <w:pPr>
              <w:jc w:val="center"/>
              <w:ind w:left="3450"/>
              <w:spacing w:after="0"/>
              <w:rPr>
                <w:sz w:val="20"/>
                <w:szCs w:val="20"/>
                <w:color w:val="auto"/>
              </w:rPr>
            </w:pPr>
            <w:r>
              <w:rPr>
                <w:rFonts w:ascii="Arial" w:cs="Arial" w:eastAsia="Arial" w:hAnsi="Arial"/>
                <w:sz w:val="18"/>
                <w:szCs w:val="18"/>
                <w:b w:val="1"/>
                <w:bCs w:val="1"/>
                <w:color w:val="auto"/>
              </w:rPr>
              <w:t>MARKER THERAPEUTICS, INC.</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880" w:type="dxa"/>
            <w:vAlign w:val="bottom"/>
          </w:tcPr>
          <w:p>
            <w:pPr>
              <w:jc w:val="center"/>
              <w:ind w:left="3450"/>
              <w:spacing w:after="0"/>
              <w:rPr>
                <w:sz w:val="20"/>
                <w:szCs w:val="20"/>
                <w:color w:val="auto"/>
              </w:rPr>
            </w:pPr>
            <w:r>
              <w:rPr>
                <w:rFonts w:ascii="Arial" w:cs="Arial" w:eastAsia="Arial" w:hAnsi="Arial"/>
                <w:sz w:val="18"/>
                <w:szCs w:val="18"/>
                <w:b w:val="1"/>
                <w:bCs w:val="1"/>
                <w:color w:val="auto"/>
                <w:w w:val="98"/>
              </w:rPr>
              <w:t>CONDENSED STATEMENT OF CASH FLOWS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7880" w:type="dxa"/>
            <w:vAlign w:val="bottom"/>
          </w:tcPr>
          <w:p>
            <w:pPr>
              <w:jc w:val="center"/>
              <w:ind w:left="345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7"/>
          </w:tcPr>
          <w:p>
            <w:pPr>
              <w:jc w:val="right"/>
              <w:ind w:right="100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7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3"/>
              </w:rPr>
              <w:t>June 30, 2018</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2017</w:t>
            </w:r>
          </w:p>
        </w:tc>
        <w:tc>
          <w:tcPr>
            <w:tcW w:w="100" w:type="dxa"/>
            <w:vAlign w:val="bottom"/>
            <w:gridSpan w:val="2"/>
          </w:tcPr>
          <w:p>
            <w:pPr>
              <w:spacing w:after="0"/>
              <w:rPr>
                <w:sz w:val="19"/>
                <w:szCs w:val="19"/>
                <w:color w:val="auto"/>
              </w:rPr>
            </w:pP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(5,128,913)</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(242,103)</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ind w:left="160"/>
              <w:spacing w:after="0"/>
              <w:rPr>
                <w:sz w:val="20"/>
                <w:szCs w:val="20"/>
                <w:color w:val="auto"/>
              </w:rPr>
            </w:pPr>
            <w:r>
              <w:rPr>
                <w:rFonts w:ascii="Arial" w:cs="Arial" w:eastAsia="Arial" w:hAnsi="Arial"/>
                <w:sz w:val="18"/>
                <w:szCs w:val="18"/>
                <w:color w:val="auto"/>
              </w:rPr>
              <w:t>Research and development license expenses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4,948,020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cash resulting from changes in assets and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ind w:left="30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5,356</w:t>
            </w:r>
          </w:p>
        </w:tc>
        <w:tc>
          <w:tcPr>
            <w:tcW w:w="80" w:type="dxa"/>
            <w:vAlign w:val="bottom"/>
          </w:tcPr>
          <w:p>
            <w:pPr>
              <w:spacing w:after="0"/>
              <w:rPr>
                <w:sz w:val="18"/>
                <w:szCs w:val="18"/>
                <w:color w:val="auto"/>
              </w:rPr>
            </w:pPr>
          </w:p>
        </w:tc>
      </w:tr>
      <w:tr>
        <w:trPr>
          <w:trHeight w:val="230"/>
        </w:trPr>
        <w:tc>
          <w:tcPr>
            <w:tcW w:w="7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73,078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67,306</w:t>
            </w:r>
          </w:p>
        </w:tc>
        <w:tc>
          <w:tcPr>
            <w:tcW w:w="80" w:type="dxa"/>
            <w:vAlign w:val="bottom"/>
            <w:shd w:val="clear" w:color="auto" w:fill="CCEEFF"/>
          </w:tcPr>
          <w:p>
            <w:pPr>
              <w:spacing w:after="0"/>
              <w:rPr>
                <w:sz w:val="19"/>
                <w:szCs w:val="19"/>
                <w:color w:val="auto"/>
              </w:rPr>
            </w:pP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(169,441)</w:t>
            </w:r>
          </w:p>
        </w:tc>
        <w:tc>
          <w:tcPr>
            <w:tcW w:w="100" w:type="dxa"/>
            <w:vAlign w:val="bottom"/>
            <w:gridSpan w:val="2"/>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ind w:left="160"/>
              <w:spacing w:after="0"/>
              <w:rPr>
                <w:sz w:val="20"/>
                <w:szCs w:val="20"/>
                <w:color w:val="auto"/>
              </w:rPr>
            </w:pPr>
            <w:r>
              <w:rPr>
                <w:rFonts w:ascii="Arial" w:cs="Arial" w:eastAsia="Arial" w:hAnsi="Arial"/>
                <w:sz w:val="18"/>
                <w:szCs w:val="18"/>
                <w:color w:val="auto"/>
              </w:rPr>
              <w:t>Proceeds from issuance of Series A preferred stock</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loan to related party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46,000</w:t>
            </w:r>
          </w:p>
        </w:tc>
        <w:tc>
          <w:tcPr>
            <w:tcW w:w="80" w:type="dxa"/>
            <w:vAlign w:val="bottom"/>
            <w:shd w:val="clear" w:color="auto" w:fill="CCEEFF"/>
          </w:tcPr>
          <w:p>
            <w:pPr>
              <w:spacing w:after="0"/>
              <w:rPr>
                <w:sz w:val="18"/>
                <w:szCs w:val="18"/>
                <w:color w:val="auto"/>
              </w:rPr>
            </w:pPr>
          </w:p>
        </w:tc>
      </w:tr>
      <w:tr>
        <w:trPr>
          <w:trHeight w:val="230"/>
        </w:trPr>
        <w:tc>
          <w:tcPr>
            <w:tcW w:w="7880" w:type="dxa"/>
            <w:vAlign w:val="bottom"/>
          </w:tcPr>
          <w:p>
            <w:pPr>
              <w:ind w:left="160"/>
              <w:spacing w:after="0"/>
              <w:rPr>
                <w:sz w:val="20"/>
                <w:szCs w:val="20"/>
                <w:color w:val="auto"/>
              </w:rPr>
            </w:pPr>
            <w:r>
              <w:rPr>
                <w:rFonts w:ascii="Arial" w:cs="Arial" w:eastAsia="Arial" w:hAnsi="Arial"/>
                <w:sz w:val="18"/>
                <w:szCs w:val="18"/>
                <w:color w:val="auto"/>
              </w:rPr>
              <w:t>Capital distribution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(10,000)</w:t>
            </w: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(decrease) increase in cash and cash equivalents ,</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(7,815)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2,866,559</w:t>
            </w:r>
          </w:p>
        </w:tc>
        <w:tc>
          <w:tcPr>
            <w:tcW w:w="80" w:type="dxa"/>
            <w:vAlign w:val="bottom"/>
          </w:tcPr>
          <w:p>
            <w:pPr>
              <w:spacing w:after="0"/>
              <w:rPr>
                <w:sz w:val="18"/>
                <w:szCs w:val="18"/>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85,059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11,007</w:t>
            </w:r>
          </w:p>
        </w:tc>
        <w:tc>
          <w:tcPr>
            <w:tcW w:w="80" w:type="dxa"/>
            <w:vAlign w:val="bottom"/>
            <w:shd w:val="clear" w:color="auto" w:fill="CCEEFF"/>
          </w:tcPr>
          <w:p>
            <w:pPr>
              <w:spacing w:after="0"/>
              <w:rPr>
                <w:sz w:val="19"/>
                <w:szCs w:val="19"/>
                <w:color w:val="auto"/>
              </w:rPr>
            </w:pPr>
          </w:p>
        </w:tc>
      </w:tr>
      <w:tr>
        <w:trPr>
          <w:trHeight w:val="263"/>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2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77,244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2,877,566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78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Marker Therapeutics Inc. (the “Company”) was formed as Marker Therapeutics, LLC on December 11, 2015, by John Wilson and the members of the Baylor College of Medicine (“BCM”) research team, with the goal of licensing from BCM certain technology being developed for BCM by the research team. BCM has a policy that any technology license requires the approval of the researchers working on the subject technology, so Marker had the first right to license the technology, subject to finding outside financing and negotiating mutually acceptable terms with BCM.</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may seek to obtain additional capital through the sale of debt or equity financings or other arrangements to fund its research and development activities as well as its operations; however, there can be no assurance that the Company will be able to raise needed capital under acceptable terms, if at all. The sale of additional equity may dilute existing stockholders and newly issued shares may contain senior rights and preferences compared to currently outstanding shares of common stock. Issued debt securities may contain covenants and limit the Company’s ability to pay dividends or make other distributions to stockholders. If the Company is unable to obtain such additional financing, future operations would need to be scaled back or discontinued.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Financial Condition and Management’s Plans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had limited operating activities to date, substantially all of which have been devoted to seeking financing to fund future research and development activities. The Company has financed its operations since inception using proceeds received from capital contributions made by its stockholders and proceeds in financing transactions.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Notwithstanding, the Company has no revenues, limited capital resources and is subject to all of the risks and uncertainties that are typical of an early stage enterprise. Significant uncertainties include, among others, whether the Company will be able to raise the capital it needs to finance its longer-term operations and whether such operations, if launched, will enable the Company to sustain operations as a profitable enterprise.</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working capital needs are influenced by the level of operations, and generally decrease with higher levels of revenue. The Company had cash of approximately $77,000 and working capital deficit of approximately $96,000 at June 30, 2018. The Company expects to incur losses into the foreseeable future as it undertakes its efforts to execute its business plans.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will require significant additional capital to sustain its short-term operations and make the investments it needs to execute its longer-term business plan. The Company’s existing liquidity is not sufficient to fund its operations and anticipated capital expenditures for the foreseeable future. The Company is currently seeking to obtain additional debt or equity financing, however there are currently no commitments in place for further financing nor is there any assurance that such financing will be available to the Company on favorable terms, if at all.</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Because of recurring operating losses, net operating cash flow deficits, and an accumulated deficit, there is substantial doubt about the Company’s ability to continue as a going concern for one year from the issuance of the financial statements. The financial statements have been prepared assuming the Company will continue as a going concern. The Company has not made adjustments to the accompanying financial statements to reflect the potential effects on the recoverability and classification of assets or liabilities should the Company be unable to continue as a going concern.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maintains its books of account and prepares financial statements in accordance with accounting principles generally accepted in the United States of America (“GAAP”). The Company’s fiscal year ends on December 31 st . The accompanying unaudited condensed financial statements have been prepared in accordance with “GAAP” for interim financial information. Accordingly, since they are interim statements, the accompanying unaudited condensed financial statements do not include all of the information and notes required by GAAP for annual financial statements, but in the opinion of the Company’s management, reflect all adjustments consisting of normal, recurring adjustments, that are necessary for a fair presentation of the financial position, results of operations and cash flows for the interim periods presented. Interim results are not necessarily indicative of results for a full year. The condensed financial statements and notes should be read in conjunction with the financial statements and notes for the period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preparing condensed financial statements in conformity with U.S. GAAP, management is required to make estimates and assumptions that affect the reported amounts of assets and liabilities and disclosure of contingent assets and liabilities at the date of the financial statements, as well as the reported amounts of expenses during the reporting period. Due to inherent uncertainty involved in making estimates, actual results reported in future periods may be affected by changes in these estimates. On an ongoing basis, the Company evaluates its estimates and assumptions. These estimates and assumptions include valuing equity securities in license 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Company’s significant accounting policies to those previously disclosed in the 2017 Annual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Adopted Accounting Pronouncements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 businesses. The definition of a business affects many areas of accounting including acquisitions, disposals, goodwill, and consolidation. The guidance is effective for annual periods beginning after December 15, 2017, including interim periods within those periods. Early adoption is permitted, including for interim or annual periods for which the financial statements have not been issued or made available for issuance. The Company adopted this guidance on January 1, 2018 and the adoption of ASU 2017-01 did not have a material impact on the Company’s condensed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Merger Agreement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15, 2018, the Company entered into an Agreement and Plan of Merger and Reorganization (the “Merger Agreement”) with the Company, TapImmune Inc. (“TapImmune”), and Timberwolf Merger Sub, Inc. (“Merger Sub”). Subject to the terms and conditions set forth in the Merger Agreement, Merger Sub will merge with and into Marker (the “Merger”), with Marker surviving the Merger as a wholly owned subsidiary of TapImmune (the “Surviving Corporation”).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outstanding share of the Company’s common stock will be converted into the right to receive (i) shares of TapImmune’s common stock, par value $0.001 per share (“TapImmune Common Stock”), in an amount equal to the exchange ratio calculated pursuant to the Merger Agreement (the “Stock Exchange Ratio”), and (ii) warrants to purchase TapImmune Common Stock, in an amount equal to the exchange ratio calculated pursuant to the Merger Agreement (the “Warrant Exchange Ratio”).</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Merger Agreement contains customary representations, warranties and covenants made by TapImmune and the Company, including covenants relating to obtaining the requisite approvals of the stockholders of TapImmune and the Company, indemnification of directors and officers, and TapImmune’s and the Company’s conduct of their respective businesses between the date of signing of the Merger Agreement and the closing of the Merger.</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issuance of TapImmune Common Stock and other transactions contemplated by the Merger Agreement are subject to approval by TapImmune’s stockholders. The Merger is subject to other customary closing conditions, including, among other things, the accuracy of the representations and warranties, subject generally to an overall material adverse effect qualification, compliance by the parties with their respective covenants and no existence of any law or order preventing the Merger and related transactions.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Merger Agreement contains certain termination rights for both TapImmune and the Company and provides for the payment of a termination fee of $1,500,000 by TapImmune to the Company upon termination of the Merger Agreement under specified circumstances. In connection with a termination of the Merger Agreement under specified circumstances involving competing transactions, a willful, intentional and material breach of the non-solicitation obligations by us, a change in our board of directors’ recommendation of the Merger to the stockholders or other triggering events, Tapimmune may be required to pay the Company reimbursement for certain fees and expenses up to $500,000. In connection with a termination of the Merger Agreement under specified circumstances involving the failure of the Company stockholders to approve the Merger Agreement within 24 hours of signing the Merger Agreement, intentional and material breach of the non-solicitation obligations by the Company or other triggering events, the Company may be required to pay our reimbursement for certain fees and expenses up to $500,000. The Merger Agreement may also be terminated by either us or the Company if the merger has not been consummated by September 15, 2018, subject to an extension of an additional 60 days if our proxy statement is being reviewed or commented upon by the SEC.</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the Merger, the board of directors of the TapImmune will consist of six directors and will be comprised of (i) three members designated by the Company, and (ii) three members designated by us.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the proposed merger with TapImmune Inc. is not consummated, Marker will continue being a virtual company with no operations. Marker will need to seek other sources of funding in order to build its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Licenses Acquired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16, 2018, the Company entered into a License Agreement (the “Agreement”) with BCM. Under the terms of the Agreement, the Company was required to make equity awards as upfront payments and payments upon the achievement of certain milestones. As partial consideration for the license, the Company issued 1,200,000 shares of common stock at fair value of approximately $5.0 million to BCM.</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ASC 730-10-25-1, Research and Development, costs incurred in obtaining technology licenses are charged to research and development expense if the technology licensed has not reached technological feasibility and has no alternative future use. The licenses purchased by the Company require substantial completion of research and development, regulatory and marketing approval efforts in order to reach technological feasibility. As such, for the six months ended June 30, 2018, the purchase price of licenses acquired was classified as research and development-licenses acquired in the Condensed Statements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This transaction was accounted for as an asset acquisition pursuant to ASU 2017-01, </w:t>
      </w:r>
      <w:r>
        <w:rPr>
          <w:rFonts w:ascii="Arial" w:cs="Arial" w:eastAsia="Arial" w:hAnsi="Arial"/>
          <w:sz w:val="18"/>
          <w:szCs w:val="18"/>
          <w:i w:val="1"/>
          <w:iCs w:val="1"/>
          <w:color w:val="auto"/>
        </w:rPr>
        <w:t>Business Combinations (Topic 805): Clarifying the Definition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w:t>
      </w:r>
      <w:r>
        <w:rPr>
          <w:rFonts w:ascii="Arial" w:cs="Arial" w:eastAsia="Arial" w:hAnsi="Arial"/>
          <w:sz w:val="18"/>
          <w:szCs w:val="18"/>
          <w:color w:val="auto"/>
        </w:rPr>
        <w:t>as the majority of the fair value of the assets acquired was concentrated in a group of similar assets, and the acquired assets did not have outputs 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Outstanding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June 11, 2018, the Company’s Chief Executive Officer, John Wilson loaned the Company $100,000 to enable it to pay transaction expenses.</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six months ended June 30, 2017, Mr. Wilson loaned additional $46,000 (the “Loan”) to the Company. The Loan was paid back entirely on June 26,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2018, the outstanding debt balance was $100,000. No debt was outstanding as of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Net Loss per Share Applicable to Common Stockholders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 to basic loss per common share except that it reflects the potential dilution that could occur if dilutive securities or other obligations to issue common stock were exercised or converted into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Wilson Wolf Manufacturing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John Wilson, the Company’s Chief Executive Officer, owns 100% of Wilson Wolf Manufacturing, which is a supplier of the Company.</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six months ended June 30, 2018 and 2017, expenses incurred related to Wilson Wolf Manufacturing were approximately $8,000 and $11,000, respectively, which were recorded as part of general and administrative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Temporary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authorized up to 10,000,000 shares of preferred stock, $0.0001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Series A preferred stock holders control the Board. Consequently, the Series A preferred shareholders could force a deemed liquidation event by virtue of their Board control. As such, redemption of the Series A, upon a deemed liquidation event, is not solely within the control of the Company. Therefore, the Series A preferred stock was classified in temporary equity.</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June 5, 2017, the Company entered into a Series A Preferred Stock Purchase Agreement with an investor pursuant to which the Company received proceeds of $3.0 million. The Company issued 1,500,000 shares of Series A preferred stock at a purchase price of $2.00 per share.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preferred stock outstanding as of June 30, 2018 and December 31,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has authorized 23,222,224 shares of common stock, $0.0001 par value per share, for issuance. Each share of common stock is entitled to one vote. Common stock owners are entitled to dividends when funds are legally available and declared by the Boa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Common Stock Transactions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March 16, 2018, the Company entered into a License Agreement (the “Agreement”) with BCM. The Company issued 1,200,000 shares of common stock at fair value of approximately $5.0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Subsequent events have been evaluated through September 7, 2018, which is the date the financial statements were available to be issued. All appropriate subsequent event disclosures, if any, have been made in the notes to the unaudited condensed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ind w:left="10480"/>
        <w:spacing w:after="0"/>
        <w:rPr>
          <w:sz w:val="20"/>
          <w:szCs w:val="20"/>
          <w:color w:val="auto"/>
        </w:rPr>
      </w:pPr>
      <w:r>
        <w:rPr>
          <w:rFonts w:ascii="Arial" w:cs="Arial" w:eastAsia="Arial" w:hAnsi="Arial"/>
          <w:sz w:val="16"/>
          <w:szCs w:val="16"/>
          <w:b w:val="1"/>
          <w:bCs w:val="1"/>
          <w:color w:val="auto"/>
        </w:rPr>
        <w:t>Exhibit 99.3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unaudited pro forma condensed combined financial information was prepared using the acquisition method of accounting under United States generally accepted accounting principles (“U.S. GAAP”), and gives effect to the transaction between Marker Therapeutics, Inc., formerly TapImmune Inc.. (“Marker” or “Company”), Timberwolf Merger Sub, Inc. (“Merger Sub”), and Marker Cell Therapy, Inc. formerly Marker Therapeutics, Inc. (“Marker Cell”) to be accounted for as an asset acquisition for accounting purposes. The transaction was accounted for as an asset acquisition in accordance with FASB ASC 805-50 and FASB ASC 350 as the majority of the fair value of the assets acquired was concentrated in a group of similar assets, and the acquired assets did not have outputs or employees.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unaudited pro forma condensed combined financial statements are based on Marker’s historical financial statements and Marker Cell’s historical financial statements, as adjusted, to give effect to Marker’s asset acquisition of Marker Cell. The unaudited pro forma condensed combined statements of operations for the six months ended June 30, 2018 and the year ended December 31, 2017 give effect to these transactions as if they had occurred on January 1, 2017. The unaudited pro forma condensed combined balance sheet as of June 30, 2018 gives effect to these transactions as if they had occurred on June 30, 2018.</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unaudited pro forma condensed combined financial information is based on the assumptions and adjustments that are described in the accompanying notes.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preliminary and has been prepared for illustrative purposes only and is not necessarily indicative of the financial position or results of operations in future periods or the results that actually would have been realized had Marker and Marker Cell been a combined company during the specified periods. The actual results reported in periods following the transaction may differ significantly from those reflected in the pro forma financial information presented herein for a number of reasons, including, but not limited to, differences between the assumptions used to prepare this pro forma financial information.</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assumptions and estimates underlying the unaudited adjustments to the pro forma condensed combined financial statements are described in the accompanying notes, which should be read together with the pro forma condensed combined financial statements.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should be read together with Marker’s historical financial statements, which are included in Marker’s latest annual report on Form 10-K filed with the Securities and Exchange Commission (“SEC”) on March 23, 2018 and the June 30, 2018 results included in Marker’s report on Form 10-Q filed with the SEC on August 9, 2018, and Marker Cell’s historical information included herein.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Pro Forma Condensed Combined Balance Sheet as of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Pro Forma</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Pro Forma</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Marker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Marker Cell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4"/>
              </w:rPr>
              <w:t>Adjustments</w:t>
            </w:r>
          </w:p>
        </w:tc>
        <w:tc>
          <w:tcPr>
            <w:tcW w:w="1560" w:type="dxa"/>
            <w:vAlign w:val="bottom"/>
            <w:gridSpan w:val="2"/>
          </w:tcPr>
          <w:p>
            <w:pPr>
              <w:ind w:left="400"/>
              <w:spacing w:after="0"/>
              <w:rPr>
                <w:sz w:val="20"/>
                <w:szCs w:val="20"/>
                <w:color w:val="auto"/>
              </w:rPr>
            </w:pPr>
            <w:r>
              <w:rPr>
                <w:rFonts w:ascii="Arial" w:cs="Arial" w:eastAsia="Arial" w:hAnsi="Arial"/>
                <w:sz w:val="16"/>
                <w:szCs w:val="16"/>
                <w:b w:val="1"/>
                <w:bCs w:val="1"/>
                <w:color w:val="auto"/>
              </w:rPr>
              <w:t>Note 3</w:t>
            </w:r>
          </w:p>
        </w:tc>
        <w:tc>
          <w:tcPr>
            <w:tcW w:w="18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Combined</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7,783</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61,100</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6"/>
                <w:szCs w:val="16"/>
                <w:b w:val="1"/>
                <w:bCs w:val="1"/>
                <w:color w:val="auto"/>
              </w:rPr>
              <w:t>(e)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Prepaid expense and other current assets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61,100</w:t>
            </w:r>
          </w:p>
        </w:tc>
        <w:tc>
          <w:tcPr>
            <w:tcW w:w="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69,069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Intangible assets</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61,100</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1,250</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6"/>
                <w:szCs w:val="16"/>
                <w:b w:val="1"/>
                <w:bCs w:val="1"/>
                <w:color w:val="auto"/>
              </w:rPr>
              <w:t>(c)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Loan payable to related party</w:t>
            </w:r>
          </w:p>
        </w:tc>
        <w:tc>
          <w:tcPr>
            <w:tcW w:w="22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Warrant liability</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Promissory note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1,250</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b w:val="1"/>
                <w:bCs w:val="1"/>
                <w:color w:val="auto"/>
              </w:rPr>
              <w:t>Stockholders' equity (deficit)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Common Stock, $.001 par value</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(1)</w:t>
            </w:r>
          </w:p>
        </w:tc>
        <w:tc>
          <w:tcPr>
            <w:tcW w:w="1560" w:type="dxa"/>
            <w:vAlign w:val="bottom"/>
            <w:gridSpan w:val="2"/>
          </w:tcPr>
          <w:p>
            <w:pPr>
              <w:ind w:left="580"/>
              <w:spacing w:after="0"/>
              <w:rPr>
                <w:sz w:val="20"/>
                <w:szCs w:val="20"/>
                <w:color w:val="auto"/>
              </w:rPr>
            </w:pPr>
            <w:r>
              <w:rPr>
                <w:rFonts w:ascii="Arial" w:cs="Arial" w:eastAsia="Arial" w:hAnsi="Arial"/>
                <w:sz w:val="16"/>
                <w:szCs w:val="16"/>
                <w:b w:val="1"/>
                <w:bCs w:val="1"/>
                <w:color w:val="auto"/>
              </w:rPr>
              <w:t>(b)</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30</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6"/>
                <w:szCs w:val="16"/>
                <w:b w:val="1"/>
                <w:bCs w:val="1"/>
                <w:color w:val="auto"/>
              </w:rPr>
              <w:t>(a)</w:t>
            </w:r>
          </w:p>
        </w:tc>
        <w:tc>
          <w:tcPr>
            <w:tcW w:w="1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Additional paid-in-capital</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170,288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(30)</w:t>
            </w:r>
          </w:p>
        </w:tc>
        <w:tc>
          <w:tcPr>
            <w:tcW w:w="1560" w:type="dxa"/>
            <w:vAlign w:val="bottom"/>
            <w:gridSpan w:val="2"/>
          </w:tcPr>
          <w:p>
            <w:pPr>
              <w:ind w:left="580"/>
              <w:spacing w:after="0"/>
              <w:rPr>
                <w:sz w:val="20"/>
                <w:szCs w:val="20"/>
                <w:color w:val="auto"/>
              </w:rPr>
            </w:pPr>
            <w:r>
              <w:rPr>
                <w:rFonts w:ascii="Arial" w:cs="Arial" w:eastAsia="Arial" w:hAnsi="Arial"/>
                <w:sz w:val="16"/>
                <w:szCs w:val="16"/>
                <w:b w:val="1"/>
                <w:bCs w:val="1"/>
                <w:color w:val="auto"/>
              </w:rPr>
              <w:t>(a)</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347,403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(5,322)</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6"/>
                <w:szCs w:val="16"/>
                <w:b w:val="1"/>
                <w:bCs w:val="1"/>
                <w:color w:val="auto"/>
              </w:rPr>
              <w:t>(b)</w:t>
            </w:r>
          </w:p>
        </w:tc>
        <w:tc>
          <w:tcPr>
            <w:tcW w:w="1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116,045</w:t>
            </w:r>
          </w:p>
        </w:tc>
        <w:tc>
          <w:tcPr>
            <w:tcW w:w="1560" w:type="dxa"/>
            <w:vAlign w:val="bottom"/>
            <w:gridSpan w:val="2"/>
          </w:tcPr>
          <w:p>
            <w:pPr>
              <w:ind w:left="580"/>
              <w:spacing w:after="0"/>
              <w:rPr>
                <w:sz w:val="20"/>
                <w:szCs w:val="20"/>
                <w:color w:val="auto"/>
              </w:rPr>
            </w:pPr>
            <w:r>
              <w:rPr>
                <w:rFonts w:ascii="Arial" w:cs="Arial" w:eastAsia="Arial" w:hAnsi="Arial"/>
                <w:sz w:val="16"/>
                <w:szCs w:val="16"/>
                <w:b w:val="1"/>
                <w:bCs w:val="1"/>
                <w:color w:val="auto"/>
              </w:rPr>
              <w:t>(b)</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61,100</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6"/>
                <w:szCs w:val="16"/>
                <w:b w:val="1"/>
                <w:bCs w:val="1"/>
                <w:color w:val="auto"/>
              </w:rPr>
              <w:t>(e)</w:t>
            </w:r>
          </w:p>
        </w:tc>
        <w:tc>
          <w:tcPr>
            <w:tcW w:w="1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(166,157)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99"/>
              <w:spacing w:after="0"/>
              <w:rPr>
                <w:sz w:val="20"/>
                <w:szCs w:val="20"/>
                <w:color w:val="auto"/>
              </w:rPr>
            </w:pPr>
            <w:r>
              <w:rPr>
                <w:rFonts w:ascii="Arial" w:cs="Arial" w:eastAsia="Arial" w:hAnsi="Arial"/>
                <w:sz w:val="16"/>
                <w:szCs w:val="16"/>
                <w:color w:val="auto"/>
              </w:rPr>
              <w:t>(5,419)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5,419</w:t>
            </w:r>
          </w:p>
        </w:tc>
        <w:tc>
          <w:tcPr>
            <w:tcW w:w="1560" w:type="dxa"/>
            <w:vAlign w:val="bottom"/>
            <w:gridSpan w:val="2"/>
          </w:tcPr>
          <w:p>
            <w:pPr>
              <w:ind w:left="580"/>
              <w:spacing w:after="0"/>
              <w:rPr>
                <w:sz w:val="20"/>
                <w:szCs w:val="20"/>
                <w:color w:val="auto"/>
              </w:rPr>
            </w:pPr>
            <w:r>
              <w:rPr>
                <w:rFonts w:ascii="Arial" w:cs="Arial" w:eastAsia="Arial" w:hAnsi="Arial"/>
                <w:sz w:val="16"/>
                <w:szCs w:val="16"/>
                <w:b w:val="1"/>
                <w:bCs w:val="1"/>
                <w:color w:val="auto"/>
              </w:rPr>
              <w:t>(b)</w:t>
            </w:r>
          </w:p>
        </w:tc>
        <w:tc>
          <w:tcPr>
            <w:tcW w:w="1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(283,548)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(116,141)</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6"/>
                <w:szCs w:val="16"/>
                <w:b w:val="1"/>
                <w:bCs w:val="1"/>
                <w:color w:val="auto"/>
              </w:rPr>
              <w:t>(b)</w:t>
            </w:r>
          </w:p>
        </w:tc>
        <w:tc>
          <w:tcPr>
            <w:tcW w:w="1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(1,250)</w:t>
            </w:r>
          </w:p>
        </w:tc>
        <w:tc>
          <w:tcPr>
            <w:tcW w:w="1560" w:type="dxa"/>
            <w:vAlign w:val="bottom"/>
            <w:gridSpan w:val="2"/>
          </w:tcPr>
          <w:p>
            <w:pPr>
              <w:ind w:left="580"/>
              <w:spacing w:after="0"/>
              <w:rPr>
                <w:sz w:val="20"/>
                <w:szCs w:val="20"/>
                <w:color w:val="auto"/>
              </w:rPr>
            </w:pPr>
            <w:r>
              <w:rPr>
                <w:rFonts w:ascii="Arial" w:cs="Arial" w:eastAsia="Arial" w:hAnsi="Arial"/>
                <w:sz w:val="16"/>
                <w:szCs w:val="16"/>
                <w:b w:val="1"/>
                <w:bCs w:val="1"/>
                <w:color w:val="auto"/>
              </w:rPr>
              <w:t>(c)</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stockholders' equity (deficit)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59,850</w:t>
            </w:r>
          </w:p>
        </w:tc>
        <w:tc>
          <w:tcPr>
            <w:tcW w:w="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63,899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7,892</w:t>
            </w:r>
          </w:p>
        </w:tc>
        <w:tc>
          <w:tcPr>
            <w:tcW w:w="2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17"/>
                <w:szCs w:val="17"/>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61,100</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69,069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Pro Forma Condensed Combined Statement of Operations — Six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Pro Forma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Marker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Marker Cell</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5"/>
              </w:rPr>
              <w:t>Adjustments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Note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320"/>
              <w:spacing w:after="0"/>
              <w:rPr>
                <w:sz w:val="20"/>
                <w:szCs w:val="20"/>
                <w:color w:val="auto"/>
              </w:rPr>
            </w:pPr>
            <w:r>
              <w:rPr>
                <w:rFonts w:ascii="Arial" w:cs="Arial" w:eastAsia="Arial" w:hAnsi="Arial"/>
                <w:sz w:val="18"/>
                <w:szCs w:val="18"/>
                <w:color w:val="auto"/>
              </w:rPr>
              <w:t>Grant income</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 licensed acquired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4,948</w:t>
            </w:r>
          </w:p>
        </w:tc>
        <w:tc>
          <w:tcPr>
            <w:tcW w:w="10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106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(5,129)</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8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(5,129</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(13,138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loss per share: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1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11,233,755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31,414,255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(d)</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42,648,010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Pro Forma Condensed Combined Statement of Operations — Year Ended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Pro Forma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Marker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Marker Cell</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5"/>
              </w:rPr>
              <w:t>Adjustments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Note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Grant income</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10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Debt extinguishment gain</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0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(10,982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 per share: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9,453,483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31,414,255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(d)</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40,867,738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Notes to the 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Transaction and Basis of Presentation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unaudited pro forma condensed combined financial information was prepared in accordance with U.S. GAAP and pursuant to the rules and regulations of SEC Regulation S-X and presents the pro forma financial position and results of operations of the combined companies based upon the historical data of Marker and Marker Cell.</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purposes of the unaudited pro forma combined financial information, the accounting policies of Marker and Marker Cell are aligned with no differences. Accordingly, no effect has been provided for the pro forma adjustments described in Note 4, “Pro forma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17, 2018, Marker Therapeutics, Inc., formerly TapImmune Inc., a Nevada corporation (“Marker” or the “Company”), completed its business combination with Marker Therapeutics, Inc., a privately-held Delaware corporation (“Marker Cell”) dedicated to the development of adoptive non-gene modified T cell therapies for the treatment of hematologic malignancies and solid tumors, in accordance with the terms of an Agreement and Plan of Merger and Reorganization, dated as of May 15, 2018 (the “Merger Agreement”), by and among the Company, Timberwolf Merger Sub, Inc., a Delaware corporation and wholly owned subsidiary of the Company (“Merger Sub”), and Marker Cell. On October 17, 2018, pursuant to the Merger Agreement, Merger Sub was merged with and into Marker Cell (the “Merger”), with Marker Cell being the surviving corporation and becoming a wholly owned subsidiary of the Company. In connection with the Merger, the Company changed its name to Marker Therapeutics, Inc., and Marker Cell changed its name to Marker Cell Therapy, Inc.</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17, 2018, concurrent with the completion of the Merger, the Company issued to certain accredited investors in a private placement transaction (the “Financing”), an aggregate of 17,500,000 shares of its common stock, and warrants to purchase 13,437,500 shares of common stock at an exercise price of $5.00 per share with a five-year term, for aggregate proceeds of $70 million pursuant to the terms of the Securities Purchase Agreements, dated June 8, 2018, by and among the Company and certain accredited investors (the “Securities Purchase Agreements”). Upon consummation of the Financing, and as a condition to the Securities Purchase Agreements, the Company is, among other things, obligated to file a resale registration statement with the SEC within 15 days following completion of the Financing.</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Marker Cell stockholders received (i) an aggregate of 13,914,255 shares of Marker’s common stock which equaled the number of shares of Marker common stock issued and outstanding immediately prior to the effective time of the Merger, and (ii) an aggregate of 5,046,003 warrants, at an exercise price of $2.99 per share with a five-year term, which equaled the number of Marker warrants and stock options issued and outstanding immediately prior to the effective time of the Merger.</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taking into account the issuance of shares in the Financing described above, immediately following the effective time of the Merger, the pro forma ownership of the issued and outstanding shares of Marker common stock on a fully diluted basis (assuming all issued and outstanding warrants and options are exercised) will be approximately as follows: Marker Cell’s former stockholders 27.5%, Marker’s stockholders prior to the Merger 27.5%, and the private placement stockholders 45%. Following the completion of the Merger and the Financing, there were 45,328,510 issued and outstanding shares of the Company’s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both"/>
        <w:ind w:right="20" w:firstLine="324"/>
        <w:spacing w:after="0" w:line="308" w:lineRule="auto"/>
        <w:rPr>
          <w:sz w:val="20"/>
          <w:szCs w:val="20"/>
          <w:color w:val="auto"/>
        </w:rPr>
      </w:pPr>
      <w:r>
        <w:rPr>
          <w:rFonts w:ascii="Arial" w:cs="Arial" w:eastAsia="Arial" w:hAnsi="Arial"/>
          <w:sz w:val="17"/>
          <w:szCs w:val="17"/>
          <w:color w:val="auto"/>
        </w:rPr>
        <w:t>The issuance of the shares of Company common stock to the former stockholders of Marker in connection with the Merger and related transactions was approved by the Company’s stockholders at the 2018 annual meeting of stockholders (the “2018 Annual Meeting”) held on October 16, 2018.</w:t>
      </w:r>
    </w:p>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Merger, the Company filed an amendment to its articles of incorporation in Nevada to increase the authorized shares of common stock from 41,666,667 shares to 150,000,000 shares and to change the Company’s name to Marker Therapeutics, Inc. (“Certificate of Amendment”). The Company then reincorporated from a Nevada corporation to a Delaware corporation and filed its certificate of incorporation in Delaware. Finally, a certificate of merger was filed in Delaware to merge Marker Cell Therapy, Inc. (f/k/a Marker Therapeutics, Inc.) with and into Merger Sub, with Marker Cell Therapy, Inc. being the surviving corporation and wholly owned subsidiary of the Company. The name change, reincorporation and Merger were all effective as of October 17, 2018. Beginning as of the market open on October 18, 2018, shares of the Company’s common stock commenced trading on The Nasdaq Capital Market under the new ticker symbol “MRKR” and has a new CUSIP number, 57055L 107.</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17, 2017, effective at the effective time of the Merger, the following Marker directors, Glynn Wilson, Mark Reddish, Sherry Grisewood and Joshua Silverman, resigned from the Company’s board of directors, and John Wilson, Juan Vera and David Eansor were appointed to the Company’s board of directors. Accordingly, at and immediately after the effective time of the Merger, the directors serving on the board of directors of the Company are: Peter Hoang, David-Laskow-Pooley, Frederick Wasserman, John Wilson, Juan Vera and David Eansor. Mr. Wasserman was designated as Chairman of the newly constituted board. Along with Mr. Wasserman and Mr. Laskow-Pooley, each of Messrs. Wilson and Eansor were determined to be independent under Nasdaq Marketplace Rule 5605(a)(2). Dr. Juan Vera was anticipated to serve the Company as our Chief Development Officer, and as such was not considered to be independent.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100" w:firstLine="275"/>
        <w:spacing w:after="0" w:line="297" w:lineRule="auto"/>
        <w:rPr>
          <w:sz w:val="20"/>
          <w:szCs w:val="20"/>
          <w:color w:val="auto"/>
        </w:rPr>
      </w:pPr>
      <w:r>
        <w:rPr>
          <w:rFonts w:ascii="Arial" w:cs="Arial" w:eastAsia="Arial" w:hAnsi="Arial"/>
          <w:sz w:val="16"/>
          <w:szCs w:val="16"/>
          <w:color w:val="auto"/>
        </w:rPr>
        <w:t>Marker has concluded that the transaction represents a transaction that will be accounted for as an asset acquisition in accordance with FASB ASC 805-50 and FASB ASC 350 as the majority of the fair value of the assets acquired was concentrated in a group of similar assets, and the acquired assets did not have outputs or employees. The assets acquired had not yet received regulatory approval, the $116.0 million purchase price for Marker Cell’s intangible assets will be expensed in the Company’s statement of operations on the consummation of the transaction. In addition, the potential milestone payments are not yet considered probable, and no milestone payments have been accrued in this pro forma financial statement at June 30,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Preliminary purchase price allocation</w:t>
      </w:r>
    </w:p>
    <w:p>
      <w:pPr>
        <w:spacing w:after="0" w:line="229" w:lineRule="exact"/>
        <w:rPr>
          <w:sz w:val="20"/>
          <w:szCs w:val="20"/>
          <w:color w:val="auto"/>
        </w:rPr>
      </w:pPr>
    </w:p>
    <w:p>
      <w:pPr>
        <w:jc w:val="both"/>
        <w:ind w:left="100" w:firstLine="275"/>
        <w:spacing w:after="0" w:line="277" w:lineRule="auto"/>
        <w:rPr>
          <w:sz w:val="20"/>
          <w:szCs w:val="20"/>
          <w:color w:val="auto"/>
        </w:rPr>
      </w:pPr>
      <w:r>
        <w:rPr>
          <w:rFonts w:ascii="Arial" w:cs="Arial" w:eastAsia="Arial" w:hAnsi="Arial"/>
          <w:sz w:val="18"/>
          <w:szCs w:val="18"/>
          <w:color w:val="auto"/>
        </w:rPr>
        <w:t>For pro forma purposes, the fair value of Marker Cell’s common shares used in determining the purchase price was $8.34 per share based on the closing price of Marker common shares on the Nasdaq Capital Market on October 17, 2018.</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the preliminary estimate of the fair value assets acquired and the liabilities assumed by TapImmune in the merger, reconciled to the purchase price transferred (in thousands):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-130175</wp:posOffset>
            </wp:positionV>
            <wp:extent cx="615759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Loan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615759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5"/>
          <w:szCs w:val="15"/>
          <w:color w:val="auto"/>
        </w:rPr>
        <w:t>Research and development expense</w:t>
      </w:r>
    </w:p>
    <w:p>
      <w:pPr>
        <w:spacing w:after="0" w:line="4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6157595"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 forma adjustments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26"/>
        <w:spacing w:after="0"/>
        <w:rPr>
          <w:sz w:val="20"/>
          <w:szCs w:val="20"/>
          <w:color w:val="auto"/>
        </w:rPr>
      </w:pPr>
      <w:r>
        <w:rPr>
          <w:rFonts w:ascii="Arial" w:cs="Arial" w:eastAsia="Arial" w:hAnsi="Arial"/>
          <w:sz w:val="18"/>
          <w:szCs w:val="18"/>
          <w:b w:val="1"/>
          <w:bCs w:val="1"/>
          <w:color w:val="auto"/>
        </w:rPr>
        <w:t>Dr (Cr.)</w:t>
      </w:r>
    </w:p>
    <w:p>
      <w:pPr>
        <w:spacing w:after="0" w:line="27" w:lineRule="exact"/>
        <w:rPr>
          <w:sz w:val="20"/>
          <w:szCs w:val="20"/>
          <w:color w:val="auto"/>
        </w:rPr>
      </w:pPr>
    </w:p>
    <w:p>
      <w:pPr>
        <w:ind w:left="866" w:hanging="866"/>
        <w:spacing w:after="0"/>
        <w:tabs>
          <w:tab w:leader="none" w:pos="866" w:val="left"/>
        </w:tabs>
        <w:numPr>
          <w:ilvl w:val="0"/>
          <w:numId w:val="6"/>
        </w:numPr>
        <w:rPr>
          <w:rFonts w:ascii="Arial" w:cs="Arial" w:eastAsia="Arial" w:hAnsi="Arial"/>
          <w:sz w:val="18"/>
          <w:szCs w:val="18"/>
          <w:color w:val="auto"/>
        </w:rPr>
      </w:pPr>
      <w:r>
        <w:rPr>
          <w:rFonts w:ascii="Arial" w:cs="Arial" w:eastAsia="Arial" w:hAnsi="Arial"/>
          <w:sz w:val="18"/>
          <w:szCs w:val="18"/>
          <w:color w:val="auto"/>
        </w:rPr>
        <w:t>77</w:t>
      </w:r>
    </w:p>
    <w:p>
      <w:pPr>
        <w:spacing w:after="0" w:line="22" w:lineRule="exact"/>
        <w:rPr>
          <w:rFonts w:ascii="Arial" w:cs="Arial" w:eastAsia="Arial" w:hAnsi="Arial"/>
          <w:sz w:val="18"/>
          <w:szCs w:val="18"/>
          <w:color w:val="auto"/>
        </w:rPr>
      </w:pPr>
    </w:p>
    <w:p>
      <w:pPr>
        <w:ind w:left="806"/>
        <w:spacing w:after="0"/>
        <w:rPr>
          <w:rFonts w:ascii="Arial" w:cs="Arial" w:eastAsia="Arial" w:hAnsi="Arial"/>
          <w:sz w:val="18"/>
          <w:szCs w:val="18"/>
          <w:color w:val="auto"/>
        </w:rPr>
      </w:pPr>
      <w:r>
        <w:rPr>
          <w:rFonts w:ascii="Arial" w:cs="Arial" w:eastAsia="Arial" w:hAnsi="Arial"/>
          <w:sz w:val="16"/>
          <w:szCs w:val="16"/>
          <w:color w:val="auto"/>
        </w:rPr>
        <w:t>(73)</w:t>
      </w:r>
    </w:p>
    <w:p>
      <w:pPr>
        <w:spacing w:after="0" w:line="32"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7"/>
          <w:szCs w:val="17"/>
          <w:color w:val="auto"/>
        </w:rPr>
        <w:t>116,141</w:t>
      </w:r>
    </w:p>
    <w:p>
      <w:pPr>
        <w:spacing w:after="0" w:line="47" w:lineRule="exact"/>
        <w:rPr>
          <w:sz w:val="20"/>
          <w:szCs w:val="20"/>
          <w:color w:val="auto"/>
        </w:rPr>
      </w:pPr>
    </w:p>
    <w:p>
      <w:pPr>
        <w:ind w:left="466" w:hanging="466"/>
        <w:spacing w:after="0"/>
        <w:tabs>
          <w:tab w:leader="none" w:pos="466" w:val="left"/>
        </w:tabs>
        <w:numPr>
          <w:ilvl w:val="0"/>
          <w:numId w:val="7"/>
        </w:numPr>
        <w:rPr>
          <w:rFonts w:ascii="Arial" w:cs="Arial" w:eastAsia="Arial" w:hAnsi="Arial"/>
          <w:sz w:val="17"/>
          <w:szCs w:val="17"/>
          <w:color w:val="auto"/>
        </w:rPr>
      </w:pPr>
      <w:r>
        <w:rPr>
          <w:rFonts w:ascii="Arial" w:cs="Arial" w:eastAsia="Arial" w:hAnsi="Arial"/>
          <w:sz w:val="17"/>
          <w:szCs w:val="17"/>
          <w:color w:val="auto"/>
        </w:rPr>
        <w:t>116,045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668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2">
            <w:col w:w="8694" w:space="720"/>
            <w:col w:w="2006"/>
          </w:cols>
          <w:pgMar w:left="240" w:top="908" w:right="239" w:bottom="1440" w:gutter="0" w:footer="0" w:header="0"/>
          <w:type w:val="continuous"/>
        </w:sectPr>
      </w:pPr>
    </w:p>
    <w:p>
      <w:pPr>
        <w:spacing w:after="0" w:line="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pro forma adjustments are based on our preliminary estimates and assumptions that are subject to change. The estimated issuance of shares is based upon a preliminary exchange ratio that will be subject to change as well. The following adjustments have been reflected in the unaudited pro forma condensed combined financial information: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6" w:name="page37"/>
    <w:bookmarkEnd w:id="36"/>
    <w:p>
      <w:pPr>
        <w:ind w:left="80" w:right="140" w:firstLine="284"/>
        <w:spacing w:after="0" w:line="277" w:lineRule="auto"/>
        <w:tabs>
          <w:tab w:leader="none" w:pos="6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issuance of 13,914,255 shares of Marker and the issuance of 17,500,000 shares for gross offering proceeds of $70 million (net proceeds of $61.1 million) and its effect on the ordinary shares and additional paid in capital accounts (in thousands).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Common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Additional</w:t>
            </w:r>
          </w:p>
        </w:tc>
      </w:tr>
      <w:tr>
        <w:trPr>
          <w:trHeight w:val="234"/>
        </w:trPr>
        <w:tc>
          <w:tcPr>
            <w:tcW w:w="79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9"/>
              </w:rPr>
              <w:t>Paid in Capital</w:t>
            </w: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13,914,255 shares</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w w:val="72"/>
              </w:rPr>
              <w:t>(13)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Issuance of 17,500,000 private placement shares</w:t>
            </w:r>
          </w:p>
        </w:tc>
        <w:tc>
          <w:tcPr>
            <w:tcW w:w="98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w w:val="99"/>
              </w:rPr>
              <w:t>(17)</w:t>
            </w:r>
          </w:p>
        </w:tc>
      </w:tr>
      <w:tr>
        <w:trPr>
          <w:trHeight w:val="210"/>
        </w:trPr>
        <w:tc>
          <w:tcPr>
            <w:tcW w:w="79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w w:val="72"/>
              </w:rPr>
              <w:t>(30)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20" w:firstLine="332"/>
        <w:spacing w:after="0" w:line="277" w:lineRule="auto"/>
        <w:tabs>
          <w:tab w:leader="none" w:pos="59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elimination of the historical equity of Marker Cell’s equity and the initial allocation of excess purchase price to research and development expense, as follows (in thousands):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116,045(y)</w:t>
            </w:r>
          </w:p>
        </w:tc>
      </w:tr>
      <w:tr>
        <w:trPr>
          <w:trHeight w:val="216"/>
        </w:trPr>
        <w:tc>
          <w:tcPr>
            <w:tcW w:w="5240" w:type="dxa"/>
            <w:vAlign w:val="bottom"/>
          </w:tcPr>
          <w:p>
            <w:pPr>
              <w:ind w:left="120"/>
              <w:spacing w:after="0"/>
              <w:rPr>
                <w:sz w:val="20"/>
                <w:szCs w:val="20"/>
                <w:color w:val="auto"/>
              </w:rPr>
            </w:pPr>
            <w:r>
              <w:rPr>
                <w:rFonts w:ascii="Arial" w:cs="Arial" w:eastAsia="Arial" w:hAnsi="Arial"/>
                <w:sz w:val="18"/>
                <w:szCs w:val="18"/>
                <w:color w:val="auto"/>
              </w:rPr>
              <w:t>Common Stock, $.001 par value</w:t>
            </w: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paid-in-capital</w:t>
            </w:r>
          </w:p>
        </w:tc>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(5,322)</w:t>
            </w:r>
          </w:p>
        </w:tc>
      </w:tr>
      <w:tr>
        <w:trPr>
          <w:trHeight w:val="230"/>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deficit</w:t>
            </w:r>
          </w:p>
        </w:tc>
        <w:tc>
          <w:tcPr>
            <w:tcW w:w="2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w:t>
            </w:r>
          </w:p>
        </w:tc>
        <w:tc>
          <w:tcPr>
            <w:tcW w:w="220" w:type="dxa"/>
            <w:vAlign w:val="bottom"/>
            <w:tcBorders>
              <w:bottom w:val="single" w:sz="8" w:color="CCEEFF"/>
            </w:tcBorders>
          </w:tcPr>
          <w:p>
            <w:pPr>
              <w:spacing w:after="0"/>
              <w:rPr>
                <w:sz w:val="19"/>
                <w:szCs w:val="19"/>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116,141</w:t>
            </w:r>
          </w:p>
        </w:tc>
        <w:tc>
          <w:tcPr>
            <w:tcW w:w="2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18097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640" w:hanging="328"/>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Consideration of $116.0 million represents the market value ($8.34 per share as of October 17, 2018) on approximately 13.9 million common shares of Marker Cell.</w:t>
      </w:r>
    </w:p>
    <w:p>
      <w:pPr>
        <w:spacing w:after="0" w:line="170" w:lineRule="exact"/>
        <w:rPr>
          <w:sz w:val="20"/>
          <w:szCs w:val="20"/>
          <w:color w:val="auto"/>
        </w:rPr>
      </w:pPr>
    </w:p>
    <w:p>
      <w:pPr>
        <w:ind w:left="640" w:right="20" w:hanging="328"/>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an adjustment of approximately $1.3 million for the estimated transaction costs for both Marker and Marker Cell, such as adviser fees, legal and accounting expenses that were not incurred as of June 30, 2018.</w:t>
      </w:r>
    </w:p>
    <w:p>
      <w:pPr>
        <w:spacing w:after="0" w:line="170" w:lineRule="exact"/>
        <w:rPr>
          <w:rFonts w:ascii="Arial" w:cs="Arial" w:eastAsia="Arial" w:hAnsi="Arial"/>
          <w:sz w:val="18"/>
          <w:szCs w:val="18"/>
          <w:color w:val="auto"/>
        </w:rPr>
      </w:pPr>
    </w:p>
    <w:p>
      <w:pPr>
        <w:ind w:left="640" w:hanging="32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increase in the weighted average shares due to the issuance of 31,414,255 shares in connection with the Merger.</w:t>
      </w:r>
    </w:p>
    <w:p>
      <w:pPr>
        <w:spacing w:after="0" w:line="225" w:lineRule="exact"/>
        <w:rPr>
          <w:rFonts w:ascii="Arial" w:cs="Arial" w:eastAsia="Arial" w:hAnsi="Arial"/>
          <w:sz w:val="18"/>
          <w:szCs w:val="18"/>
          <w:color w:val="auto"/>
        </w:rPr>
      </w:pPr>
    </w:p>
    <w:p>
      <w:pPr>
        <w:jc w:val="both"/>
        <w:ind w:left="640" w:hanging="328"/>
        <w:spacing w:after="0" w:line="279"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Represents the issuance of 17,500,000 shares for gross offering proceeds of $70 million (net proceeds of $61.1 million) in connection with the June 8, 2018 private placement. Each share of common stock was issued with a warrant to purchase 0.75 additional shares of the Company’s common stock at an exercise price of $5.00 per share for an aggregate of 13,125,000 warrants. We have not assessed the warrant to determine if such warrant should be recorded as a derivative in accordance with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6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25"/>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2020-01-12T00:22:22Z</dcterms:created>
  <dcterms:modified xsi:type="dcterms:W3CDTF">2020-01-12T00:22:22Z</dcterms:modified>
</cp:coreProperties>
</file>