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March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080" w:type="dxa"/>
            <w:vAlign w:val="bottom"/>
            <w:gridSpan w:val="2"/>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001-37939</w:t>
            </w:r>
          </w:p>
        </w:tc>
        <w:tc>
          <w:tcPr>
            <w:tcW w:w="22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45-4497941</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33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80" w:type="dxa"/>
            <w:vAlign w:val="bottom"/>
          </w:tcPr>
          <w:p>
            <w:pPr>
              <w:spacing w:after="0"/>
              <w:rPr>
                <w:sz w:val="20"/>
                <w:szCs w:val="20"/>
                <w:color w:val="auto"/>
              </w:rPr>
            </w:pPr>
          </w:p>
        </w:tc>
        <w:tc>
          <w:tcPr>
            <w:tcW w:w="376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0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00" w:type="dxa"/>
            <w:vAlign w:val="bottom"/>
            <w:gridSpan w:val="6"/>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2450 Holcombe Blvd, Suite BCM-A, MS: BCM251</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8"/>
        </w:trPr>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580" w:type="dxa"/>
            <w:vAlign w:val="bottom"/>
            <w:gridSpan w:val="3"/>
          </w:tcPr>
          <w:p>
            <w:pPr>
              <w:spacing w:after="0"/>
              <w:rPr>
                <w:sz w:val="17"/>
                <w:szCs w:val="17"/>
                <w:color w:val="auto"/>
              </w:rPr>
            </w:pPr>
          </w:p>
        </w:tc>
        <w:tc>
          <w:tcPr>
            <w:tcW w:w="2900" w:type="dxa"/>
            <w:vAlign w:val="bottom"/>
            <w:gridSpan w:val="5"/>
          </w:tcPr>
          <w:p>
            <w:pPr>
              <w:jc w:val="right"/>
              <w:ind w:right="160"/>
              <w:spacing w:after="0" w:line="191" w:lineRule="exact"/>
              <w:rPr>
                <w:sz w:val="20"/>
                <w:szCs w:val="20"/>
                <w:color w:val="auto"/>
              </w:rPr>
            </w:pPr>
            <w:r>
              <w:rPr>
                <w:rFonts w:ascii="Times New Roman" w:cs="Times New Roman" w:eastAsia="Times New Roman" w:hAnsi="Times New Roman"/>
                <w:sz w:val="18"/>
                <w:szCs w:val="18"/>
                <w:b w:val="1"/>
                <w:bCs w:val="1"/>
                <w:color w:val="auto"/>
              </w:rPr>
              <w:t>77021</w:t>
            </w: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500" w:type="dxa"/>
            <w:vAlign w:val="bottom"/>
            <w:gridSpan w:val="6"/>
          </w:tcPr>
          <w:p>
            <w:pPr>
              <w:jc w:val="center"/>
              <w:ind w:right="8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(713) 400-6400</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On March 31, 2025, 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reported financial results for the year ended December 31, 2024 and other recent corporate updates. A copy of the press release is furnished as Exhibit 99.1 to this report and incorporated by reference.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500" w:type="dxa"/>
            <w:vAlign w:val="bottom"/>
          </w:tcPr>
          <w:p>
            <w:pPr>
              <w:spacing w:after="0"/>
              <w:rPr>
                <w:sz w:val="20"/>
                <w:szCs w:val="20"/>
                <w:color w:val="auto"/>
              </w:rPr>
            </w:pPr>
          </w:p>
        </w:tc>
      </w:tr>
      <w:tr>
        <w:trPr>
          <w:trHeight w:val="391"/>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March 31, 2025</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31, 2025</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Juan Vera</w:t>
            </w:r>
          </w:p>
        </w:tc>
      </w:tr>
      <w:tr>
        <w:trPr>
          <w:trHeight w:val="189"/>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031365"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136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Reports Year-End 2024 Corporate and Financial Results</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Lead program investigating MT-601 in patients with refractory lymphomas, including anti-CD19 CAR-T cell therapy, demonstrated safety and efficacy in 9 patients with 78% having objective responses, including durable complete responses</w:t>
      </w:r>
    </w:p>
    <w:p>
      <w:pPr>
        <w:spacing w:after="0" w:line="158" w:lineRule="exact"/>
        <w:rPr>
          <w:sz w:val="20"/>
          <w:szCs w:val="20"/>
          <w:color w:val="auto"/>
        </w:rPr>
      </w:pPr>
    </w:p>
    <w:p>
      <w:pPr>
        <w:jc w:val="center"/>
        <w:ind w:left="340" w:right="120"/>
        <w:spacing w:after="0" w:line="284" w:lineRule="auto"/>
        <w:rPr>
          <w:sz w:val="20"/>
          <w:szCs w:val="20"/>
          <w:color w:val="auto"/>
        </w:rPr>
      </w:pPr>
      <w:r>
        <w:rPr>
          <w:rFonts w:ascii="Times New Roman" w:cs="Times New Roman" w:eastAsia="Times New Roman" w:hAnsi="Times New Roman"/>
          <w:sz w:val="18"/>
          <w:szCs w:val="18"/>
          <w:i w:val="1"/>
          <w:iCs w:val="1"/>
          <w:color w:val="auto"/>
        </w:rPr>
        <w:t>Secured over $13 million in non-dilutive funding from the Cancer Prevention &amp; Research Institute of Texas (CPRIT) and the National Institute of Health (NIH) Small Business Innovation Research (SBIR) to support pancreatic and lymphoma clinical programs</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Approval from United States Adopted Name (USAN) council and International Nonproprietary Names (INN) expert committee for “neldaleucel” as nonproprietary name for MT-601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Strategic financing to support clinical advancements to investigate MT-601 in patients with lymphoma</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Houston, TX — March 31,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MARKER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MRKR), a clinical-stage immuno-oncology company focusing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developing next-generation T cell-based immunotherapies for the treatment of hematological malignancies and solid tumors, today announced corporate updates and financial results for the year ended December 31, 2024.</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2024, we made substantial progress advancing MT-601, our lead multi antigen recognizing (MAR)-T cell therapy, and laid the groundwork for continued momentum in 2025,” said Juan Vera, M.D., President and Chief Executive Officer of Marker Therapeutics. “Preliminary data from our Phase 1 APOLLO study showed encouraging safety and efficacy results in lymphoma patients who relapsed after anti-CD19 CAR-T cell therapy. With a 78% objective response rate and favorable safety profile, we believe MT-601 has the potential to provide a transformative treatment option for this patient population. We look forward to sharing additional insights during a webinar in the second quarter of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strengthened our financial position through a strategic private placement and additional non-dilutive funding from the NIH and CPRIT. As we move further into 2025, our focus remains on cash preservation and disciplined execution to maximize the impact of our clinical programs,” concluded Dr. Vera.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PROGRAM UPDATES &amp; OPERATIONAL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MT-601 (Lymphoma)</w:t>
      </w:r>
    </w:p>
    <w:p>
      <w:pPr>
        <w:spacing w:after="0" w:line="229"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MT-601, Marker’s lead MAR-T cell therapy, is being evaluated in the nationwide multicenter Phase 1 APOLLO study (</w:t>
      </w:r>
      <w:r>
        <w:rPr>
          <w:rFonts w:ascii="Times New Roman" w:cs="Times New Roman" w:eastAsia="Times New Roman" w:hAnsi="Times New Roman"/>
          <w:sz w:val="18"/>
          <w:szCs w:val="18"/>
          <w:u w:val="single" w:color="auto"/>
          <w:color w:val="auto"/>
        </w:rPr>
        <w:t>CLINICALTRIALS.GOV</w:t>
      </w:r>
      <w:r>
        <w:rPr>
          <w:rFonts w:ascii="Times New Roman" w:cs="Times New Roman" w:eastAsia="Times New Roman" w:hAnsi="Times New Roman"/>
          <w:sz w:val="18"/>
          <w:szCs w:val="18"/>
          <w:color w:val="auto"/>
        </w:rPr>
        <w:t xml:space="preserve"> identifier: NCT05798897) in patients with anti-CD19 CAR-T relapsed lymphoma or where CAR-T cells are not an option.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provided an update on the APOLLO study (</w:t>
      </w:r>
      <w:r>
        <w:rPr>
          <w:rFonts w:ascii="Times New Roman" w:cs="Times New Roman" w:eastAsia="Times New Roman" w:hAnsi="Times New Roman"/>
          <w:sz w:val="18"/>
          <w:szCs w:val="18"/>
          <w:u w:val="single" w:color="auto"/>
          <w:color w:val="auto"/>
        </w:rPr>
        <w:t>Press Release, December 19, 2024</w:t>
      </w:r>
      <w:r>
        <w:rPr>
          <w:rFonts w:ascii="Times New Roman" w:cs="Times New Roman" w:eastAsia="Times New Roman" w:hAnsi="Times New Roman"/>
          <w:sz w:val="18"/>
          <w:szCs w:val="18"/>
          <w:color w:val="auto"/>
        </w:rPr>
        <w:t>). Key findings from the study include:</w:t>
      </w:r>
    </w:p>
    <w:p>
      <w:pPr>
        <w:spacing w:after="0" w:line="225" w:lineRule="exact"/>
        <w:rPr>
          <w:sz w:val="20"/>
          <w:szCs w:val="20"/>
          <w:color w:val="auto"/>
        </w:rPr>
      </w:pPr>
    </w:p>
    <w:p>
      <w:pPr>
        <w:ind w:left="1300" w:hanging="320"/>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MT-601 was well tolerated across all study participants. No immune-effector cell associated neurotoxicity syndrome (ICANS) and one case of Grade 1 cytokine release syndrome (CRS) were observed. No dose limiting toxicities (DLTs) have been reported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643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31365" cy="643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30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In the first dose cohort, 7 out of 9 patients achieved objective responses (78%) at first response assessment, with 4 patients demonstrating complete response (CR; 44.4%).</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in Follow-Up: Three patients have been followed for 6 to 12 months, with ongoing follow-up underway. All study participants are monitored closely to ensure comprehensive data collection and patient safety.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enrolling additional study participants in the Phase 1 APOLLO trial and expects to report further data in the second half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MT-601 (Pancreatic)</w:t>
      </w:r>
    </w:p>
    <w:p>
      <w:pPr>
        <w:spacing w:after="0" w:line="2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received $2 million from NIH SBIR and $9.5 million from CPRIT to support the development of MT-601 in metastatic pancreatic cancer.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program launch is anticipated in the second half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MT-401-OTS (Acute Myeloid Leukemia or Myelodysplastic Syndrome)</w:t>
      </w:r>
    </w:p>
    <w:p>
      <w:pPr>
        <w:spacing w:after="0" w:line="229" w:lineRule="exact"/>
        <w:rPr>
          <w:sz w:val="20"/>
          <w:szCs w:val="20"/>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previously secured non-dilutive funding to support the clinical investigation of MT-401 as an “Off-the-Shelf” (MT-401-OTS) product in patients with Acute Myeloid Leukemia (AML) or Myelodysplastic Syndrome (MDS). MT-401-OTS is manufactured from healthy donors and a cellular inventory has been established with ongoing efforts to expand.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anticipates clinical program initiation during the second half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CORPORATE HIGHLIGHTS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clinical pipeline prioritization in January 2024 to strategically focus on MT-601 in patients with lymphoma. This announcement also included program updates that highlighted the potential of the Company’s MT-401-OTS program for patients with AML (</w:t>
      </w:r>
      <w:r>
        <w:rPr>
          <w:rFonts w:ascii="Times New Roman" w:cs="Times New Roman" w:eastAsia="Times New Roman" w:hAnsi="Times New Roman"/>
          <w:sz w:val="18"/>
          <w:szCs w:val="18"/>
          <w:u w:val="single" w:color="auto"/>
          <w:color w:val="auto"/>
        </w:rPr>
        <w:t>Press Release, January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2024</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Adopted Names (USAN) and International Nonproprietary Names (INN) committees approved “</w:t>
      </w:r>
      <w:r>
        <w:rPr>
          <w:rFonts w:ascii="Times New Roman" w:cs="Times New Roman" w:eastAsia="Times New Roman" w:hAnsi="Times New Roman"/>
          <w:sz w:val="18"/>
          <w:szCs w:val="18"/>
          <w:i w:val="1"/>
          <w:iCs w:val="1"/>
          <w:color w:val="auto"/>
        </w:rPr>
        <w:t>neldaleucel</w:t>
      </w:r>
      <w:r>
        <w:rPr>
          <w:rFonts w:ascii="Times New Roman" w:cs="Times New Roman" w:eastAsia="Times New Roman" w:hAnsi="Times New Roman"/>
          <w:sz w:val="18"/>
          <w:szCs w:val="18"/>
          <w:color w:val="auto"/>
        </w:rPr>
        <w:t>” as the nonproprietary (generic) name for MT-601.</w:t>
      </w:r>
    </w:p>
    <w:p>
      <w:pPr>
        <w:spacing w:after="0" w:line="16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23, 2024, the Company announced a $16.1 million private placement to support the clinical advancements of the Phase 1 APOLLO study. The financing involved participation from new and existing investors, including esteemed firms such as Blue Owl, New Enterprise Associates (NEA) and Aisling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31365" cy="643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2024 FINANCIAL HIGHLIGHTS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Cash Position and Guidance</w:t>
      </w:r>
      <w:r>
        <w:rPr>
          <w:rFonts w:ascii="Times New Roman" w:cs="Times New Roman" w:eastAsia="Times New Roman" w:hAnsi="Times New Roman"/>
          <w:sz w:val="18"/>
          <w:szCs w:val="18"/>
          <w:color w:val="auto"/>
        </w:rPr>
        <w:t>: At December 31, 2024, Marker had cash and cash equivalents of $19.2 million. The Company believes that its existing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cash equivalents will fund its operating expenses into the first quarter of 2026, assuming no additional grant funds are received. We anticipate receiving additional grant funding, which we expect could extend our runway beyond Q1 2026.</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R&amp;D Expenses</w:t>
      </w:r>
      <w:r>
        <w:rPr>
          <w:rFonts w:ascii="Times New Roman" w:cs="Times New Roman" w:eastAsia="Times New Roman" w:hAnsi="Times New Roman"/>
          <w:sz w:val="18"/>
          <w:szCs w:val="18"/>
          <w:color w:val="auto"/>
        </w:rPr>
        <w:t>: Research and development expenses were $13.5 million for the year ended December 31, 2024, compared to $10.4 million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2023.</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G&amp;A Expenses</w:t>
      </w:r>
      <w:r>
        <w:rPr>
          <w:rFonts w:ascii="Times New Roman" w:cs="Times New Roman" w:eastAsia="Times New Roman" w:hAnsi="Times New Roman"/>
          <w:sz w:val="18"/>
          <w:szCs w:val="18"/>
          <w:color w:val="auto"/>
        </w:rPr>
        <w:t>: General and administrative expenses were $4.2 million for the year ended December 31, 2024, compared to $7.5 million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2023.</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Marker reported a net loss of $10.7 million for the year ended December 31, 2024, compared to a net loss of $8.2 million for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MAR-T cells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multi-antigen recognizing (MAR) T cell platform (formerly known as multiTAA-specific T cells) is a novel, non-genetically modified cell therapy approach that selectively expands tumor-specific T cells from a patient's/donor’s blood capable of recognizing a broad range of tumor antigens. Unlike other T cell therapies, MAR-T cells allow the recognition of hundreds of different epitopes within up to six tumor-specific antigens, thereby reducing the possibility of tumor escape. Since MAR-T cells are not genetically engineered, Marker believes that its product candidates will be easier and less expensive to manufacture, with an improved safety profile compared to current engineered T cell approaches, and may provide patients with meaningful clinical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Marker Therapeutics, Inc. is a Houston, TX-based clinical-stage immuno-oncology company specializing in the development of next-generation T cell-based immunotherapies for the treatment of hematological malignancies and solid tumors. The Company was founded at Baylor College of Medicine, and clinical trials that enrolled more than 200 patients across various hematological and solid tumor indications showed that the Company’s autologous and allogeneic MAR-T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timing, conduct, interim results announcements and outcomes of our clinical trials of our product candidates, including MT 601 for the treatment of patients with lymphoma.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its forward-looking statements whether as a result of new information, future events or otherwise, after the date of this press release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64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03136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Prepaid expenses and deposits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receivables</w:t>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5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ind w:right="454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1" w:lineRule="exact"/>
        <w:rPr>
          <w:sz w:val="20"/>
          <w:szCs w:val="20"/>
          <w:color w:val="auto"/>
        </w:rPr>
      </w:pPr>
    </w:p>
    <w:p>
      <w:pPr>
        <w:jc w:val="center"/>
        <w:ind w:right="4500"/>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03" w:lineRule="exact"/>
        <w:rPr>
          <w:sz w:val="20"/>
          <w:szCs w:val="20"/>
          <w:color w:val="auto"/>
        </w:rPr>
      </w:pPr>
    </w:p>
    <w:tbl>
      <w:tblPr>
        <w:tblLayout w:type="fixed"/>
        <w:tblInd w:w="3060" w:type="dxa"/>
        <w:tblCellMar>
          <w:top w:w="0" w:type="dxa"/>
          <w:left w:w="0" w:type="dxa"/>
          <w:bottom w:w="0" w:type="dxa"/>
          <w:right w:w="0" w:type="dxa"/>
        </w:tblCellMar>
      </w:tblPr>
      <w:tr>
        <w:trPr>
          <w:trHeight w:val="229"/>
        </w:trPr>
        <w:tc>
          <w:tcPr>
            <w:tcW w:w="200" w:type="dxa"/>
            <w:vAlign w:val="bottom"/>
          </w:tcPr>
          <w:p>
            <w:pPr>
              <w:spacing w:after="0"/>
              <w:rPr>
                <w:sz w:val="19"/>
                <w:szCs w:val="19"/>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9"/>
                <w:szCs w:val="19"/>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623"/>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19,192,440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15,111,450</w:t>
            </w:r>
          </w:p>
        </w:tc>
        <w:tc>
          <w:tcPr>
            <w:tcW w:w="20" w:type="dxa"/>
            <w:vAlign w:val="bottom"/>
          </w:tcPr>
          <w:p>
            <w:pPr>
              <w:spacing w:after="0"/>
              <w:rPr>
                <w:sz w:val="24"/>
                <w:szCs w:val="24"/>
                <w:color w:val="auto"/>
              </w:rPr>
            </w:pPr>
          </w:p>
        </w:tc>
      </w:tr>
      <w:tr>
        <w:trPr>
          <w:trHeight w:val="229"/>
        </w:trPr>
        <w:tc>
          <w:tcPr>
            <w:tcW w:w="20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483,717</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988,126</w:t>
            </w:r>
          </w:p>
        </w:tc>
        <w:tc>
          <w:tcPr>
            <w:tcW w:w="20" w:type="dxa"/>
            <w:vAlign w:val="bottom"/>
          </w:tcPr>
          <w:p>
            <w:pPr>
              <w:spacing w:after="0"/>
              <w:rPr>
                <w:sz w:val="19"/>
                <w:szCs w:val="19"/>
                <w:color w:val="auto"/>
              </w:rPr>
            </w:pPr>
          </w:p>
        </w:tc>
      </w:tr>
      <w:tr>
        <w:trPr>
          <w:trHeight w:val="234"/>
        </w:trPr>
        <w:tc>
          <w:tcPr>
            <w:tcW w:w="2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2,346,703</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1,027,815</w:t>
            </w:r>
          </w:p>
        </w:tc>
        <w:tc>
          <w:tcPr>
            <w:tcW w:w="20" w:type="dxa"/>
            <w:vAlign w:val="bottom"/>
          </w:tcPr>
          <w:p>
            <w:pPr>
              <w:spacing w:after="0"/>
              <w:rPr>
                <w:sz w:val="20"/>
                <w:szCs w:val="20"/>
                <w:color w:val="auto"/>
              </w:rPr>
            </w:pPr>
          </w:p>
        </w:tc>
      </w:tr>
      <w:tr>
        <w:trPr>
          <w:trHeight w:val="214"/>
        </w:trPr>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22,022,860</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17,127,391</w:t>
            </w:r>
          </w:p>
        </w:tc>
        <w:tc>
          <w:tcPr>
            <w:tcW w:w="20" w:type="dxa"/>
            <w:vAlign w:val="bottom"/>
          </w:tcPr>
          <w:p>
            <w:pPr>
              <w:spacing w:after="0"/>
              <w:rPr>
                <w:sz w:val="18"/>
                <w:szCs w:val="18"/>
                <w:color w:val="auto"/>
              </w:rPr>
            </w:pPr>
          </w:p>
        </w:tc>
      </w:tr>
      <w:tr>
        <w:trPr>
          <w:trHeight w:val="238"/>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22,022,860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17,127,391</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-1028065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-744855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-471170</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-179070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6740"/>
          </w:cols>
          <w:pgMar w:left="320" w:top="1440"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1,753,954</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1,745,193</w:t>
            </w:r>
          </w:p>
        </w:tc>
        <w:tc>
          <w:tcPr>
            <w:tcW w:w="80" w:type="dxa"/>
            <w:vAlign w:val="bottom"/>
            <w:shd w:val="clear" w:color="auto" w:fill="CCEEFF"/>
          </w:tcPr>
          <w:p>
            <w:pPr>
              <w:spacing w:after="0"/>
              <w:rPr>
                <w:sz w:val="18"/>
                <w:szCs w:val="18"/>
                <w:color w:val="auto"/>
              </w:rPr>
            </w:pP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1,710,500</w:t>
            </w:r>
          </w:p>
        </w:tc>
        <w:tc>
          <w:tcPr>
            <w:tcW w:w="4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1,329,655</w:t>
            </w:r>
          </w:p>
        </w:tc>
        <w:tc>
          <w:tcPr>
            <w:tcW w:w="80" w:type="dxa"/>
            <w:vAlign w:val="bottom"/>
          </w:tcPr>
          <w:p>
            <w:pPr>
              <w:spacing w:after="0"/>
              <w:rPr>
                <w:sz w:val="19"/>
                <w:szCs w:val="19"/>
                <w:color w:val="auto"/>
              </w:rPr>
            </w:pPr>
          </w:p>
        </w:tc>
      </w:tr>
      <w:tr>
        <w:trPr>
          <w:trHeight w:val="210"/>
        </w:trPr>
        <w:tc>
          <w:tcPr>
            <w:tcW w:w="74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3,464,454</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3,464,454</w:t>
            </w:r>
          </w:p>
        </w:tc>
        <w:tc>
          <w:tcPr>
            <w:tcW w:w="4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3,074,848</w:t>
            </w:r>
          </w:p>
        </w:tc>
        <w:tc>
          <w:tcPr>
            <w:tcW w:w="80" w:type="dxa"/>
            <w:vAlign w:val="bottom"/>
          </w:tcPr>
          <w:p>
            <w:pPr>
              <w:spacing w:after="0"/>
              <w:rPr>
                <w:sz w:val="19"/>
                <w:szCs w:val="19"/>
                <w:color w:val="auto"/>
              </w:rPr>
            </w:pPr>
          </w:p>
        </w:tc>
      </w:tr>
      <w:tr>
        <w:trPr>
          <w:trHeight w:val="210"/>
        </w:trPr>
        <w:tc>
          <w:tcPr>
            <w:tcW w:w="7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74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 million shares authorized, 0 shares issued and outstanding at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74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30 million shares authorized, 10.7 million and 8.9 million shares</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December 31, 2024 and 2023, respectively (see Note 8)</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10,708</w:t>
            </w:r>
          </w:p>
        </w:tc>
        <w:tc>
          <w:tcPr>
            <w:tcW w:w="4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8,891</w:t>
            </w:r>
          </w:p>
        </w:tc>
        <w:tc>
          <w:tcPr>
            <w:tcW w:w="80" w:type="dxa"/>
            <w:vAlign w:val="bottom"/>
          </w:tcPr>
          <w:p>
            <w:pPr>
              <w:spacing w:after="0"/>
              <w:rPr>
                <w:sz w:val="20"/>
                <w:szCs w:val="20"/>
                <w:color w:val="auto"/>
              </w:rPr>
            </w:pPr>
          </w:p>
        </w:tc>
      </w:tr>
      <w:tr>
        <w:trPr>
          <w:trHeight w:val="21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465,564,876</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450,329,515</w:t>
            </w:r>
          </w:p>
        </w:tc>
        <w:tc>
          <w:tcPr>
            <w:tcW w:w="80" w:type="dxa"/>
            <w:vAlign w:val="bottom"/>
            <w:shd w:val="clear" w:color="auto" w:fill="CCEEFF"/>
          </w:tcPr>
          <w:p>
            <w:pPr>
              <w:spacing w:after="0"/>
              <w:rPr>
                <w:sz w:val="18"/>
                <w:szCs w:val="18"/>
                <w:color w:val="auto"/>
              </w:rPr>
            </w:pP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(447,017,178)</w:t>
            </w:r>
          </w:p>
        </w:tc>
        <w:tc>
          <w:tcPr>
            <w:tcW w:w="400" w:type="dxa"/>
            <w:vAlign w:val="bottom"/>
          </w:tcPr>
          <w:p>
            <w:pPr>
              <w:spacing w:after="0"/>
              <w:rPr>
                <w:sz w:val="19"/>
                <w:szCs w:val="19"/>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(436,285,863)</w:t>
            </w:r>
          </w:p>
        </w:tc>
      </w:tr>
      <w:tr>
        <w:trPr>
          <w:trHeight w:val="210"/>
        </w:trPr>
        <w:tc>
          <w:tcPr>
            <w:tcW w:w="7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18,558,406</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14,052,543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22,022,860</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17,127,391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7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643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31365" cy="643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income</w:t>
            </w:r>
          </w:p>
        </w:tc>
        <w:tc>
          <w:tcPr>
            <w:tcW w:w="206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6,591,080</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3,311,133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6,591,080</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3,311,133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13,467,845</w:t>
            </w:r>
          </w:p>
        </w:tc>
        <w:tc>
          <w:tcPr>
            <w:tcW w:w="6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10,416,789</w:t>
            </w:r>
          </w:p>
        </w:tc>
        <w:tc>
          <w:tcPr>
            <w:tcW w:w="0" w:type="dxa"/>
            <w:vAlign w:val="bottom"/>
          </w:tcPr>
          <w:p>
            <w:pPr>
              <w:spacing w:after="0"/>
              <w:rPr>
                <w:sz w:val="1"/>
                <w:szCs w:val="1"/>
                <w:color w:val="auto"/>
              </w:rPr>
            </w:pPr>
          </w:p>
        </w:tc>
      </w:tr>
      <w:tr>
        <w:trPr>
          <w:trHeight w:val="230"/>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4,241,607</w:t>
            </w:r>
          </w:p>
        </w:tc>
        <w:tc>
          <w:tcPr>
            <w:tcW w:w="6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7,475,722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17,709,452</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17,892,511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(11,118,372)</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(14,581,378)</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437,010</w:t>
            </w:r>
          </w:p>
        </w:tc>
        <w:tc>
          <w:tcPr>
            <w:tcW w:w="6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539,158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6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(10,681,362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(14,042,220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6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49,953</w:t>
            </w:r>
          </w:p>
        </w:tc>
        <w:tc>
          <w:tcPr>
            <w:tcW w:w="2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(10,731,315)</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(14,045,895)</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(2,922,406)</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discontinued operations</w:t>
            </w:r>
          </w:p>
        </w:tc>
        <w:tc>
          <w:tcPr>
            <w:tcW w:w="1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8,731,487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6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5,809,081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(10,731,315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(8,236,814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 basic and diluted</w:t>
            </w:r>
          </w:p>
        </w:tc>
        <w:tc>
          <w:tcPr>
            <w:tcW w:w="206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197"/>
        </w:trPr>
        <w:tc>
          <w:tcPr>
            <w:tcW w:w="588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Income from discontinued operations, basic and diluted</w:t>
            </w: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88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bottom w:val="single" w:sz="8" w:color="CCEEFF"/>
            </w:tcBorders>
            <w:vMerge w:val="continue"/>
          </w:tcPr>
          <w:p>
            <w:pPr>
              <w:spacing w:after="0"/>
              <w:rPr>
                <w:sz w:val="20"/>
                <w:szCs w:val="20"/>
                <w:color w:val="auto"/>
              </w:rPr>
            </w:pPr>
          </w:p>
        </w:tc>
        <w:tc>
          <w:tcPr>
            <w:tcW w:w="6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8,980,207</w:t>
            </w:r>
          </w:p>
        </w:tc>
        <w:tc>
          <w:tcPr>
            <w:tcW w:w="6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8,809,382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8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8,980,207</w:t>
            </w:r>
          </w:p>
        </w:tc>
        <w:tc>
          <w:tcPr>
            <w:tcW w:w="220" w:type="dxa"/>
            <w:vAlign w:val="bottom"/>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8,809,382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643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031365" cy="643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6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3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(10,731,315)</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(8,236,814)</w:t>
            </w:r>
          </w:p>
        </w:tc>
      </w:tr>
      <w:tr>
        <w:trPr>
          <w:trHeight w:val="230"/>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gain from discontinued operations, net of tax</w:t>
            </w: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5,809,081</w:t>
            </w:r>
          </w:p>
        </w:tc>
        <w:tc>
          <w:tcPr>
            <w:tcW w:w="80" w:type="dxa"/>
            <w:vAlign w:val="bottom"/>
            <w:shd w:val="clear" w:color="auto" w:fill="CCEEFF"/>
          </w:tcPr>
          <w:p>
            <w:pPr>
              <w:spacing w:after="0"/>
              <w:rPr>
                <w:sz w:val="19"/>
                <w:szCs w:val="19"/>
                <w:color w:val="auto"/>
              </w:rPr>
            </w:pPr>
          </w:p>
        </w:tc>
      </w:tr>
      <w:tr>
        <w:trPr>
          <w:trHeight w:val="209"/>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(10,731,315)</w:t>
            </w: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(14,045,895)</w:t>
            </w:r>
          </w:p>
        </w:tc>
        <w:tc>
          <w:tcPr>
            <w:tcW w:w="100" w:type="dxa"/>
            <w:vAlign w:val="bottom"/>
            <w:gridSpan w:val="2"/>
          </w:tcPr>
          <w:p>
            <w:pPr>
              <w:spacing w:after="0"/>
              <w:rPr>
                <w:sz w:val="18"/>
                <w:szCs w:val="18"/>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Reconciliation of net loss to net cash used in operating activities:</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245,864</w:t>
            </w:r>
          </w:p>
        </w:tc>
        <w:tc>
          <w:tcPr>
            <w:tcW w:w="6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858,269</w:t>
            </w: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504,409</w:t>
            </w:r>
          </w:p>
        </w:tc>
        <w:tc>
          <w:tcPr>
            <w:tcW w:w="6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861,113</w:t>
            </w:r>
          </w:p>
        </w:tc>
      </w:tr>
      <w:tr>
        <w:trPr>
          <w:trHeight w:val="216"/>
        </w:trPr>
        <w:tc>
          <w:tcPr>
            <w:tcW w:w="6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receivables</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(1,318,888)</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1,374,189</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Related party payable</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380,845</w:t>
            </w:r>
          </w:p>
        </w:tc>
        <w:tc>
          <w:tcPr>
            <w:tcW w:w="6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1,329,655</w:t>
            </w:r>
          </w:p>
        </w:tc>
        <w:tc>
          <w:tcPr>
            <w:tcW w:w="80" w:type="dxa"/>
            <w:vAlign w:val="bottom"/>
          </w:tcPr>
          <w:p>
            <w:pPr>
              <w:spacing w:after="0"/>
              <w:rPr>
                <w:sz w:val="18"/>
                <w:szCs w:val="18"/>
                <w:color w:val="auto"/>
              </w:rPr>
            </w:pPr>
          </w:p>
        </w:tc>
      </w:tr>
      <w:tr>
        <w:trPr>
          <w:trHeight w:val="230"/>
        </w:trPr>
        <w:tc>
          <w:tcPr>
            <w:tcW w:w="6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8,761</w:t>
            </w:r>
          </w:p>
        </w:tc>
        <w:tc>
          <w:tcPr>
            <w:tcW w:w="6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(718,393)</w:t>
            </w:r>
          </w:p>
        </w:tc>
      </w:tr>
      <w:tr>
        <w:trPr>
          <w:trHeight w:val="209"/>
        </w:trPr>
        <w:tc>
          <w:tcPr>
            <w:tcW w:w="6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 continuing operations</w:t>
            </w:r>
          </w:p>
        </w:tc>
        <w:tc>
          <w:tcPr>
            <w:tcW w:w="1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(10,910,324)</w:t>
            </w: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(10,341,062)</w:t>
            </w:r>
          </w:p>
        </w:tc>
        <w:tc>
          <w:tcPr>
            <w:tcW w:w="100" w:type="dxa"/>
            <w:vAlign w:val="bottom"/>
            <w:gridSpan w:val="2"/>
          </w:tcPr>
          <w:p>
            <w:pPr>
              <w:spacing w:after="0"/>
              <w:rPr>
                <w:sz w:val="18"/>
                <w:szCs w:val="18"/>
                <w:color w:val="auto"/>
              </w:rPr>
            </w:pPr>
          </w:p>
        </w:tc>
      </w:tr>
      <w:tr>
        <w:trPr>
          <w:trHeight w:val="230"/>
        </w:trPr>
        <w:tc>
          <w:tcPr>
            <w:tcW w:w="6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 discontinued operations</w:t>
            </w: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(6,098,899)</w:t>
            </w:r>
          </w:p>
        </w:tc>
      </w:tr>
      <w:tr>
        <w:trPr>
          <w:trHeight w:val="209"/>
        </w:trPr>
        <w:tc>
          <w:tcPr>
            <w:tcW w:w="6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(10,910,324)</w:t>
            </w: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(16,439,961)</w:t>
            </w:r>
          </w:p>
        </w:tc>
        <w:tc>
          <w:tcPr>
            <w:tcW w:w="100" w:type="dxa"/>
            <w:vAlign w:val="bottom"/>
            <w:gridSpan w:val="2"/>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provided by investing activities - discontinued operations</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18,664,122</w:t>
            </w:r>
          </w:p>
        </w:tc>
      </w:tr>
      <w:tr>
        <w:trPr>
          <w:trHeight w:val="209"/>
        </w:trPr>
        <w:tc>
          <w:tcPr>
            <w:tcW w:w="63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18,664,122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14,929,155</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1,014,640</w:t>
            </w:r>
          </w:p>
        </w:tc>
        <w:tc>
          <w:tcPr>
            <w:tcW w:w="80" w:type="dxa"/>
            <w:vAlign w:val="bottom"/>
            <w:shd w:val="clear" w:color="auto" w:fill="CCEEFF"/>
          </w:tcPr>
          <w:p>
            <w:pPr>
              <w:spacing w:after="0"/>
              <w:rPr>
                <w:sz w:val="18"/>
                <w:szCs w:val="18"/>
                <w:color w:val="auto"/>
              </w:rPr>
            </w:pPr>
          </w:p>
        </w:tc>
      </w:tr>
      <w:tr>
        <w:trPr>
          <w:trHeight w:val="230"/>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stock options exercise</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62,159</w:t>
            </w:r>
          </w:p>
        </w:tc>
        <w:tc>
          <w:tcPr>
            <w:tcW w:w="64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90,477</w:t>
            </w:r>
          </w:p>
        </w:tc>
      </w:tr>
      <w:tr>
        <w:trPr>
          <w:trHeight w:val="210"/>
        </w:trPr>
        <w:tc>
          <w:tcPr>
            <w:tcW w:w="63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14,991,314</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4,080,990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3,329,278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15,111,450</w:t>
            </w:r>
          </w:p>
        </w:tc>
        <w:tc>
          <w:tcPr>
            <w:tcW w:w="6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11,782,172</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1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19,192,440</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15,111,450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and 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 400-6400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investor.relations@markertherapeutics.com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2025-03-31T07:54:10Z</dcterms:created>
  <dcterms:modified xsi:type="dcterms:W3CDTF">2025-03-31T07:54:10Z</dcterms:modified>
</cp:coreProperties>
</file>