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July 18, 2016</w:t>
      </w:r>
    </w:p>
    <w:p>
      <w:pPr>
        <w:spacing w:after="0" w:line="2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43"/>
          <w:szCs w:val="43"/>
          <w:b w:val="1"/>
          <w:bCs w:val="1"/>
          <w:color w:val="auto"/>
        </w:rPr>
        <w:t>TAPIMMUNE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000-27239</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7"/>
        </w:trPr>
        <w:tc>
          <w:tcPr>
            <w:tcW w:w="410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w w:val="99"/>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98102</w:t>
            </w:r>
          </w:p>
        </w:tc>
      </w:tr>
      <w:tr>
        <w:trPr>
          <w:trHeight w:val="190"/>
        </w:trPr>
        <w:tc>
          <w:tcPr>
            <w:tcW w:w="410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(206) 504-7278</w:t>
      </w:r>
    </w:p>
    <w:p>
      <w:pPr>
        <w:spacing w:after="0" w:line="2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July 18, 2016, TapImmune Inc. (the Company” or “TapImmune”) entered into an Amendment to the Employment Agreement (the “Amendment”) with Dr. Glynn Wilson, the Company’s Chairman of the Board President and Chief Executive Officer for the purpose of amending his title to be that of Chief Executive Officer. Dr. Wilson will no longer serve as the Company’s President as Dr. John Bonfiglio has been appointed to serve as President and Chief Operating Officer as described under Item 5.02 below. All other terms of Dr. Wilson’s Employment Agreement remain in full force and effect.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the specific terms of the Amendment to the Employment Agreement attached as Exhibit 10.1 to this Form 8-K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18, 2016, Dr. John Bonfiglio’s Consulting Agreement with the Company dated February 10, 2015, and amended on February 9, 2016 was terminated concurrently with his entry into the Employment Agreement with the Company described under Item 5.02 below.</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18, 2016 the Company announced that Dr. John Bonfiglio, a consultant to the Company and a member of the Board of Directors has been appointed as the Company’s President and Chief Operating Officer and entered into an Employment Agreement (the “Employment Agreement”). The Employment Agreement provides that Dr. Bonfiglio’s base salary will be $260,000 per year and he is eligible for an annual performance bonus of up to 50% of his base salary. The term of the agreement is for two years and will be automatically extended for an additional 12 months unless terminated by Dr. Bonfiglio or the Company.</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Dr. Bonfiglio’s Employment Agreement he will be granted equity awards under the Company’s 2014 Omnibus Stock Ownership Plan consisting of (i) stock options to purchase 750,000 shares of the Company’s common stock at an exercise price at an exercise price equal to $0.475 per share equal to the fair market value of the common stock on the day immediately preceding the execution of the Employment Agreement, which options shall vest one third (250,000) immediately and the remaining options shall vest in 23 equal monthly installments of 20,833 options on the last day of each of the 23 months following the grant date, and the remaining 20,841 options shall vest on the last day of the 24th month, and (ii) 250,000 shares of unregistered, restricted common stock, all of which shall vest upon the earlier to occur of (i) the listing of the Company’s common stock on a national securities exchange in the United States and (ii) the first anniversary of the Employment Agreement, so long as Dr. Bonfiglio is employed with the Company, as an employee or consultant. The Company is also obligated under the Employment Agreement to pay the withholding tax amount associated with the award of restricted stock.</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Dr. Bonfiglio is subject to a covenant not to disclose our confidential information during his employment term and an assignment of intellectual property rights. Also, during his employment term and for a period of 12 months thereafter, Dr. Bonfiglio covenants not to compete with us and not to solicit any of our customers, vendors or employees. If Dr. Bonfiglio breaches any of these covenants, the Company will be entitled to injunctive relief.</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Dr. Bonfiglio’s employment is terminated by us for Cause (as defined in his employment agreement) or by Dr. Bonfiglio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Dr. Bonfiglio’s employment is terminated by us without “Cause” or by him for “Good Reason” (as defined in his employment agreement), subject to his execution of a release of claims against us, and in addition to the payment of the Accrued Compensation, the Company is obligated to make payments to Dr. Bonfiglio within 60 days after his termination date equal to six months of his annual base salary, as in effect at the termination date, plus any earned but unpaid bonus (the “Additional Severance Payments”).</w:t>
      </w:r>
    </w:p>
    <w:p>
      <w:pPr>
        <w:sectPr>
          <w:pgSz w:w="11900" w:h="16838" w:orient="portrait"/>
          <w:cols w:equalWidth="0" w:num="1">
            <w:col w:w="11380"/>
          </w:cols>
          <w:pgMar w:left="240" w:top="266" w:right="279" w:bottom="1440" w:gutter="0" w:footer="0" w:header="0"/>
        </w:sectPr>
      </w:pPr>
    </w:p>
    <w:bookmarkStart w:id="2" w:name="page3"/>
    <w:bookmarkEnd w:id="2"/>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employment agreement also contains change of control provisions providing that if Dr. Bonfiglio’s employment with the Company is terminated by the Company without Cause or by him for Good Reason during the period of ninety (90) days following a Change in Control (as that term is defined below) of the Company, in lieu of the Additional Severance Payments described above, Dr. Bonfiglio will be entitled to receive a severance payment equal to the sum of</w:t>
      </w:r>
    </w:p>
    <w:p>
      <w:pPr>
        <w:spacing w:after="0" w:line="2" w:lineRule="exact"/>
        <w:rPr>
          <w:sz w:val="20"/>
          <w:szCs w:val="20"/>
          <w:color w:val="auto"/>
        </w:rPr>
      </w:pPr>
    </w:p>
    <w:p>
      <w:pPr>
        <w:ind w:firstLine="8"/>
        <w:spacing w:after="0" w:line="251"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target level of performance, which will be paid in a single lump sum after his execution and non-revocation of the Release. In addition, he will also receive in the same payment the amount of any performance bonus that, as of the date of termination, has been earned by Dr. Bonfiglio but has not yet been paid by the Company. If Dr. Bonfiglio holds any stock options or other stock awards granted under the Company’s 2014 Omnibus Stock Ownership Plan which are not fully vested at the time his employment with the Company is terminated by the Company without Cause during the period of ninety (90) days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Dr. Bonfiglio’s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Employment Agreement, the Company and the Executive also entered into an Amendment to Consulting Stock Option Award Agreement which amended the termination provisions of the February 10, 2015 Consulting Stock Option Award Agreement to provide for the continued exercisability of the stock options awarded thereunder due to Dr. Bonfiglio’s transition from consultant to employee.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the specific terms of the Employment Agreement attached as Exhibit 10.2 to this Form 8-K which is incorporated herein by reference.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issued a press release on July 19, 2016 regarding the effective appointment of Dr. Bonfiglio as the Company’s President and Chief Operating Officer. The press release is attached hereto as Exhibit 99.1 and is incorporated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under Item 1.01 of this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8420" w:type="dxa"/>
            <w:vAlign w:val="bottom"/>
          </w:tcPr>
          <w:p>
            <w:pPr>
              <w:ind w:left="5040"/>
              <w:spacing w:after="0"/>
              <w:rPr>
                <w:sz w:val="20"/>
                <w:szCs w:val="20"/>
                <w:color w:val="auto"/>
              </w:rPr>
            </w:pPr>
            <w:r>
              <w:rPr>
                <w:rFonts w:ascii="Times New Roman" w:cs="Times New Roman" w:eastAsia="Times New Roman" w:hAnsi="Times New Roman"/>
                <w:sz w:val="14"/>
                <w:szCs w:val="14"/>
                <w:color w:val="auto"/>
              </w:rPr>
              <w:t>Description</w:t>
            </w:r>
          </w:p>
        </w:tc>
      </w:tr>
      <w:tr>
        <w:trPr>
          <w:trHeight w:val="3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Amendment to Employment Agreement between TapImmune Inc. and Glynn Wilson, dated as of July 18, 2016</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Employment Agreement between TapImmune Inc. and John Bonfiglio dated as of July 18, 2016.</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Press release issued on July 19, 2016</w:t>
            </w: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July 19, 2016</w:t>
            </w:r>
          </w:p>
        </w:tc>
        <w:tc>
          <w:tcPr>
            <w:tcW w:w="27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Glynn Wilson</w:t>
            </w:r>
          </w:p>
        </w:tc>
      </w:tr>
      <w:tr>
        <w:trPr>
          <w:trHeight w:val="205"/>
        </w:trPr>
        <w:tc>
          <w:tcPr>
            <w:tcW w:w="3640" w:type="dxa"/>
            <w:vAlign w:val="bottom"/>
          </w:tcPr>
          <w:p>
            <w:pPr>
              <w:spacing w:after="0"/>
              <w:rPr>
                <w:sz w:val="17"/>
                <w:szCs w:val="17"/>
                <w:color w:val="auto"/>
              </w:rPr>
            </w:pPr>
          </w:p>
        </w:tc>
        <w:tc>
          <w:tcPr>
            <w:tcW w:w="2760" w:type="dxa"/>
            <w:vAlign w:val="bottom"/>
          </w:tcPr>
          <w:p>
            <w:pPr>
              <w:ind w:left="2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Glynn Wilson</w:t>
            </w:r>
          </w:p>
        </w:tc>
      </w:tr>
      <w:tr>
        <w:trPr>
          <w:trHeight w:val="234"/>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CEO</w:t>
            </w:r>
          </w:p>
        </w:tc>
      </w:tr>
    </w:tbl>
    <w:p>
      <w:pPr>
        <w:sectPr>
          <w:pgSz w:w="11900" w:h="16838" w:orient="portrait"/>
          <w:cols w:equalWidth="0" w:num="1">
            <w:col w:w="11420"/>
          </w:cols>
          <w:pgMar w:left="240" w:top="266"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EMPLOYMENT AGREEMENT</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THIS AMENDMENT NO. 1 TO EMPLOYMENT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on this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2016 (the “Effective Date”), by and between TapImmune,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Glynn Wilson,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amends that certain Employment Agreement between the Company and the Executive, dated November 12, 2015 (the “Employment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entered into the Employment Agreement on November 12, 2015, and</w:t>
      </w:r>
    </w:p>
    <w:p>
      <w:pPr>
        <w:spacing w:after="0" w:line="225"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appoint John Bonfiglio as President and Chief Operating Officer of the Company and retain the Executive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the Executive, and in keeping therewith desire to amend the Employment Agreement, as provided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 WITNESSETH:</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Executive and the Company for themselves, their heirs, successors and assigns, in consideration of their mutual promises contained herein, intending to be legally bound, hereby agree that the Employment Agreement is hereby amended as follows: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Section 1 of the Employment Agreement is hereby amended to read as follows in its entirety:</w:t>
      </w:r>
    </w:p>
    <w:p>
      <w:pPr>
        <w:spacing w:after="0" w:line="221" w:lineRule="exact"/>
        <w:rPr>
          <w:sz w:val="20"/>
          <w:szCs w:val="20"/>
          <w:color w:val="auto"/>
        </w:rPr>
      </w:pPr>
    </w:p>
    <w:p>
      <w:pPr>
        <w:ind w:left="46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EMPLOYMENT. </w:t>
      </w:r>
      <w:r>
        <w:rPr>
          <w:rFonts w:ascii="Times New Roman" w:cs="Times New Roman" w:eastAsia="Times New Roman" w:hAnsi="Times New Roman"/>
          <w:sz w:val="18"/>
          <w:szCs w:val="18"/>
          <w:color w:val="auto"/>
        </w:rPr>
        <w:t>The Company will employ the Executive as the Chief Executive Officer of the Company, and the Executive agrees to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and provide his services to the Company on the terms and conditions set forth in this Agreement.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Section 2 of the Employment Agreement is hereby amended by replacing the first paragraph thereof with the following:</w:t>
      </w:r>
    </w:p>
    <w:p>
      <w:pPr>
        <w:spacing w:after="0" w:line="221" w:lineRule="exact"/>
        <w:rPr>
          <w:sz w:val="20"/>
          <w:szCs w:val="20"/>
          <w:color w:val="auto"/>
        </w:rPr>
      </w:pPr>
    </w:p>
    <w:p>
      <w:pPr>
        <w:ind w:left="460" w:right="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POSITION AND DUTIES. </w:t>
      </w:r>
      <w:r>
        <w:rPr>
          <w:rFonts w:ascii="Times New Roman" w:cs="Times New Roman" w:eastAsia="Times New Roman" w:hAnsi="Times New Roman"/>
          <w:sz w:val="17"/>
          <w:szCs w:val="17"/>
          <w:color w:val="auto"/>
        </w:rPr>
        <w:t>On and after the date of this Agreement, the Executive will serve as the Chief Executive Officer of the Company.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agrees that during the Term (as defined below) he shall dedicate his full business time, attention and energies, consistent with historical past practices, to performing his duties to the Company, as prescribed by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The Executive will manage the business affairs of the Company and perform the duties typically assigned to the chief executive officer of a similarly situated company in the Company’s industry. The Executive shall also perform such other reasonable duties as may hereafter be assigned to him by the Board, consistent with his abilities and position as the Chief Executive Officer, and providing such further services to the Company as may reasonably be requested of him. The Executive will report to the Board of the Company, and carry out the decisions and otherwise abide by and enforce the rules and policies of the Company.</w:t>
      </w:r>
    </w:p>
    <w:p>
      <w:pPr>
        <w:sectPr>
          <w:pgSz w:w="11900" w:h="16838" w:orient="portrait"/>
          <w:cols w:equalWidth="0" w:num="1">
            <w:col w:w="11420"/>
          </w:cols>
          <w:pgMar w:left="240" w:top="117" w:right="239" w:bottom="1440" w:gutter="0" w:footer="0" w:header="0"/>
        </w:sectPr>
      </w:pPr>
    </w:p>
    <w:bookmarkStart w:id="5" w:name="page6"/>
    <w:bookmarkEnd w:id="5"/>
    <w:p>
      <w:pPr>
        <w:ind w:left="180" w:hanging="176"/>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expressly amended by this Amendment, the Employment Agreement shall continue and remain in full force and effect.</w:t>
      </w:r>
    </w:p>
    <w:p>
      <w:pPr>
        <w:spacing w:after="0" w:line="225" w:lineRule="exact"/>
        <w:rPr>
          <w:rFonts w:ascii="Times New Roman" w:cs="Times New Roman" w:eastAsia="Times New Roman" w:hAnsi="Times New Roman"/>
          <w:sz w:val="18"/>
          <w:szCs w:val="18"/>
          <w:color w:val="auto"/>
        </w:rPr>
      </w:pPr>
    </w:p>
    <w:p>
      <w:pPr>
        <w:ind w:left="-460" w:firstLine="464"/>
        <w:spacing w:after="0" w:line="282"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counterparts (including by electronic means), each counterpart is deemed an original, and all counterparts collectively constitute one and the same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700" w:top="270" w:right="699" w:bottom="1440" w:gutter="0" w:footer="0" w:header="0"/>
        </w:sectPr>
      </w:pPr>
    </w:p>
    <w:bookmarkStart w:id="6" w:name="page7"/>
    <w:bookmarkEnd w:id="6"/>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written above, to be effective on the Effective Date,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herein contained.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 TapImmune, Inc.</w:t>
            </w: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David Laskow-Pooley</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Glynn Wilson</w:t>
            </w:r>
          </w:p>
        </w:tc>
      </w:tr>
      <w:tr>
        <w:trPr>
          <w:trHeight w:val="205"/>
        </w:trPr>
        <w:tc>
          <w:tcPr>
            <w:tcW w:w="380" w:type="dxa"/>
            <w:vAlign w:val="bottom"/>
          </w:tcPr>
          <w:p>
            <w:pPr>
              <w:spacing w:after="0"/>
              <w:rPr>
                <w:sz w:val="17"/>
                <w:szCs w:val="17"/>
                <w:color w:val="auto"/>
              </w:rPr>
            </w:pPr>
          </w:p>
        </w:tc>
        <w:tc>
          <w:tcPr>
            <w:tcW w:w="2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David Laskow-Pooley,</w:t>
            </w:r>
          </w:p>
        </w:tc>
        <w:tc>
          <w:tcPr>
            <w:tcW w:w="24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Glynn Wilson</w:t>
            </w:r>
          </w:p>
        </w:tc>
      </w:tr>
      <w:tr>
        <w:trPr>
          <w:trHeight w:val="234"/>
        </w:trPr>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80" w:type="dxa"/>
            <w:vAlign w:val="bottom"/>
            <w:gridSpan w:val="3"/>
          </w:tcPr>
          <w:p>
            <w:pPr>
              <w:ind w:left="440"/>
              <w:spacing w:after="0"/>
              <w:rPr>
                <w:sz w:val="20"/>
                <w:szCs w:val="20"/>
                <w:color w:val="auto"/>
              </w:rPr>
            </w:pPr>
            <w:r>
              <w:rPr>
                <w:rFonts w:ascii="Times New Roman" w:cs="Times New Roman" w:eastAsia="Times New Roman" w:hAnsi="Times New Roman"/>
                <w:sz w:val="18"/>
                <w:szCs w:val="18"/>
                <w:i w:val="1"/>
                <w:iCs w:val="1"/>
                <w:color w:val="auto"/>
              </w:rPr>
              <w:t>[Signature Page to Amendment to Employment Agreement]</w:t>
            </w:r>
          </w:p>
        </w:tc>
      </w:tr>
    </w:tbl>
    <w:p>
      <w:pPr>
        <w:sectPr>
          <w:pgSz w:w="11900" w:h="16838" w:orient="portrait"/>
          <w:cols w:equalWidth="0" w:num="1">
            <w:col w:w="11420"/>
          </w:cols>
          <w:pgMar w:left="240" w:top="266"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on this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2016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TapImmune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John Bonfiglio,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WHEREAS, the Executive has served as a Strategic Advisor to TapImmune pursuant to the terms of a Consulting Agreement entered into by the Company and the Executive as of February 10, 2015, and amended on February 9, 2016 (collectively, the “</w:t>
      </w:r>
      <w:r>
        <w:rPr>
          <w:rFonts w:ascii="Times New Roman" w:cs="Times New Roman" w:eastAsia="Times New Roman" w:hAnsi="Times New Roman"/>
          <w:sz w:val="18"/>
          <w:szCs w:val="18"/>
          <w:u w:val="single" w:color="auto"/>
          <w:color w:val="auto"/>
        </w:rPr>
        <w:t>Prior Consulting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as its President and Chief Operating Officer, and the Executive desires to accept such employment with the Company, in each case upon the terms and conditions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 WITNESSETH:</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58" w:lineRule="exact"/>
        <w:rPr>
          <w:sz w:val="20"/>
          <w:szCs w:val="20"/>
          <w:color w:val="auto"/>
        </w:rPr>
      </w:pPr>
    </w:p>
    <w:p>
      <w:pPr>
        <w:ind w:right="380" w:firstLine="464"/>
        <w:spacing w:after="0" w:line="286" w:lineRule="auto"/>
        <w:tabs>
          <w:tab w:leader="none" w:pos="8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w:t>
      </w:r>
      <w:r>
        <w:rPr>
          <w:rFonts w:ascii="Times New Roman" w:cs="Times New Roman" w:eastAsia="Times New Roman" w:hAnsi="Times New Roman"/>
          <w:sz w:val="18"/>
          <w:szCs w:val="18"/>
          <w:color w:val="auto"/>
        </w:rPr>
        <w:t>The Company hereby employs the Executive as President and Chief Operating Officer of the Company, and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serve in such capacities and provide his services to the Company on the terms and conditions set forth in this Agreement.</w:t>
      </w:r>
    </w:p>
    <w:p>
      <w:pPr>
        <w:spacing w:after="0" w:line="154" w:lineRule="exact"/>
        <w:rPr>
          <w:rFonts w:ascii="Times New Roman" w:cs="Times New Roman" w:eastAsia="Times New Roman" w:hAnsi="Times New Roman"/>
          <w:sz w:val="18"/>
          <w:szCs w:val="18"/>
          <w:color w:val="auto"/>
        </w:rPr>
      </w:pPr>
    </w:p>
    <w:p>
      <w:pPr>
        <w:ind w:right="360" w:firstLine="464"/>
        <w:spacing w:after="0" w:line="262" w:lineRule="auto"/>
        <w:tabs>
          <w:tab w:leader="none" w:pos="8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POSITION AND DUTIES. </w:t>
      </w:r>
      <w:r>
        <w:rPr>
          <w:rFonts w:ascii="Times New Roman" w:cs="Times New Roman" w:eastAsia="Times New Roman" w:hAnsi="Times New Roman"/>
          <w:sz w:val="18"/>
          <w:szCs w:val="18"/>
          <w:color w:val="auto"/>
        </w:rPr>
        <w:t>On and after the date of this Agreement, the Executive will serve as President and Chief Operating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Executive agrees that except as set forth below, during the Term (as defined below) he shall dedicate his full business time, attention and energies to performing his duties to the Company, as prescribed by the CEO of the Company. The Executive will report to the CEO of the Company, and carry out the decisions and otherwise abide by and enforce the lawful rules and policies of the Company.</w:t>
      </w:r>
    </w:p>
    <w:p>
      <w:pPr>
        <w:spacing w:after="0" w:line="18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Executive shall devote his best business efforts to the business and affairs of the Company and, during the Term, shall observe at all times the covenants regarding non-competition, and confidentiality provided in </w:t>
      </w:r>
      <w:r>
        <w:rPr>
          <w:rFonts w:ascii="Times New Roman" w:cs="Times New Roman" w:eastAsia="Times New Roman" w:hAnsi="Times New Roman"/>
          <w:sz w:val="18"/>
          <w:szCs w:val="18"/>
          <w:u w:val="single" w:color="auto"/>
          <w:color w:val="auto"/>
        </w:rPr>
        <w:t>Sections 5,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sectPr>
          <w:pgSz w:w="11900" w:h="16838" w:orient="portrait"/>
          <w:cols w:equalWidth="0" w:num="1">
            <w:col w:w="11420"/>
          </w:cols>
          <w:pgMar w:left="240" w:top="117" w:right="239" w:bottom="1440" w:gutter="0" w:footer="0" w:header="0"/>
        </w:sectPr>
      </w:pPr>
    </w:p>
    <w:bookmarkStart w:id="8" w:name="page9"/>
    <w:bookmarkEnd w:id="8"/>
    <w:p>
      <w:pPr>
        <w:ind w:right="60" w:firstLine="464"/>
        <w:spacing w:after="0" w:line="257" w:lineRule="auto"/>
        <w:tabs>
          <w:tab w:leader="none" w:pos="8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 </w:t>
      </w:r>
      <w:r>
        <w:rPr>
          <w:rFonts w:ascii="Times New Roman" w:cs="Times New Roman" w:eastAsia="Times New Roman" w:hAnsi="Times New Roman"/>
          <w:sz w:val="18"/>
          <w:szCs w:val="18"/>
          <w:color w:val="auto"/>
        </w:rPr>
        <w:t>The term of this Agreement shall start on the Effective Date and end on the day preceding the second anniversary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The term of the Agreement will be automatically extended for successive additional twelve (12) month periods after the end of the Initial Term, unless terminated by the Company or the Executive by written notice to the other Party provided not later than twelve (12) months prior to the end of the Initial Term, or no later than ninety (90) days prior to the end of any such successive 12 month term, subject to termination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However, the provisions of </w:t>
      </w:r>
      <w:r>
        <w:rPr>
          <w:rFonts w:ascii="Times New Roman" w:cs="Times New Roman" w:eastAsia="Times New Roman" w:hAnsi="Times New Roman"/>
          <w:sz w:val="18"/>
          <w:szCs w:val="18"/>
          <w:u w:val="single" w:color="auto"/>
          <w:color w:val="auto"/>
        </w:rPr>
        <w:t>Sections 5,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shall continue in force in accordance with the provisions therein and shall survive the expiration or termination of the Term and this Agreement.</w:t>
      </w:r>
    </w:p>
    <w:p>
      <w:pPr>
        <w:spacing w:after="0" w:line="182" w:lineRule="exact"/>
        <w:rPr>
          <w:rFonts w:ascii="Times New Roman" w:cs="Times New Roman" w:eastAsia="Times New Roman" w:hAnsi="Times New Roman"/>
          <w:sz w:val="18"/>
          <w:szCs w:val="18"/>
          <w:color w:val="auto"/>
        </w:rPr>
      </w:pPr>
    </w:p>
    <w:p>
      <w:pPr>
        <w:ind w:left="820" w:hanging="35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BENEFITS.</w:t>
      </w:r>
    </w:p>
    <w:p>
      <w:pPr>
        <w:spacing w:after="0" w:line="229" w:lineRule="exact"/>
        <w:rPr>
          <w:rFonts w:ascii="Times New Roman" w:cs="Times New Roman" w:eastAsia="Times New Roman" w:hAnsi="Times New Roman"/>
          <w:sz w:val="18"/>
          <w:szCs w:val="18"/>
          <w:color w:val="auto"/>
        </w:rPr>
      </w:pPr>
    </w:p>
    <w:p>
      <w:pPr>
        <w:ind w:right="180" w:firstLine="921"/>
        <w:spacing w:after="0" w:line="258" w:lineRule="auto"/>
        <w:tabs>
          <w:tab w:leader="none" w:pos="13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The Executive’s annual base salary shall be two hundred and sixty thousand dollars ($260,000) per year, which shall be paid by the Company to the Executive monthly, in accordance with normal payroll practices and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 The Executive’s salary will not be reduced without Executive’s prior written consent except in connection with a reduction in salary of all Company executives.</w:t>
      </w:r>
    </w:p>
    <w:p>
      <w:pPr>
        <w:spacing w:after="0" w:line="183" w:lineRule="exact"/>
        <w:rPr>
          <w:rFonts w:ascii="Times New Roman" w:cs="Times New Roman" w:eastAsia="Times New Roman" w:hAnsi="Times New Roman"/>
          <w:sz w:val="18"/>
          <w:szCs w:val="18"/>
          <w:color w:val="auto"/>
        </w:rPr>
      </w:pPr>
    </w:p>
    <w:p>
      <w:pPr>
        <w:ind w:right="80" w:firstLine="921"/>
        <w:spacing w:after="0" w:line="277" w:lineRule="auto"/>
        <w:tabs>
          <w:tab w:leader="none" w:pos="134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Incentive Compensation</w:t>
      </w:r>
      <w:r>
        <w:rPr>
          <w:rFonts w:ascii="Times New Roman" w:cs="Times New Roman" w:eastAsia="Times New Roman" w:hAnsi="Times New Roman"/>
          <w:sz w:val="17"/>
          <w:szCs w:val="17"/>
          <w:color w:val="auto"/>
        </w:rPr>
        <w:t>. During the Term, the Executive shall be eligible for an annual performance bonus of up to fifty percent (50%) of the Executive’s annual base salary, based on goals and other conditions as the CEO shall determine on an annual basis according to annual guidelines from the Board of Directors (the “</w:t>
      </w:r>
      <w:r>
        <w:rPr>
          <w:rFonts w:ascii="Times New Roman" w:cs="Times New Roman" w:eastAsia="Times New Roman" w:hAnsi="Times New Roman"/>
          <w:sz w:val="17"/>
          <w:szCs w:val="17"/>
          <w:u w:val="single" w:color="auto"/>
          <w:color w:val="auto"/>
        </w:rPr>
        <w:t>Annual Performance Bonus</w:t>
      </w:r>
      <w:r>
        <w:rPr>
          <w:rFonts w:ascii="Times New Roman" w:cs="Times New Roman" w:eastAsia="Times New Roman" w:hAnsi="Times New Roman"/>
          <w:sz w:val="17"/>
          <w:szCs w:val="17"/>
          <w:color w:val="auto"/>
        </w:rPr>
        <w:t>”). The Annual Performance Bonus will be payable in the form of either cash, shares of the Company’s common stock, stock options or a combination thereof, according to annual guidelines from the Board of Directors, in any case to be paid or delivered as soon as practicable after the end of the year in which they are earned and in any event not less than sixty (60) days after the end of such year.</w:t>
      </w:r>
    </w:p>
    <w:p>
      <w:pPr>
        <w:spacing w:after="0" w:line="16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184" w:lineRule="exact"/>
        <w:rPr>
          <w:sz w:val="20"/>
          <w:szCs w:val="20"/>
          <w:color w:val="auto"/>
        </w:rPr>
      </w:pPr>
    </w:p>
    <w:p>
      <w:pPr>
        <w:ind w:left="1340" w:hanging="419"/>
        <w:spacing w:after="0"/>
        <w:tabs>
          <w:tab w:leader="none" w:pos="1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xml:space="preserve"> The Executive will be granted equity awards under the Company’s 2014 Omnibus Stock Ownership Plan consisting of</w:t>
      </w:r>
    </w:p>
    <w:p>
      <w:pPr>
        <w:spacing w:after="0" w:line="27" w:lineRule="exact"/>
        <w:rPr>
          <w:rFonts w:ascii="Times New Roman" w:cs="Times New Roman" w:eastAsia="Times New Roman" w:hAnsi="Times New Roman"/>
          <w:sz w:val="18"/>
          <w:szCs w:val="18"/>
          <w:color w:val="auto"/>
        </w:rPr>
      </w:pPr>
    </w:p>
    <w:p>
      <w:pPr>
        <w:jc w:val="both"/>
        <w:ind w:right="180" w:firstLine="8"/>
        <w:spacing w:after="0" w:line="254"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750,000 shares of the Company’s common stock at an exercise price equal to the fair market value of the common stock on the day immediately preceding the Effective Date of this Agreement, which options shall vest one third (250,000) immediately and the remaining options shall vest in 23 equal monthly installments of 20,833 options on the last day of each of the 23 months following the grant date, and the remaining 20,841 options shall vest on the last day of the 24th month, and (ii) 250,000 shares of unregistered, restricted common stock, all of which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vest upon the earlier to occur of (i) the listing of the Company’s common stock on a national securities exchange in the United States or (ii) the first anniversary of the Effective Date, so long as Executive is employed with the Company at such time or on such date, either as an employee or consultant. The Company shall pay the withholding tax amount associated with the award of restricted stock which amount Executive acknowledges will be taxable to Executive. Further, the consultant Stock Option Award Agreement existing between the Company and Executive, dated February 10, 2015, shall be amended as set forth in the form of amendment attached hereto as Exhibit A.</w:t>
      </w:r>
    </w:p>
    <w:p>
      <w:pPr>
        <w:spacing w:after="0" w:line="184" w:lineRule="exact"/>
        <w:rPr>
          <w:sz w:val="20"/>
          <w:szCs w:val="20"/>
          <w:color w:val="auto"/>
        </w:rPr>
      </w:pPr>
    </w:p>
    <w:p>
      <w:pPr>
        <w:ind w:firstLine="921"/>
        <w:spacing w:after="0" w:line="258" w:lineRule="auto"/>
        <w:tabs>
          <w:tab w:leader="none" w:pos="13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provided that such termination or amendment applies equally to the Executive and other full time employees of the Company.</w:t>
      </w:r>
    </w:p>
    <w:p>
      <w:pPr>
        <w:spacing w:after="0" w:line="183" w:lineRule="exact"/>
        <w:rPr>
          <w:rFonts w:ascii="Times New Roman" w:cs="Times New Roman" w:eastAsia="Times New Roman" w:hAnsi="Times New Roman"/>
          <w:sz w:val="18"/>
          <w:szCs w:val="18"/>
          <w:color w:val="auto"/>
        </w:rPr>
      </w:pPr>
    </w:p>
    <w:p>
      <w:pPr>
        <w:ind w:right="360" w:firstLine="921"/>
        <w:spacing w:after="0" w:line="282" w:lineRule="auto"/>
        <w:tabs>
          <w:tab w:leader="none" w:pos="1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xml:space="preserve"> The Executive shall be entitled to twenty-one (21) days paid vacation per calendar year plus such sick leave as he may reasonably and actually require. Accrued and unused vacation shall be paid at termination of employment for any reason.</w:t>
      </w:r>
    </w:p>
    <w:p>
      <w:pPr>
        <w:spacing w:after="0" w:line="161" w:lineRule="exact"/>
        <w:rPr>
          <w:rFonts w:ascii="Times New Roman" w:cs="Times New Roman" w:eastAsia="Times New Roman" w:hAnsi="Times New Roman"/>
          <w:sz w:val="18"/>
          <w:szCs w:val="18"/>
          <w:color w:val="auto"/>
        </w:rPr>
      </w:pPr>
    </w:p>
    <w:p>
      <w:pPr>
        <w:ind w:right="220" w:firstLine="921"/>
        <w:spacing w:after="0" w:line="282" w:lineRule="auto"/>
        <w:tabs>
          <w:tab w:leader="none" w:pos="1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Business Expenses.</w:t>
      </w:r>
      <w:r>
        <w:rPr>
          <w:rFonts w:ascii="Times New Roman" w:cs="Times New Roman" w:eastAsia="Times New Roman" w:hAnsi="Times New Roman"/>
          <w:sz w:val="18"/>
          <w:szCs w:val="18"/>
          <w:color w:val="auto"/>
        </w:rPr>
        <w:t xml:space="preserve">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62"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maintain a Directors and Officers Insurance policy with no less than $2 million coverage, and to list the Executive as one of the covered management employees under such policy.</w:t>
      </w:r>
    </w:p>
    <w:p>
      <w:pPr>
        <w:spacing w:after="0" w:line="158" w:lineRule="exact"/>
        <w:rPr>
          <w:sz w:val="20"/>
          <w:szCs w:val="20"/>
          <w:color w:val="auto"/>
        </w:rPr>
      </w:pPr>
    </w:p>
    <w:p>
      <w:pPr>
        <w:ind w:firstLine="464"/>
        <w:spacing w:after="0" w:line="255" w:lineRule="auto"/>
        <w:tabs>
          <w:tab w:leader="none" w:pos="8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The Executive agrees that during and after his employment with the Company, he will hold in the strictest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means any non-public information that relates to the actual or anticipated business, research or development of the Company, or subsidiaries or affiliates (collectively, for the purposes of this section,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or to the Company’s technical data, trade secrets, or know-how, including, but not limited to, research, product plans, or other information regarding the Company’s products or services and markets therefor, customer lists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0" w:right="339" w:bottom="1440" w:gutter="0" w:footer="0" w:header="0"/>
        </w:sectPr>
      </w:pPr>
    </w:p>
    <w:bookmarkStart w:id="10" w:name="page11"/>
    <w:bookmarkEnd w:id="10"/>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the Executive’s rights to discuss the terms, wages, and working conditions of his employment, as protected by applicable law.</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Executive recognizes that the Company may have received and in the future may receive from third parties associated with the Company, e.g., the Company’s customers, suppliers, licensors, licensees, partners, or collaborators </w:t>
      </w:r>
      <w:r>
        <w:rPr>
          <w:rFonts w:ascii="Times New Roman" w:cs="Times New Roman" w:eastAsia="Times New Roman" w:hAnsi="Times New Roman"/>
          <w:sz w:val="18"/>
          <w:szCs w:val="18"/>
          <w:u w:val="single" w:color="auto"/>
          <w:color w:val="auto"/>
        </w:rPr>
        <w:t>(“Associated Third Parties”),</w:t>
      </w:r>
      <w:r>
        <w:rPr>
          <w:rFonts w:ascii="Times New Roman" w:cs="Times New Roman" w:eastAsia="Times New Roman" w:hAnsi="Times New Roman"/>
          <w:sz w:val="18"/>
          <w:szCs w:val="18"/>
          <w:color w:val="auto"/>
        </w:rPr>
        <w:t xml:space="preserve"> their confidential or proprietary information (“Associated Third Party Confidential Information”).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19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Section 6 to the contrary,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Executive should file a lawsuit for retaliation by the Company for reporting a suspected violation of law, the Executive may disclose the trade secret to the Executive’s attorney and use the trade secret information in the court proceeding, if the Executive (A) files any document containing the trade secret under seal, and (B) does not disclose the trade secret, except pursuant to a court order.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11" w:name="page12"/>
    <w:bookmarkEnd w:id="11"/>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requested by the Company.</w:t>
      </w:r>
    </w:p>
    <w:p>
      <w:pPr>
        <w:spacing w:after="0" w:line="181" w:lineRule="exact"/>
        <w:rPr>
          <w:sz w:val="20"/>
          <w:szCs w:val="20"/>
          <w:color w:val="auto"/>
        </w:rPr>
      </w:pPr>
    </w:p>
    <w:p>
      <w:pPr>
        <w:ind w:firstLine="464"/>
        <w:spacing w:after="0" w:line="255" w:lineRule="auto"/>
        <w:tabs>
          <w:tab w:leader="none" w:pos="81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Any and all concepts, improvements, computer software, articles, pamphlets, brochures,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or other information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185" w:lineRule="exact"/>
        <w:rPr>
          <w:rFonts w:ascii="Times New Roman" w:cs="Times New Roman" w:eastAsia="Times New Roman" w:hAnsi="Times New Roman"/>
          <w:sz w:val="18"/>
          <w:szCs w:val="18"/>
          <w:color w:val="auto"/>
        </w:rPr>
      </w:pPr>
    </w:p>
    <w:p>
      <w:pPr>
        <w:ind w:right="600" w:firstLine="464"/>
        <w:spacing w:after="0" w:line="286" w:lineRule="auto"/>
        <w:tabs>
          <w:tab w:leader="none" w:pos="81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NON-COMPETITION AND NON-SOLICITATION COVENANTS. </w:t>
      </w:r>
      <w:r>
        <w:rPr>
          <w:rFonts w:ascii="Times New Roman" w:cs="Times New Roman" w:eastAsia="Times New Roman" w:hAnsi="Times New Roman"/>
          <w:sz w:val="18"/>
          <w:szCs w:val="18"/>
          <w:color w:val="auto"/>
        </w:rPr>
        <w:t>As additional consideration to the Company for entering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Executive covenants that during the Restricted Period (as defined below), he shall not:</w:t>
      </w:r>
    </w:p>
    <w:p>
      <w:pPr>
        <w:spacing w:after="0" w:line="158" w:lineRule="exact"/>
        <w:rPr>
          <w:rFonts w:ascii="Times New Roman" w:cs="Times New Roman" w:eastAsia="Times New Roman" w:hAnsi="Times New Roman"/>
          <w:sz w:val="18"/>
          <w:szCs w:val="18"/>
          <w:color w:val="auto"/>
        </w:rPr>
      </w:pPr>
    </w:p>
    <w:p>
      <w:pPr>
        <w:ind w:firstLine="921"/>
        <w:spacing w:after="0" w:line="267" w:lineRule="auto"/>
        <w:tabs>
          <w:tab w:leader="none" w:pos="1338"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compete against the Company, or any subsidiary or affiliate of the Company that is engaged in the Business (as defined below) (collectively, the “</w:t>
      </w:r>
      <w:r>
        <w:rPr>
          <w:rFonts w:ascii="Times New Roman" w:cs="Times New Roman" w:eastAsia="Times New Roman" w:hAnsi="Times New Roman"/>
          <w:sz w:val="17"/>
          <w:szCs w:val="17"/>
          <w:u w:val="single" w:color="auto"/>
          <w:color w:val="auto"/>
        </w:rPr>
        <w:t>Applicable Entities</w:t>
      </w:r>
      <w:r>
        <w:rPr>
          <w:rFonts w:ascii="Times New Roman" w:cs="Times New Roman" w:eastAsia="Times New Roman" w:hAnsi="Times New Roman"/>
          <w:sz w:val="17"/>
          <w:szCs w:val="17"/>
          <w:color w:val="auto"/>
        </w:rPr>
        <w:t>”), either directly or indirectly, by taking employment,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T-cell vaccines and related applications (i) which the Applicable Entities currently and reasonably anticipate developing, producing, designing, providing, marketing, distributing or selling as of the date of the termination of Executive’s employment with the Company, (ii) which the Applicable Entities develop, produce, design, provide, market or distribute while Executive is employed by the Applicable Entities or is otherwise providing services to the Applicable Entities, or</w:t>
      </w:r>
    </w:p>
    <w:p>
      <w:pPr>
        <w:spacing w:after="0" w:line="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12" w:name="page13"/>
    <w:bookmarkEnd w:id="12"/>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as long as the Executive is not actively involved in such entity’s business.</w:t>
      </w:r>
    </w:p>
    <w:p>
      <w:pPr>
        <w:spacing w:after="0" w:line="184" w:lineRule="exact"/>
        <w:rPr>
          <w:sz w:val="20"/>
          <w:szCs w:val="20"/>
          <w:color w:val="auto"/>
        </w:rPr>
      </w:pPr>
    </w:p>
    <w:p>
      <w:pPr>
        <w:ind w:firstLine="921"/>
        <w:spacing w:after="0" w:line="256" w:lineRule="auto"/>
        <w:tabs>
          <w:tab w:leader="none" w:pos="13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 (b)</w:t>
      </w:r>
      <w:r>
        <w:rPr>
          <w:rFonts w:ascii="Times New Roman" w:cs="Times New Roman" w:eastAsia="Times New Roman" w:hAnsi="Times New Roman"/>
          <w:sz w:val="18"/>
          <w:szCs w:val="18"/>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187" w:lineRule="exact"/>
        <w:rPr>
          <w:rFonts w:ascii="Times New Roman" w:cs="Times New Roman" w:eastAsia="Times New Roman" w:hAnsi="Times New Roman"/>
          <w:sz w:val="18"/>
          <w:szCs w:val="18"/>
          <w:color w:val="auto"/>
        </w:rPr>
      </w:pPr>
    </w:p>
    <w:p>
      <w:pPr>
        <w:ind w:right="260" w:firstLine="921"/>
        <w:spacing w:after="0" w:line="277" w:lineRule="auto"/>
        <w:tabs>
          <w:tab w:leader="none" w:pos="133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general solicitations not specifically targeted to employees of the Company or any of the Applicable Entities shall not constitute a breach of this </w:t>
      </w:r>
      <w:r>
        <w:rPr>
          <w:rFonts w:ascii="Times New Roman" w:cs="Times New Roman" w:eastAsia="Times New Roman" w:hAnsi="Times New Roman"/>
          <w:sz w:val="17"/>
          <w:szCs w:val="17"/>
          <w:u w:val="single" w:color="auto"/>
          <w:color w:val="auto"/>
        </w:rPr>
        <w:t>Section 7(c).</w:t>
      </w:r>
    </w:p>
    <w:p>
      <w:pPr>
        <w:spacing w:after="0" w:line="16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In the event of a breach by the Executive of any of the covenants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term of the Restricted Period will be extended by the period of the duration of such breach.</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not prevent the Executive from earning a livelihood and supporting the Executive and his family during the relevant time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13" w:name="page14"/>
    <w:bookmarkEnd w:id="13"/>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Executive and the Company agree that the restrictions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this Agreement.</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If any restriction set forth in this Section 7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172" w:lineRule="exact"/>
        <w:rPr>
          <w:sz w:val="20"/>
          <w:szCs w:val="20"/>
          <w:color w:val="auto"/>
        </w:rPr>
      </w:pPr>
    </w:p>
    <w:p>
      <w:pPr>
        <w:jc w:val="both"/>
        <w:ind w:firstLine="464"/>
        <w:spacing w:after="0" w:line="272" w:lineRule="auto"/>
        <w:tabs>
          <w:tab w:leader="none" w:pos="81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TERMINATION OF EMPLOYMENT. </w:t>
      </w:r>
      <w:r>
        <w:rPr>
          <w:rFonts w:ascii="Times New Roman" w:cs="Times New Roman" w:eastAsia="Times New Roman" w:hAnsi="Times New Roman"/>
          <w:sz w:val="17"/>
          <w:szCs w:val="17"/>
          <w:color w:val="auto"/>
        </w:rPr>
        <w:t>Notwithstanding anything else contained in this Agreement, the Term of Executive’s employment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this Agreement may be terminated prior to the end of the Term stated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above upon the earliest to occur of the events described in </w:t>
      </w:r>
      <w:r>
        <w:rPr>
          <w:rFonts w:ascii="Times New Roman" w:cs="Times New Roman" w:eastAsia="Times New Roman" w:hAnsi="Times New Roman"/>
          <w:sz w:val="17"/>
          <w:szCs w:val="17"/>
          <w:u w:val="single" w:color="auto"/>
          <w:color w:val="auto"/>
        </w:rPr>
        <w:t>Subsections 8(a)</w:t>
      </w:r>
      <w:r>
        <w:rPr>
          <w:rFonts w:ascii="Times New Roman" w:cs="Times New Roman" w:eastAsia="Times New Roman" w:hAnsi="Times New Roman"/>
          <w:sz w:val="17"/>
          <w:szCs w:val="17"/>
          <w:color w:val="auto"/>
        </w:rPr>
        <w:t xml:space="preserve"> or 8(b) below. To terminate the Executive’s employment with the Company and the Term pursuant to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the terminating party shall provide to the other party a written notice of termination (a “</w:t>
      </w:r>
      <w:r>
        <w:rPr>
          <w:rFonts w:ascii="Times New Roman" w:cs="Times New Roman" w:eastAsia="Times New Roman" w:hAnsi="Times New Roman"/>
          <w:sz w:val="17"/>
          <w:szCs w:val="17"/>
          <w:u w:val="single" w:color="auto"/>
          <w:color w:val="auto"/>
        </w:rPr>
        <w:t>Termination Notice</w:t>
      </w:r>
      <w:r>
        <w:rPr>
          <w:rFonts w:ascii="Times New Roman" w:cs="Times New Roman" w:eastAsia="Times New Roman" w:hAnsi="Times New Roman"/>
          <w:sz w:val="17"/>
          <w:szCs w:val="17"/>
          <w:color w:val="auto"/>
        </w:rPr>
        <w:t>”), which shall (i) indicate the specific termination provision of this Agreement relied upon,</w:t>
      </w:r>
    </w:p>
    <w:p>
      <w:pPr>
        <w:ind w:right="380" w:firstLine="8"/>
        <w:spacing w:after="0" w:line="261"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179"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The Company may terminate the Executive’s employment with the Company and the Term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33" w:lineRule="exact"/>
        <w:rPr>
          <w:rFonts w:ascii="Times New Roman" w:cs="Times New Roman" w:eastAsia="Times New Roman" w:hAnsi="Times New Roman"/>
          <w:sz w:val="18"/>
          <w:szCs w:val="18"/>
          <w:color w:val="auto"/>
        </w:rPr>
      </w:pPr>
    </w:p>
    <w:p>
      <w:pPr>
        <w:jc w:val="both"/>
        <w:ind w:left="2400" w:right="320" w:hanging="569"/>
        <w:spacing w:after="0" w:line="266" w:lineRule="auto"/>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03" w:lineRule="exact"/>
        <w:rPr>
          <w:rFonts w:ascii="Times New Roman" w:cs="Times New Roman" w:eastAsia="Times New Roman" w:hAnsi="Times New Roman"/>
          <w:sz w:val="18"/>
          <w:szCs w:val="18"/>
          <w:color w:val="auto"/>
        </w:rPr>
      </w:pPr>
    </w:p>
    <w:p>
      <w:pPr>
        <w:ind w:left="2400" w:hanging="569"/>
        <w:spacing w:after="0"/>
        <w:tabs>
          <w:tab w:leader="none" w:pos="240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Executive’s death, to be effective immediately upon the date of death;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14" w:name="page15"/>
    <w:bookmarkEnd w:id="14"/>
    <w:p>
      <w:pPr>
        <w:ind w:left="2392" w:hanging="569"/>
        <w:spacing w:after="0"/>
        <w:tabs>
          <w:tab w:leader="none" w:pos="239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Cause (as defined below), which termination shall be effective on the date specified in the Termination Notice;</w:t>
      </w:r>
    </w:p>
    <w:p>
      <w:pPr>
        <w:spacing w:after="0" w:line="252" w:lineRule="exact"/>
        <w:rPr>
          <w:rFonts w:ascii="Times New Roman" w:cs="Times New Roman" w:eastAsia="Times New Roman" w:hAnsi="Times New Roman"/>
          <w:sz w:val="18"/>
          <w:szCs w:val="18"/>
          <w:color w:val="auto"/>
        </w:rPr>
      </w:pPr>
    </w:p>
    <w:p>
      <w:pPr>
        <w:ind w:left="2392" w:right="340" w:hanging="569"/>
        <w:spacing w:after="0" w:line="266" w:lineRule="auto"/>
        <w:tabs>
          <w:tab w:leader="none" w:pos="239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Board determines in good faith that the Company is unable to continue to pay the level of compensation due to the Executive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whether as a result of the Company’s failure to obtain additional equity funding as needed to sustain its operations or otherwise; or</w:t>
      </w:r>
    </w:p>
    <w:p>
      <w:pPr>
        <w:spacing w:after="0" w:line="203" w:lineRule="exact"/>
        <w:rPr>
          <w:rFonts w:ascii="Times New Roman" w:cs="Times New Roman" w:eastAsia="Times New Roman" w:hAnsi="Times New Roman"/>
          <w:sz w:val="18"/>
          <w:szCs w:val="18"/>
          <w:color w:val="auto"/>
        </w:rPr>
      </w:pPr>
    </w:p>
    <w:p>
      <w:pPr>
        <w:ind w:left="2392" w:hanging="569"/>
        <w:spacing w:after="0" w:line="261" w:lineRule="auto"/>
        <w:tabs>
          <w:tab w:leader="none" w:pos="239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for any reason other than under </w:t>
      </w:r>
      <w:r>
        <w:rPr>
          <w:rFonts w:ascii="Times New Roman" w:cs="Times New Roman" w:eastAsia="Times New Roman" w:hAnsi="Times New Roman"/>
          <w:sz w:val="18"/>
          <w:szCs w:val="18"/>
          <w:u w:val="single" w:color="auto"/>
          <w:color w:val="auto"/>
        </w:rPr>
        <w:t>Subsections (a)(1), (2), (3) or (4)</w:t>
      </w:r>
      <w:r>
        <w:rPr>
          <w:rFonts w:ascii="Times New Roman" w:cs="Times New Roman" w:eastAsia="Times New Roman" w:hAnsi="Times New Roman"/>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180" w:lineRule="exact"/>
        <w:rPr>
          <w:rFonts w:ascii="Times New Roman" w:cs="Times New Roman" w:eastAsia="Times New Roman" w:hAnsi="Times New Roman"/>
          <w:sz w:val="18"/>
          <w:szCs w:val="18"/>
          <w:color w:val="auto"/>
        </w:rPr>
      </w:pPr>
    </w:p>
    <w:p>
      <w:pPr>
        <w:ind w:left="1352" w:hanging="439"/>
        <w:spacing w:after="0"/>
        <w:tabs>
          <w:tab w:leader="none" w:pos="13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his employment with the Company and the Term under this Agreement either</w:t>
      </w:r>
    </w:p>
    <w:p>
      <w:pPr>
        <w:spacing w:after="0" w:line="27" w:lineRule="exact"/>
        <w:rPr>
          <w:rFonts w:ascii="Times New Roman" w:cs="Times New Roman" w:eastAsia="Times New Roman" w:hAnsi="Times New Roman"/>
          <w:sz w:val="18"/>
          <w:szCs w:val="18"/>
          <w:color w:val="auto"/>
        </w:rPr>
      </w:pPr>
    </w:p>
    <w:p>
      <w:pPr>
        <w:ind w:left="-8" w:right="60" w:firstLine="8"/>
        <w:spacing w:after="0" w:line="261" w:lineRule="auto"/>
        <w:tabs>
          <w:tab w:leader="none" w:pos="2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Reason (as defined below) by providing a Termination Notice to the Company as described above; or (ii) without Good Reason by written notice of termination of his employment to the Company.</w:t>
      </w:r>
    </w:p>
    <w:p>
      <w:pPr>
        <w:spacing w:after="0" w:line="179" w:lineRule="exact"/>
        <w:rPr>
          <w:rFonts w:ascii="Times New Roman" w:cs="Times New Roman" w:eastAsia="Times New Roman" w:hAnsi="Times New Roman"/>
          <w:sz w:val="18"/>
          <w:szCs w:val="18"/>
          <w:color w:val="auto"/>
        </w:rPr>
      </w:pPr>
    </w:p>
    <w:p>
      <w:pPr>
        <w:ind w:left="-8" w:right="160" w:firstLine="921"/>
        <w:spacing w:after="0" w:line="258" w:lineRule="auto"/>
        <w:tabs>
          <w:tab w:leader="none" w:pos="132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“Disability</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w:t>
      </w:r>
    </w:p>
    <w:p>
      <w:pPr>
        <w:spacing w:after="0" w:line="183" w:lineRule="exact"/>
        <w:rPr>
          <w:rFonts w:ascii="Times New Roman" w:cs="Times New Roman" w:eastAsia="Times New Roman" w:hAnsi="Times New Roman"/>
          <w:sz w:val="18"/>
          <w:szCs w:val="18"/>
          <w:color w:val="auto"/>
        </w:rPr>
      </w:pPr>
    </w:p>
    <w:p>
      <w:pPr>
        <w:ind w:left="1352" w:hanging="439"/>
        <w:spacing w:after="0"/>
        <w:tabs>
          <w:tab w:leader="none" w:pos="13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The Company shall have “Cause” to terminate the Executive only for any of the following reasons:</w:t>
      </w:r>
    </w:p>
    <w:p>
      <w:pPr>
        <w:spacing w:after="0" w:line="252" w:lineRule="exact"/>
        <w:rPr>
          <w:rFonts w:ascii="Times New Roman" w:cs="Times New Roman" w:eastAsia="Times New Roman" w:hAnsi="Times New Roman"/>
          <w:sz w:val="18"/>
          <w:szCs w:val="18"/>
          <w:color w:val="auto"/>
        </w:rPr>
      </w:pPr>
    </w:p>
    <w:p>
      <w:pPr>
        <w:ind w:left="2392" w:right="80" w:hanging="569"/>
        <w:spacing w:after="0" w:line="289" w:lineRule="auto"/>
        <w:tabs>
          <w:tab w:leader="none" w:pos="2392"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fraudulent, dishonest or illegal conduct in the performance of services for or on behalf of the Company or any of its subsidiaries or affiliates or other conduct in violation of Company policy or materially detrimental to the business, operations or reputation of the Company or any of its subsidiaries or affiliates, as determined by the Board in good faith;</w:t>
      </w:r>
    </w:p>
    <w:p>
      <w:pPr>
        <w:spacing w:after="0" w:line="185" w:lineRule="exact"/>
        <w:rPr>
          <w:rFonts w:ascii="Times New Roman" w:cs="Times New Roman" w:eastAsia="Times New Roman" w:hAnsi="Times New Roman"/>
          <w:sz w:val="17"/>
          <w:szCs w:val="17"/>
          <w:color w:val="auto"/>
        </w:rPr>
      </w:pPr>
    </w:p>
    <w:p>
      <w:pPr>
        <w:ind w:left="2392" w:right="500" w:hanging="569"/>
        <w:spacing w:after="0" w:line="282" w:lineRule="auto"/>
        <w:tabs>
          <w:tab w:leader="none" w:pos="23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misappropriation of funds or fraud, whether or not related to his employment with the Company;</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12"/>
          </w:cols>
          <w:pgMar w:left="248" w:top="270" w:right="239" w:bottom="1440" w:gutter="0" w:footer="0" w:header="0"/>
        </w:sectPr>
      </w:pPr>
    </w:p>
    <w:bookmarkStart w:id="15" w:name="page16"/>
    <w:bookmarkEnd w:id="15"/>
    <w:p>
      <w:pPr>
        <w:ind w:left="2400" w:hanging="569"/>
        <w:spacing w:after="0"/>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Insubordination, negligence, willful misconduct or willful failure to comply with directions of the Board;</w:t>
      </w:r>
    </w:p>
    <w:p>
      <w:pPr>
        <w:spacing w:after="0" w:line="252" w:lineRule="exact"/>
        <w:rPr>
          <w:rFonts w:ascii="Times New Roman" w:cs="Times New Roman" w:eastAsia="Times New Roman" w:hAnsi="Times New Roman"/>
          <w:sz w:val="18"/>
          <w:szCs w:val="18"/>
          <w:color w:val="auto"/>
        </w:rPr>
      </w:pPr>
    </w:p>
    <w:p>
      <w:pPr>
        <w:ind w:left="2400" w:hanging="569"/>
        <w:spacing w:after="0"/>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Executive’s duty of loyalty to the Company or any of its subsidiaries;</w:t>
      </w:r>
    </w:p>
    <w:p>
      <w:pPr>
        <w:spacing w:after="0" w:line="252" w:lineRule="exact"/>
        <w:rPr>
          <w:rFonts w:ascii="Times New Roman" w:cs="Times New Roman" w:eastAsia="Times New Roman" w:hAnsi="Times New Roman"/>
          <w:sz w:val="18"/>
          <w:szCs w:val="18"/>
          <w:color w:val="auto"/>
        </w:rPr>
      </w:pPr>
    </w:p>
    <w:p>
      <w:pPr>
        <w:ind w:left="2400" w:right="480" w:hanging="569"/>
        <w:spacing w:after="0" w:line="313" w:lineRule="auto"/>
        <w:tabs>
          <w:tab w:leader="none" w:pos="24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violation of any Company policy, including but not limited to, the Company’s Code of Ethics, and its policies regarding discrimination, harassment and retaliation as determined by the Board of Directors in good faith;</w:t>
      </w:r>
    </w:p>
    <w:p>
      <w:pPr>
        <w:spacing w:after="0" w:line="165" w:lineRule="exact"/>
        <w:rPr>
          <w:rFonts w:ascii="Times New Roman" w:cs="Times New Roman" w:eastAsia="Times New Roman" w:hAnsi="Times New Roman"/>
          <w:sz w:val="17"/>
          <w:szCs w:val="17"/>
          <w:color w:val="auto"/>
        </w:rPr>
      </w:pPr>
    </w:p>
    <w:p>
      <w:pPr>
        <w:ind w:left="2400" w:right="440" w:hanging="569"/>
        <w:spacing w:after="0" w:line="282" w:lineRule="auto"/>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gross misconduct or intentional failure to comply with any lawful direction of the Company’s CEO or Board consistent with his duties hereunder;</w:t>
      </w:r>
    </w:p>
    <w:p>
      <w:pPr>
        <w:spacing w:after="0" w:line="188" w:lineRule="exact"/>
        <w:rPr>
          <w:rFonts w:ascii="Times New Roman" w:cs="Times New Roman" w:eastAsia="Times New Roman" w:hAnsi="Times New Roman"/>
          <w:sz w:val="18"/>
          <w:szCs w:val="18"/>
          <w:color w:val="auto"/>
        </w:rPr>
      </w:pPr>
    </w:p>
    <w:p>
      <w:pPr>
        <w:ind w:left="2400" w:hanging="569"/>
        <w:spacing w:after="0" w:line="282" w:lineRule="auto"/>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188" w:lineRule="exact"/>
        <w:rPr>
          <w:rFonts w:ascii="Times New Roman" w:cs="Times New Roman" w:eastAsia="Times New Roman" w:hAnsi="Times New Roman"/>
          <w:sz w:val="18"/>
          <w:szCs w:val="18"/>
          <w:color w:val="auto"/>
        </w:rPr>
      </w:pPr>
    </w:p>
    <w:p>
      <w:pPr>
        <w:ind w:left="2400" w:right="180" w:hanging="569"/>
        <w:spacing w:after="0" w:line="282" w:lineRule="auto"/>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determination by a majority of the Board that the Executive has committed an act of fraud, embezzlement or conversion of property related to the Company or any of its customers or suppliers; or</w:t>
      </w:r>
    </w:p>
    <w:p>
      <w:pPr>
        <w:spacing w:after="0" w:line="188" w:lineRule="exact"/>
        <w:rPr>
          <w:rFonts w:ascii="Times New Roman" w:cs="Times New Roman" w:eastAsia="Times New Roman" w:hAnsi="Times New Roman"/>
          <w:sz w:val="18"/>
          <w:szCs w:val="18"/>
          <w:color w:val="auto"/>
        </w:rPr>
      </w:pPr>
    </w:p>
    <w:p>
      <w:pPr>
        <w:ind w:left="2400" w:right="180" w:hanging="569"/>
        <w:spacing w:after="0" w:line="282" w:lineRule="auto"/>
        <w:tabs>
          <w:tab w:leader="none" w:pos="2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intentional breach of the Executive’s obligations under this Agreement which is not promptly cured after notice and demand by the Board.</w:t>
      </w:r>
    </w:p>
    <w:p>
      <w:pPr>
        <w:spacing w:after="0" w:line="161" w:lineRule="exact"/>
        <w:rPr>
          <w:rFonts w:ascii="Times New Roman" w:cs="Times New Roman" w:eastAsia="Times New Roman" w:hAnsi="Times New Roman"/>
          <w:sz w:val="18"/>
          <w:szCs w:val="18"/>
          <w:color w:val="auto"/>
        </w:rPr>
      </w:pPr>
    </w:p>
    <w:p>
      <w:pPr>
        <w:ind w:left="1360" w:hanging="439"/>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“Good Reason</w:t>
      </w:r>
      <w:r>
        <w:rPr>
          <w:rFonts w:ascii="Times New Roman" w:cs="Times New Roman" w:eastAsia="Times New Roman" w:hAnsi="Times New Roman"/>
          <w:sz w:val="18"/>
          <w:szCs w:val="18"/>
          <w:color w:val="auto"/>
        </w:rPr>
        <w:t>.” For the purposes of this Agreement, “Good Reason” shall mean without the prior written consent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34" w:lineRule="exact"/>
        <w:rPr>
          <w:sz w:val="20"/>
          <w:szCs w:val="20"/>
          <w:color w:val="auto"/>
        </w:rPr>
      </w:pPr>
    </w:p>
    <w:p>
      <w:pPr>
        <w:ind w:left="2400" w:right="100" w:hanging="569"/>
        <w:spacing w:after="0" w:line="256" w:lineRule="auto"/>
        <w:tabs>
          <w:tab w:leader="none" w:pos="2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reduction by the Company of the Executive’s annual base salary from the amount specified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provided that, such a reduction shall not be considered “Good Reason” if the reduction results from a determination by the Board in good faith that the Company is unable to continue to pay the level of executive compensation due to the Executive and similarly situated executives, whether as a result of the Company’s failure to obtain additional equity funding as needed to sustain its operations, or otherwise unless such determination occurs within ninety (90) days of a Change of Control (as defined below);</w:t>
      </w:r>
    </w:p>
    <w:p>
      <w:pPr>
        <w:spacing w:after="0" w:line="214" w:lineRule="exact"/>
        <w:rPr>
          <w:rFonts w:ascii="Times New Roman" w:cs="Times New Roman" w:eastAsia="Times New Roman" w:hAnsi="Times New Roman"/>
          <w:sz w:val="18"/>
          <w:szCs w:val="18"/>
          <w:color w:val="auto"/>
        </w:rPr>
      </w:pPr>
    </w:p>
    <w:p>
      <w:pPr>
        <w:ind w:left="2400" w:right="80" w:hanging="569"/>
        <w:spacing w:after="0" w:line="282" w:lineRule="auto"/>
        <w:tabs>
          <w:tab w:leader="none" w:pos="2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demotion or other material diminution by the Company in the Executive’s authority, duties, or responsibilities from those specified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0" w:right="279" w:bottom="1440" w:gutter="0" w:footer="0" w:header="0"/>
        </w:sectPr>
      </w:pPr>
    </w:p>
    <w:bookmarkStart w:id="16" w:name="page17"/>
    <w:bookmarkEnd w:id="16"/>
    <w:p>
      <w:pPr>
        <w:ind w:left="2400" w:hanging="569"/>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material breach of this Agreement by the Company.</w:t>
      </w:r>
    </w:p>
    <w:p>
      <w:pPr>
        <w:spacing w:after="0" w:line="225" w:lineRule="exact"/>
        <w:rPr>
          <w:rFonts w:ascii="Times New Roman" w:cs="Times New Roman" w:eastAsia="Times New Roman" w:hAnsi="Times New Roman"/>
          <w:sz w:val="18"/>
          <w:szCs w:val="18"/>
          <w:color w:val="auto"/>
        </w:rPr>
      </w:pPr>
    </w:p>
    <w:p>
      <w:pPr>
        <w:ind w:right="80" w:firstLine="921"/>
        <w:spacing w:after="0" w:line="255" w:lineRule="auto"/>
        <w:tabs>
          <w:tab w:leader="none" w:pos="13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Notice and Cure</w:t>
      </w:r>
      <w:r>
        <w:rPr>
          <w:rFonts w:ascii="Times New Roman" w:cs="Times New Roman" w:eastAsia="Times New Roman" w:hAnsi="Times New Roman"/>
          <w:sz w:val="18"/>
          <w:szCs w:val="18"/>
          <w:color w:val="auto"/>
        </w:rPr>
        <w:t xml:space="preserve">. Notwithstanding the foregoing subsection (e)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Section 8(e)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Similarly, notwithstanding the foregoing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as soon as reasonably practicable, but in no event later than one hundred fifty (150) days after the Board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six (6) months from the date on which the Board first received notice of the event constituting Cause.</w:t>
      </w:r>
    </w:p>
    <w:p>
      <w:pPr>
        <w:spacing w:after="0" w:line="185" w:lineRule="exact"/>
        <w:rPr>
          <w:sz w:val="20"/>
          <w:szCs w:val="20"/>
          <w:color w:val="auto"/>
        </w:rPr>
      </w:pPr>
    </w:p>
    <w:p>
      <w:pPr>
        <w:ind w:left="820" w:hanging="35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PAY.</w:t>
      </w:r>
    </w:p>
    <w:p>
      <w:pPr>
        <w:spacing w:after="0" w:line="229" w:lineRule="exact"/>
        <w:rPr>
          <w:rFonts w:ascii="Times New Roman" w:cs="Times New Roman" w:eastAsia="Times New Roman" w:hAnsi="Times New Roman"/>
          <w:sz w:val="18"/>
          <w:szCs w:val="18"/>
          <w:color w:val="auto"/>
        </w:rPr>
      </w:pPr>
    </w:p>
    <w:p>
      <w:pPr>
        <w:ind w:right="40" w:firstLine="921"/>
        <w:spacing w:after="0" w:line="266" w:lineRule="auto"/>
        <w:tabs>
          <w:tab w:leader="none" w:pos="13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Executive’s employment with the Company is terminated by the Company during the Term for Cause (as defined in Section 8(d) above), or by the Executive other than for Good Reason (as defined in Section 8(e) above), the compensation and benefits the Executive shall be entitled to receive from the Company shall be limited to:</w:t>
      </w:r>
    </w:p>
    <w:p>
      <w:pPr>
        <w:spacing w:after="0" w:line="176" w:lineRule="exact"/>
        <w:rPr>
          <w:rFonts w:ascii="Times New Roman" w:cs="Times New Roman" w:eastAsia="Times New Roman" w:hAnsi="Times New Roman"/>
          <w:sz w:val="18"/>
          <w:szCs w:val="18"/>
          <w:color w:val="auto"/>
        </w:rPr>
      </w:pPr>
    </w:p>
    <w:p>
      <w:pPr>
        <w:ind w:left="920" w:right="100" w:firstLine="421"/>
        <w:spacing w:after="0" w:line="282" w:lineRule="auto"/>
        <w:tabs>
          <w:tab w:leader="none" w:pos="173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then-current annual base salary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through the date of termination, payable in accordance with the Company’s standard payroll practices;</w:t>
      </w:r>
    </w:p>
    <w:p>
      <w:pPr>
        <w:spacing w:after="0" w:line="161" w:lineRule="exact"/>
        <w:rPr>
          <w:rFonts w:ascii="Times New Roman" w:cs="Times New Roman" w:eastAsia="Times New Roman" w:hAnsi="Times New Roman"/>
          <w:sz w:val="18"/>
          <w:szCs w:val="18"/>
          <w:color w:val="auto"/>
        </w:rPr>
      </w:pPr>
    </w:p>
    <w:p>
      <w:pPr>
        <w:ind w:left="1780" w:hanging="439"/>
        <w:spacing w:after="0"/>
        <w:tabs>
          <w:tab w:leader="none" w:pos="17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reimbursable expenses for which the Executive has not yet been reimbursed as of the date of termination;</w:t>
      </w:r>
    </w:p>
    <w:p>
      <w:pPr>
        <w:spacing w:after="0" w:line="225" w:lineRule="exact"/>
        <w:rPr>
          <w:rFonts w:ascii="Times New Roman" w:cs="Times New Roman" w:eastAsia="Times New Roman" w:hAnsi="Times New Roman"/>
          <w:sz w:val="18"/>
          <w:szCs w:val="18"/>
          <w:color w:val="auto"/>
        </w:rPr>
      </w:pPr>
    </w:p>
    <w:p>
      <w:pPr>
        <w:ind w:left="1840" w:hanging="499"/>
        <w:spacing w:after="0"/>
        <w:tabs>
          <w:tab w:leader="none" w:pos="18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paid time off;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0" w:right="279" w:bottom="1440" w:gutter="0" w:footer="0" w:header="0"/>
        </w:sectPr>
      </w:pPr>
    </w:p>
    <w:bookmarkStart w:id="17" w:name="page18"/>
    <w:bookmarkEnd w:id="17"/>
    <w:p>
      <w:pPr>
        <w:ind w:left="920" w:right="280" w:firstLine="421"/>
        <w:spacing w:after="0" w:line="282" w:lineRule="auto"/>
        <w:tabs>
          <w:tab w:leader="none" w:pos="1825"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rights and vested benefits (if any) provided under employee benefit plans and programs of the Company, determined in accordance with the applicable terms and provisions of such plans and programs.</w:t>
      </w:r>
    </w:p>
    <w:p>
      <w:pPr>
        <w:spacing w:after="0" w:line="161" w:lineRule="exact"/>
        <w:rPr>
          <w:rFonts w:ascii="Times New Roman" w:cs="Times New Roman" w:eastAsia="Times New Roman" w:hAnsi="Times New Roman"/>
          <w:sz w:val="18"/>
          <w:szCs w:val="18"/>
          <w:color w:val="auto"/>
        </w:rPr>
      </w:pPr>
    </w:p>
    <w:p>
      <w:pPr>
        <w:ind w:firstLine="921"/>
        <w:spacing w:after="0" w:line="282" w:lineRule="auto"/>
        <w:tabs>
          <w:tab w:leader="none" w:pos="134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with the Company is terminated due to death or disability or the inability of the Company to continue to pay Executive’s salary, the Company will pay all salary and bonuses to the date of termination.</w:t>
      </w:r>
    </w:p>
    <w:p>
      <w:pPr>
        <w:spacing w:after="0" w:line="161" w:lineRule="exact"/>
        <w:rPr>
          <w:rFonts w:ascii="Times New Roman" w:cs="Times New Roman" w:eastAsia="Times New Roman" w:hAnsi="Times New Roman"/>
          <w:sz w:val="18"/>
          <w:szCs w:val="18"/>
          <w:color w:val="auto"/>
        </w:rPr>
      </w:pPr>
    </w:p>
    <w:p>
      <w:pPr>
        <w:ind w:right="20" w:firstLine="921"/>
        <w:spacing w:after="0" w:line="276" w:lineRule="auto"/>
        <w:tabs>
          <w:tab w:leader="none" w:pos="1338"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Executive’s employment with the Company is terminated during the Term, either by the Company without Cause or by the Executive for Good Reason, in addition to the amounts in </w:t>
      </w:r>
      <w:r>
        <w:rPr>
          <w:rFonts w:ascii="Times New Roman" w:cs="Times New Roman" w:eastAsia="Times New Roman" w:hAnsi="Times New Roman"/>
          <w:sz w:val="17"/>
          <w:szCs w:val="17"/>
          <w:u w:val="single" w:color="auto"/>
          <w:color w:val="auto"/>
        </w:rPr>
        <w:t>Subsection (a)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the Executive shall also be entitled to receive severance pay equal to six</w:t>
      </w:r>
    </w:p>
    <w:p>
      <w:pPr>
        <w:ind w:firstLine="8"/>
        <w:spacing w:after="0" w:line="25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of his annual base salary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at the rate in effect on the date of termination plus accrued and unused paid time off.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addition, the Executive shall also receive upon termination any Annual Performance Bonus that, as of the date of termination, has been earned by the Executive but has not yet been paid by the Company to the Executive. In addition, the Company shall pay the cost for Executive to continue his health insurance benefits under COBRA for a period of six months after termination of employment, or the Company will fund an alternative health care insurance plan for the same dollar amount as a six month Cobra plan.</w:t>
      </w:r>
    </w:p>
    <w:p>
      <w:pPr>
        <w:spacing w:after="0" w:line="187" w:lineRule="exact"/>
        <w:rPr>
          <w:rFonts w:ascii="Times New Roman" w:cs="Times New Roman" w:eastAsia="Times New Roman" w:hAnsi="Times New Roman"/>
          <w:sz w:val="18"/>
          <w:szCs w:val="18"/>
          <w:color w:val="auto"/>
        </w:rPr>
      </w:pPr>
    </w:p>
    <w:p>
      <w:pPr>
        <w:ind w:right="20" w:firstLine="921"/>
        <w:spacing w:after="0" w:line="261" w:lineRule="auto"/>
        <w:tabs>
          <w:tab w:leader="none" w:pos="134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it will be a condition to the Executive’s right to receive any severance benefits under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that he execute and deliver the Release to the Company upon his separation from service, and that he does not revoke the Release during the fifteen (15) day period thereafter. Subject to Section 14 below, the severance payments under this Section 9 will be made no earlier than fifteen (15) days after the Executive has executed, delivered and not revoked the Release as required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920" w:hanging="456"/>
        <w:spacing w:after="0"/>
        <w:tabs>
          <w:tab w:leader="none" w:pos="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w:t>
      </w:r>
    </w:p>
    <w:p>
      <w:pPr>
        <w:spacing w:after="0" w:line="229" w:lineRule="exact"/>
        <w:rPr>
          <w:rFonts w:ascii="Times New Roman" w:cs="Times New Roman" w:eastAsia="Times New Roman" w:hAnsi="Times New Roman"/>
          <w:sz w:val="18"/>
          <w:szCs w:val="18"/>
          <w:color w:val="auto"/>
        </w:rPr>
      </w:pPr>
    </w:p>
    <w:p>
      <w:pPr>
        <w:ind w:firstLine="921"/>
        <w:spacing w:after="0" w:line="276" w:lineRule="auto"/>
        <w:tabs>
          <w:tab w:leader="none" w:pos="1338"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Executive’s employment with the Company is terminated either by the Company without Cause or by the Executive for Good Reason during the period of ninety (90) days following a Change in Control of the Company (as that term is defined below), in addition to the amounts in </w:t>
      </w:r>
      <w:r>
        <w:rPr>
          <w:rFonts w:ascii="Times New Roman" w:cs="Times New Roman" w:eastAsia="Times New Roman" w:hAnsi="Times New Roman"/>
          <w:sz w:val="17"/>
          <w:szCs w:val="17"/>
          <w:u w:val="single" w:color="auto"/>
          <w:color w:val="auto"/>
        </w:rPr>
        <w:t>Subsection</w:t>
      </w:r>
    </w:p>
    <w:p>
      <w:pPr>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but in lieu of any severance payments under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Executive shall be entitled to receive a severance payment equal to the sum of (i) eight (8) months of his annual base salary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at the higher of the base salary rate in effect on the date of termination or the base salary rate in effect immediately before the effective date of the Change of Control, and (ii) the Executive ‘s Annual Performance Bonus for the year which includes the effective date of the Change in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payable at the full target level of performance including any bonus declared and not yet paid. This severance pay shall be paid to the Executive in cash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 In addition, the Company shall pay the cost for the Executive to continue his health insurance benefits under COBRA for a period of eight (8) months.</w:t>
      </w:r>
    </w:p>
    <w:p>
      <w:pPr>
        <w:spacing w:after="0" w:line="188" w:lineRule="exact"/>
        <w:rPr>
          <w:sz w:val="20"/>
          <w:szCs w:val="20"/>
          <w:color w:val="auto"/>
        </w:rPr>
      </w:pPr>
    </w:p>
    <w:p>
      <w:pPr>
        <w:ind w:firstLine="921"/>
        <w:spacing w:after="0" w:line="261" w:lineRule="auto"/>
        <w:tabs>
          <w:tab w:leader="none" w:pos="13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ninety</w:t>
      </w: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a Change in Control, such equity awards shall become fully vested as of the termination date.</w:t>
      </w:r>
    </w:p>
    <w:p>
      <w:pPr>
        <w:spacing w:after="0" w:line="206" w:lineRule="exact"/>
        <w:rPr>
          <w:rFonts w:ascii="Times New Roman" w:cs="Times New Roman" w:eastAsia="Times New Roman" w:hAnsi="Times New Roman"/>
          <w:sz w:val="18"/>
          <w:szCs w:val="18"/>
          <w:color w:val="auto"/>
        </w:rPr>
      </w:pPr>
    </w:p>
    <w:p>
      <w:pPr>
        <w:jc w:val="both"/>
        <w:ind w:right="40" w:firstLine="921"/>
        <w:spacing w:after="0" w:line="261" w:lineRule="auto"/>
        <w:tabs>
          <w:tab w:leader="none" w:pos="13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l.409A-3(i)(5).</w:t>
      </w:r>
    </w:p>
    <w:p>
      <w:pPr>
        <w:spacing w:after="0" w:line="180" w:lineRule="exact"/>
        <w:rPr>
          <w:rFonts w:ascii="Times New Roman" w:cs="Times New Roman" w:eastAsia="Times New Roman" w:hAnsi="Times New Roman"/>
          <w:sz w:val="18"/>
          <w:szCs w:val="18"/>
          <w:color w:val="auto"/>
        </w:rPr>
      </w:pPr>
    </w:p>
    <w:p>
      <w:pPr>
        <w:ind w:right="40" w:firstLine="921"/>
        <w:spacing w:after="0" w:line="253" w:lineRule="auto"/>
        <w:tabs>
          <w:tab w:leader="none" w:pos="13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 “Parachute Payments”) would: (i) constitute a “parachute payment” within the meaning of Section 280G of the Code; and (ii) but for this sentence, be subject to the excise tax imposed by Section 4999 of the Code (the “Excise Tax”), then the severance payments payable to the Executive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reduced to such extent which would result in no portion of such severance benefits being subject to the Excise Tax under Section 4999 of the Code (the “Reduced Amount”). Any determination of the Excise Tax or the Reduced Amount required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The Company shall bear all costs the accountants may reasonably incur in connection with any calculations contemplated by this </w:t>
      </w:r>
      <w:r>
        <w:rPr>
          <w:rFonts w:ascii="Times New Roman" w:cs="Times New Roman" w:eastAsia="Times New Roman" w:hAnsi="Times New Roman"/>
          <w:sz w:val="18"/>
          <w:szCs w:val="18"/>
          <w:u w:val="single" w:color="auto"/>
          <w:color w:val="auto"/>
        </w:rPr>
        <w:t>Section 10(d).</w:t>
      </w:r>
    </w:p>
    <w:p>
      <w:pPr>
        <w:spacing w:after="0" w:line="187" w:lineRule="exact"/>
        <w:rPr>
          <w:sz w:val="20"/>
          <w:szCs w:val="20"/>
          <w:color w:val="auto"/>
        </w:rPr>
      </w:pPr>
    </w:p>
    <w:p>
      <w:pPr>
        <w:ind w:right="40" w:firstLine="464"/>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BREACH. </w:t>
      </w:r>
      <w:r>
        <w:rPr>
          <w:rFonts w:ascii="Times New Roman" w:cs="Times New Roman" w:eastAsia="Times New Roman" w:hAnsi="Times New Roman"/>
          <w:sz w:val="18"/>
          <w:szCs w:val="18"/>
          <w:color w:val="auto"/>
        </w:rPr>
        <w:t>The Executive hereby represents to the Company that: (i) the execution and delivery of this Agreement by the Executive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the Executive of the Executive’s duties hereunder shall not constitute a breach of, or otherwise</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270" w:right="299" w:bottom="1440" w:gutter="0" w:footer="0" w:header="0"/>
        </w:sectPr>
      </w:pPr>
    </w:p>
    <w:bookmarkStart w:id="19" w:name="page20"/>
    <w:bookmarkEnd w:id="19"/>
    <w:p>
      <w:pPr>
        <w:ind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contravene, the terms of any other agreement or policy to which the Executive is a party or otherwise would be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64" w:lineRule="exact"/>
        <w:rPr>
          <w:sz w:val="20"/>
          <w:szCs w:val="20"/>
          <w:color w:val="auto"/>
        </w:rPr>
      </w:pPr>
    </w:p>
    <w:p>
      <w:pPr>
        <w:ind w:firstLine="464"/>
        <w:spacing w:after="0" w:line="259" w:lineRule="auto"/>
        <w:tabs>
          <w:tab w:leader="none" w:pos="9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or communications required by or bearing upon this Agreement or between the Parties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duly given (i) on the date of delivery if delivered personally, (ii) on the first business day following the date of dispatch if delivered using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183"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 to:</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John Bonfiglio</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2021 N. Lemans Blvd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 6206</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Tampa, FL 33607</w:t>
      </w:r>
    </w:p>
    <w:p>
      <w:pPr>
        <w:spacing w:after="0" w:line="207" w:lineRule="exact"/>
        <w:rPr>
          <w:sz w:val="20"/>
          <w:szCs w:val="20"/>
          <w:color w:val="auto"/>
        </w:rPr>
      </w:pPr>
    </w:p>
    <w:p>
      <w:pPr>
        <w:ind w:left="1360" w:hanging="439"/>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Taplmmune Inc.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50 N. Laura St. – Suite 2500</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Jacksonville, FL 32202</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Attn: CEO</w:t>
      </w:r>
    </w:p>
    <w:p>
      <w:pPr>
        <w:spacing w:after="0" w:line="203" w:lineRule="exact"/>
        <w:rPr>
          <w:sz w:val="20"/>
          <w:szCs w:val="20"/>
          <w:color w:val="auto"/>
        </w:rPr>
      </w:pPr>
    </w:p>
    <w:p>
      <w:pPr>
        <w:ind w:firstLine="464"/>
        <w:spacing w:after="0" w:line="257" w:lineRule="auto"/>
        <w:tabs>
          <w:tab w:leader="none" w:pos="9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NON-ASSIGNMENT. </w:t>
      </w:r>
      <w:r>
        <w:rPr>
          <w:rFonts w:ascii="Times New Roman" w:cs="Times New Roman" w:eastAsia="Times New Roman" w:hAnsi="Times New Roman"/>
          <w:sz w:val="18"/>
          <w:szCs w:val="18"/>
          <w:color w:val="auto"/>
        </w:rPr>
        <w:t>The Executive and the Company each acknowledges the unique nature of services to be provided by the Executive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0" w:right="299" w:bottom="1440" w:gutter="0" w:footer="0" w:header="0"/>
        </w:sectPr>
      </w:pPr>
    </w:p>
    <w:bookmarkStart w:id="20" w:name="page21"/>
    <w:bookmarkEnd w:id="20"/>
    <w:p>
      <w:pPr>
        <w:ind w:right="40" w:firstLine="464"/>
        <w:spacing w:after="0" w:line="259"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SECTION 409A OF THE CODE. </w:t>
      </w:r>
      <w:r>
        <w:rPr>
          <w:rFonts w:ascii="Times New Roman" w:cs="Times New Roman" w:eastAsia="Times New Roman" w:hAnsi="Times New Roman"/>
          <w:sz w:val="18"/>
          <w:szCs w:val="18"/>
          <w:color w:val="auto"/>
        </w:rPr>
        <w:t>The Executive and the Company each acknowledges that each of the payments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promised to Executive under this Agreement must either comply with the requirements of Section 409A of the Code (“Section 409A”), and the regulations thereunder or qualify for an exception from compliance. To that end, the Executive and the Company agree that the severance payments described in Sections 9 and 10 are intended to be excepted from compliance with Section 409A as either short-term deferrals pursuant to Treasury Regulation Section l.409A-l(b)(4) or separation pay pursuant to Treasury Regulation Section l.409A-1(b)(9).</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l.409A-l(i))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184" w:lineRule="exact"/>
        <w:rPr>
          <w:sz w:val="20"/>
          <w:szCs w:val="20"/>
          <w:color w:val="auto"/>
        </w:rPr>
      </w:pPr>
    </w:p>
    <w:p>
      <w:pPr>
        <w:ind w:right="40" w:firstLine="464"/>
        <w:spacing w:after="0" w:line="257" w:lineRule="auto"/>
        <w:tabs>
          <w:tab w:leader="none" w:pos="9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INJUNCTIVE RELIEF. </w:t>
      </w:r>
      <w:r>
        <w:rPr>
          <w:rFonts w:ascii="Times New Roman" w:cs="Times New Roman" w:eastAsia="Times New Roman" w:hAnsi="Times New Roman"/>
          <w:sz w:val="18"/>
          <w:szCs w:val="18"/>
          <w:color w:val="auto"/>
        </w:rPr>
        <w:t>The Executive acknowledges and accepts that his compliance with Sections 5, 6 and 7 is an integral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182" w:lineRule="exact"/>
        <w:rPr>
          <w:rFonts w:ascii="Times New Roman" w:cs="Times New Roman" w:eastAsia="Times New Roman" w:hAnsi="Times New Roman"/>
          <w:sz w:val="18"/>
          <w:szCs w:val="18"/>
          <w:color w:val="auto"/>
        </w:rPr>
      </w:pPr>
    </w:p>
    <w:p>
      <w:pPr>
        <w:ind w:right="120" w:firstLine="464"/>
        <w:spacing w:after="0" w:line="262" w:lineRule="auto"/>
        <w:tabs>
          <w:tab w:leader="none" w:pos="9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ENFORCEABILITY. </w:t>
      </w:r>
      <w:r>
        <w:rPr>
          <w:rFonts w:ascii="Times New Roman" w:cs="Times New Roman" w:eastAsia="Times New Roman" w:hAnsi="Times New Roman"/>
          <w:sz w:val="18"/>
          <w:szCs w:val="18"/>
          <w:color w:val="auto"/>
        </w:rPr>
        <w:t>If any provision of this Agreement shall be found by a court with proper jurisdiction to be invalid or unenforceable,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176" w:lineRule="exact"/>
        <w:rPr>
          <w:rFonts w:ascii="Times New Roman" w:cs="Times New Roman" w:eastAsia="Times New Roman" w:hAnsi="Times New Roman"/>
          <w:sz w:val="18"/>
          <w:szCs w:val="18"/>
          <w:color w:val="auto"/>
        </w:rPr>
      </w:pPr>
    </w:p>
    <w:p>
      <w:pPr>
        <w:ind w:left="920" w:hanging="456"/>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rFonts w:ascii="Times New Roman" w:cs="Times New Roman" w:eastAsia="Times New Roman" w:hAnsi="Times New Roman"/>
          <w:sz w:val="18"/>
          <w:szCs w:val="18"/>
          <w:color w:val="auto"/>
        </w:rPr>
      </w:pPr>
    </w:p>
    <w:p>
      <w:pPr>
        <w:ind w:right="140" w:firstLine="921"/>
        <w:spacing w:after="0" w:line="282" w:lineRule="auto"/>
        <w:tabs>
          <w:tab w:leader="none" w:pos="13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6" w:right="239" w:bottom="1440" w:gutter="0" w:footer="0" w:header="0"/>
        </w:sectPr>
      </w:pPr>
    </w:p>
    <w:bookmarkStart w:id="21" w:name="page22"/>
    <w:bookmarkEnd w:id="21"/>
    <w:p>
      <w:pPr>
        <w:jc w:val="both"/>
        <w:ind w:left="-60" w:right="100" w:firstLine="921"/>
        <w:spacing w:after="0" w:line="282"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represents the sole agreement of the Executive and the Company concerning the subject matter hereof and supersedes all prior communications, representations and negotiations, whether oral or written, concerning such subject matter, including the Prior Consulting Agreement.</w:t>
      </w:r>
    </w:p>
    <w:p>
      <w:pPr>
        <w:spacing w:after="0" w:line="161" w:lineRule="exact"/>
        <w:rPr>
          <w:rFonts w:ascii="Times New Roman" w:cs="Times New Roman" w:eastAsia="Times New Roman" w:hAnsi="Times New Roman"/>
          <w:sz w:val="18"/>
          <w:szCs w:val="18"/>
          <w:color w:val="auto"/>
        </w:rPr>
      </w:pPr>
    </w:p>
    <w:p>
      <w:pPr>
        <w:ind w:left="-60" w:right="220" w:firstLine="921"/>
        <w:spacing w:after="0" w:line="282" w:lineRule="auto"/>
        <w:tabs>
          <w:tab w:leader="none" w:pos="12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 only be modified or amended by the written consent of both Executive and the Company hereto which states that it constitutes an amendment hereto.</w:t>
      </w:r>
    </w:p>
    <w:p>
      <w:pPr>
        <w:spacing w:after="0" w:line="161" w:lineRule="exact"/>
        <w:rPr>
          <w:rFonts w:ascii="Times New Roman" w:cs="Times New Roman" w:eastAsia="Times New Roman" w:hAnsi="Times New Roman"/>
          <w:sz w:val="18"/>
          <w:szCs w:val="18"/>
          <w:color w:val="auto"/>
        </w:rPr>
      </w:pPr>
    </w:p>
    <w:p>
      <w:pPr>
        <w:ind w:left="-60" w:right="160" w:firstLine="921"/>
        <w:spacing w:after="0" w:line="258"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183" w:lineRule="exact"/>
        <w:rPr>
          <w:rFonts w:ascii="Times New Roman" w:cs="Times New Roman" w:eastAsia="Times New Roman" w:hAnsi="Times New Roman"/>
          <w:sz w:val="18"/>
          <w:szCs w:val="18"/>
          <w:color w:val="auto"/>
        </w:rPr>
      </w:pPr>
    </w:p>
    <w:p>
      <w:pPr>
        <w:ind w:left="1280" w:hanging="419"/>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bind the Parties’ respective heirs, successors, representatives and permitted assigns</w:t>
      </w:r>
    </w:p>
    <w:p>
      <w:pPr>
        <w:spacing w:after="0" w:line="225" w:lineRule="exact"/>
        <w:rPr>
          <w:rFonts w:ascii="Times New Roman" w:cs="Times New Roman" w:eastAsia="Times New Roman" w:hAnsi="Times New Roman"/>
          <w:sz w:val="18"/>
          <w:szCs w:val="18"/>
          <w:color w:val="auto"/>
        </w:rPr>
      </w:pPr>
    </w:p>
    <w:p>
      <w:pPr>
        <w:ind w:left="-60" w:firstLine="921"/>
        <w:spacing w:after="0" w:line="282" w:lineRule="auto"/>
        <w:tabs>
          <w:tab w:leader="none" w:pos="1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61" w:lineRule="exact"/>
        <w:rPr>
          <w:rFonts w:ascii="Times New Roman" w:cs="Times New Roman" w:eastAsia="Times New Roman" w:hAnsi="Times New Roman"/>
          <w:sz w:val="18"/>
          <w:szCs w:val="18"/>
          <w:color w:val="auto"/>
        </w:rPr>
      </w:pPr>
    </w:p>
    <w:p>
      <w:pPr>
        <w:jc w:val="both"/>
        <w:ind w:left="-60" w:right="300" w:firstLine="921"/>
        <w:spacing w:after="0" w:line="266"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00"/>
          </w:cols>
          <w:pgMar w:left="300" w:top="270" w:right="299" w:bottom="1440" w:gutter="0" w:footer="0" w:header="0"/>
        </w:sectPr>
      </w:pPr>
    </w:p>
    <w:bookmarkStart w:id="22" w:name="page23"/>
    <w:bookmarkEnd w:id="22"/>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executed this Agreement as of the date first written above, to be effective on the Effective Date,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herein contained.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 TapImmune Inc.</w:t>
            </w:r>
          </w:p>
        </w:tc>
        <w:tc>
          <w:tcPr>
            <w:tcW w:w="2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/s/Glynn Wilson</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/s/John Bonfiglio</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79"/>
              </w:rPr>
              <w:t>Glynn</w:t>
            </w:r>
          </w:p>
        </w:tc>
        <w:tc>
          <w:tcPr>
            <w:tcW w:w="3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Wilson, Chief Executive Officer</w:t>
            </w:r>
          </w:p>
        </w:tc>
        <w:tc>
          <w:tcPr>
            <w:tcW w:w="21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Bonfiglio</w:t>
            </w:r>
          </w:p>
        </w:tc>
      </w:tr>
      <w:tr>
        <w:trPr>
          <w:trHeight w:val="360"/>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940" w:type="dxa"/>
            <w:vAlign w:val="bottom"/>
            <w:gridSpan w:val="3"/>
          </w:tcPr>
          <w:p>
            <w:pPr>
              <w:ind w:left="64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tc>
      </w:tr>
    </w:tbl>
    <w:p>
      <w:pPr>
        <w:sectPr>
          <w:pgSz w:w="11900" w:h="16838" w:orient="portrait"/>
          <w:cols w:equalWidth="0" w:num="1">
            <w:col w:w="11420"/>
          </w:cols>
          <w:pgMar w:left="240" w:top="266"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CONSULTING STOCK OPTION AWARD AGREEMENT</w:t>
      </w:r>
    </w:p>
    <w:p>
      <w:pPr>
        <w:spacing w:after="0" w:line="22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THIS AMENDMENT TO CONSULTING STOCK OPTION AGREEMENT is made and entered into this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2016, by and between TapImmune Inc. (the “Company”) and Dr. John Bonfiglio (“Dr. Bonfiglio”), and amends that certain consulting stock option award agreement between the Company and Dr. Bonfiglio, dated February 10, 2015, (the “Consulting Option Award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since entering into a consulting agreement with the Company, Dr. Bonfiglio has been appointed to the Company’s Board of Directors;</w:t>
      </w:r>
    </w:p>
    <w:p>
      <w:pPr>
        <w:spacing w:after="0" w:line="225"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Dr. Bonfiglio is becoming a full time employee of the Company; entering into an employment agreement; and terminating his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agreement with the Company, all effective the date hereof; and</w:t>
      </w:r>
    </w:p>
    <w:p>
      <w:pPr>
        <w:spacing w:after="0" w:line="155" w:lineRule="exact"/>
        <w:rPr>
          <w:sz w:val="20"/>
          <w:szCs w:val="20"/>
          <w:color w:val="auto"/>
        </w:rPr>
      </w:pPr>
    </w:p>
    <w:p>
      <w:pPr>
        <w:jc w:val="both"/>
        <w:ind w:right="1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Dr. Bonfiglio desire to clarify that the options awarded to Dr. Bonfiglio at the time he became a consultant have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and, would continue to be exerciseable notwithstanding the termination of his consulting services, due to his continued services to the Company both as a full time employee and as a Director.</w:t>
      </w:r>
    </w:p>
    <w:p>
      <w:pPr>
        <w:spacing w:after="0" w:line="171"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premises and the mutual covenants contained herein,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hereto agree as follows:</w:t>
      </w:r>
    </w:p>
    <w:p>
      <w:pPr>
        <w:spacing w:after="0" w:line="159" w:lineRule="exact"/>
        <w:rPr>
          <w:sz w:val="20"/>
          <w:szCs w:val="20"/>
          <w:color w:val="auto"/>
        </w:rPr>
      </w:pPr>
    </w:p>
    <w:p>
      <w:pPr>
        <w:ind w:left="820" w:hanging="35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10 of the Consulting Option Award Agreement is hereby replaced as follows:</w:t>
      </w:r>
    </w:p>
    <w:p>
      <w:pPr>
        <w:spacing w:after="0" w:line="252" w:lineRule="exact"/>
        <w:rPr>
          <w:sz w:val="20"/>
          <w:szCs w:val="20"/>
          <w:color w:val="auto"/>
        </w:rPr>
      </w:pPr>
    </w:p>
    <w:p>
      <w:pPr>
        <w:ind w:left="900" w:right="40" w:hanging="446"/>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Services</w:t>
      </w:r>
      <w:r>
        <w:rPr>
          <w:rFonts w:ascii="Times New Roman" w:cs="Times New Roman" w:eastAsia="Times New Roman" w:hAnsi="Times New Roman"/>
          <w:sz w:val="18"/>
          <w:szCs w:val="18"/>
          <w:color w:val="auto"/>
        </w:rPr>
        <w:t>. In the event of Consultants’ termination of service to the Company as an employee and as a director (without any continuation of service as a consultant), other than a termination that is either (i) for cause (as defined in Dr. Bonfiglio’s employment agreement), or (ii) voluntarily initiated on the part of the Dr. Bonfiglio and without the written consent of the Company.</w:t>
      </w:r>
    </w:p>
    <w:p>
      <w:pPr>
        <w:spacing w:after="0" w:line="176" w:lineRule="exact"/>
        <w:rPr>
          <w:rFonts w:ascii="Times New Roman" w:cs="Times New Roman" w:eastAsia="Times New Roman" w:hAnsi="Times New Roman"/>
          <w:sz w:val="18"/>
          <w:szCs w:val="18"/>
          <w:color w:val="auto"/>
        </w:rPr>
      </w:pPr>
    </w:p>
    <w:p>
      <w:pPr>
        <w:ind w:left="460" w:right="140" w:firstLine="443"/>
        <w:spacing w:after="0" w:line="266" w:lineRule="auto"/>
        <w:tabs>
          <w:tab w:leader="none" w:pos="114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Bonfiglio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Dr. Bonfiglio’s services that is either (i) for Cause (as defined in Dr. Bonfiglio’s employment agreement), or (ii) voluntarily initiated on the part of Dr. Bonfiglio and without the written consent of the Company, all of the Stock Options which have not previously been exercised shall terminate immediately and shall not thereafter be or become exercisable.</w:t>
      </w:r>
    </w:p>
    <w:p>
      <w:pPr>
        <w:sectPr>
          <w:pgSz w:w="11900" w:h="16838" w:orient="portrait"/>
          <w:cols w:equalWidth="0" w:num="1">
            <w:col w:w="11420"/>
          </w:cols>
          <w:pgMar w:left="240" w:top="266" w:right="239" w:bottom="1440" w:gutter="0" w:footer="0" w:header="0"/>
        </w:sectPr>
      </w:pPr>
    </w:p>
    <w:bookmarkStart w:id="24" w:name="page25"/>
    <w:bookmarkEnd w:id="24"/>
    <w:p>
      <w:pPr>
        <w:ind w:right="280" w:firstLine="464"/>
        <w:spacing w:after="0" w:line="282" w:lineRule="auto"/>
        <w:tabs>
          <w:tab w:leader="none" w:pos="8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may be executed in one or more counterparts (including by electronic means), each counterpart is deemed an original, and all counterparts collectively constitute one and the same document.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day and year first above written.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CONSULTANT:</w:t>
            </w: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TapImmune, Inc.</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John Bonfiglio</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Dr.</w:t>
            </w: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Glynn Wilson, Chief Executive Officer</w:t>
            </w:r>
          </w:p>
        </w:tc>
      </w:tr>
    </w:tbl>
    <w:p>
      <w:pPr>
        <w:sectPr>
          <w:pgSz w:w="11900" w:h="16838" w:orient="portrait"/>
          <w:cols w:equalWidth="0" w:num="1">
            <w:col w:w="11420"/>
          </w:cols>
          <w:pgMar w:left="240" w:top="270"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174625</wp:posOffset>
            </wp:positionV>
            <wp:extent cx="1320800" cy="702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Appoints Dr. John N. Bonfiglio as President and Chief Operating Officer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JACKSONVILLE, Florida, July 19, 2016 / </w:t>
      </w:r>
      <w:r>
        <w:rPr>
          <w:rFonts w:ascii="Times New Roman" w:cs="Times New Roman" w:eastAsia="Times New Roman" w:hAnsi="Times New Roman"/>
          <w:sz w:val="18"/>
          <w:szCs w:val="18"/>
          <w:u w:val="single" w:color="auto"/>
          <w:color w:val="auto"/>
        </w:rPr>
        <w:t>TapImmune, Inc.</w:t>
      </w:r>
      <w:r>
        <w:rPr>
          <w:rFonts w:ascii="Times New Roman" w:cs="Times New Roman" w:eastAsia="Times New Roman" w:hAnsi="Times New Roman"/>
          <w:sz w:val="18"/>
          <w:szCs w:val="18"/>
          <w:color w:val="auto"/>
        </w:rPr>
        <w:t xml:space="preserve"> (TPIV), a clinical-stage immuno-oncology company specializing in the development of innovative peptide and gene-based immunotherapeutics and vaccines for the treatment of cancer &amp; metastatic disease, announced today that the Company has appointed Dr. John N. Bonfiglio, a member of its Board of Directors, as the Company’s President and Chief Operating Officer.</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“Since joining TapImmune in early 2015 as a Strategic Advisor John has been a dynamic and thought-provoking colleague,” said Glynn Wilson, Chief Executive Officer. “His broad experience and expertise in biotech and immunotherapy has strengthened our Company.”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“TapImmune’s strategy has never been more compelling,” said Dr. Bonfiglio, “Along with a team of drug development experts, I am excited to lead several Phase 2 trials and the potential to open a new Investigational Drug Application (IND) for our second T-cell vaccine product targeting Her2/neu in the next 6-8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TapImmune Inc.</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Times New Roman" w:cs="Times New Roman" w:eastAsia="Times New Roman" w:hAnsi="Times New Roman"/>
          <w:sz w:val="18"/>
          <w:szCs w:val="18"/>
          <w:u w:val="single" w:color="auto"/>
          <w:color w:val="auto"/>
        </w:rPr>
        <w:t>www.tapimmune.com</w:t>
      </w:r>
      <w:r>
        <w:rPr>
          <w:rFonts w:ascii="Times New Roman" w:cs="Times New Roman" w:eastAsia="Times New Roman" w:hAnsi="Times New Roman"/>
          <w:sz w:val="18"/>
          <w:szCs w:val="18"/>
          <w:color w:val="auto"/>
        </w:rPr>
        <w:t xml:space="preserve"> for details.</w:t>
      </w:r>
    </w:p>
    <w:p>
      <w:pPr>
        <w:sectPr>
          <w:pgSz w:w="11900" w:h="16838" w:orient="portrait"/>
          <w:cols w:equalWidth="0" w:num="1">
            <w:col w:w="11420"/>
          </w:cols>
          <w:pgMar w:left="240" w:top="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 Disclaimer</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and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(866)-359-7541</w:t>
      </w:r>
    </w:p>
    <w:sectPr>
      <w:pgSz w:w="11900" w:h="16838" w:orient="portrait"/>
      <w:cols w:equalWidth="0" w:num="1">
        <w:col w:w="11160"/>
      </w:cols>
      <w:pgMar w:left="2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1"/>
    </w:lvl>
  </w:abstractNum>
  <w:abstractNum w:abstractNumId="2">
    <w:nsid w:val="333AB105"/>
    <w:multiLevelType w:val="hybridMultilevel"/>
    <w:lvl w:ilvl="0">
      <w:lvlJc w:val="left"/>
      <w:lvlText w:val="(%1)"/>
      <w:numFmt w:val="lowerLetter"/>
      <w:start w:val="4"/>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3"/>
    </w:lvl>
    <w:lvl w:ilvl="1">
      <w:lvlJc w:val="left"/>
      <w:lvlText w:val="(%2)"/>
      <w:numFmt w:val="lowerLetter"/>
      <w:start w:val="1"/>
    </w:lvl>
  </w:abstractNum>
  <w:abstractNum w:abstractNumId="6">
    <w:nsid w:val="6763845E"/>
    <w:multiLevelType w:val="hybridMultilevel"/>
    <w:lvl w:ilvl="0">
      <w:lvlJc w:val="left"/>
      <w:lvlText w:val="%1"/>
      <w:numFmt w:val="lowerLetter"/>
      <w:start w:val="1"/>
    </w:lvl>
    <w:lvl w:ilvl="1">
      <w:lvlJc w:val="left"/>
      <w:lvlText w:val="(%2)"/>
      <w:numFmt w:val="lowerLetter"/>
      <w:start w:val="3"/>
    </w:lvl>
  </w:abstractNum>
  <w:abstractNum w:abstractNumId="7">
    <w:nsid w:val="75A2A8D4"/>
    <w:multiLevelType w:val="hybridMultilevel"/>
    <w:lvl w:ilvl="0">
      <w:lvlJc w:val="left"/>
      <w:lvlText w:val="(%1)"/>
      <w:numFmt w:val="lowerLetter"/>
      <w:start w:val="9"/>
    </w:lvl>
    <w:lvl w:ilvl="1">
      <w:lvlJc w:val="left"/>
      <w:lvlText w:val="%2"/>
      <w:numFmt w:val="lowerLetter"/>
      <w:start w:val="1"/>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1">
    <w:nsid w:val="B03E0C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decimal"/>
      <w:start w:val="1"/>
    </w:lvl>
  </w:abstractNum>
  <w:abstractNum w:abstractNumId="14">
    <w:nsid w:val="71F3245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5">
    <w:nsid w:val="2CA8861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6">
    <w:nsid w:val="836C40E"/>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7">
    <w:nsid w:val="2901D82"/>
    <w:multiLevelType w:val="hybridMultilevel"/>
    <w:lvl w:ilvl="0">
      <w:lvlJc w:val="left"/>
      <w:lvlText w:val="(%1)"/>
      <w:numFmt w:val="lowerLetter"/>
      <w:start w:val="9"/>
    </w:lvl>
    <w:lvl w:ilvl="1">
      <w:lvlJc w:val="left"/>
      <w:lvlText w:val="(%2)"/>
      <w:numFmt w:val="lowerLetter"/>
      <w:start w:val="3"/>
    </w:lvl>
    <w:lvl w:ilvl="2">
      <w:lvlJc w:val="left"/>
      <w:lvlText w:val="(%3)"/>
      <w:numFmt w:val="decimal"/>
      <w:start w:val="1"/>
    </w:lvl>
  </w:abstractNum>
  <w:abstractNum w:abstractNumId="18">
    <w:nsid w:val="3A95F874"/>
    <w:multiLevelType w:val="hybridMultilevel"/>
    <w:lvl w:ilvl="0">
      <w:lvlJc w:val="left"/>
      <w:lvlText w:val="%1"/>
      <w:numFmt w:val="lowerLetter"/>
      <w:start w:val="1"/>
    </w:lvl>
    <w:lvl w:ilvl="1">
      <w:lvlJc w:val="left"/>
      <w:lvlText w:val="(%2)"/>
      <w:numFmt w:val="decimal"/>
      <w:start w:val="3"/>
    </w:lvl>
  </w:abstractNum>
  <w:abstractNum w:abstractNumId="19">
    <w:nsid w:val="8138641"/>
    <w:multiLevelType w:val="hybridMultilevel"/>
    <w:lvl w:ilvl="0">
      <w:lvlJc w:val="left"/>
      <w:lvlText w:val="(%1)"/>
      <w:numFmt w:val="lowerLetter"/>
      <w:start w:val="4"/>
    </w:lvl>
    <w:lvl w:ilvl="1">
      <w:lvlJc w:val="left"/>
      <w:lvlText w:val="%2"/>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Letter"/>
      <w:start w:val="1"/>
    </w:lvl>
    <w:lvl w:ilvl="1">
      <w:lvlJc w:val="left"/>
      <w:lvlText w:val="(%2)"/>
      <w:numFmt w:val="decimal"/>
      <w:start w:val="3"/>
    </w:lvl>
  </w:abstractNum>
  <w:abstractNum w:abstractNumId="22">
    <w:nsid w:val="737B8DDC"/>
    <w:multiLevelType w:val="hybridMultilevel"/>
    <w:lvl w:ilvl="0">
      <w:lvlJc w:val="left"/>
      <w:lvlText w:val="(%1)"/>
      <w:numFmt w:val="lowerLetter"/>
      <w:start w:val="5"/>
    </w:lvl>
    <w:lvl w:ilvl="1">
      <w:lvlJc w:val="left"/>
      <w:lvlText w:val="%2"/>
      <w:numFmt w:val="decimal"/>
      <w:start w:val="1"/>
    </w:lvl>
  </w:abstractNum>
  <w:abstractNum w:abstractNumId="23">
    <w:nsid w:val="6CEAF08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5">
    <w:nsid w:val="4516D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6">
    <w:nsid w:val="3006C83E"/>
    <w:multiLevelType w:val="hybridMultilevel"/>
    <w:lvl w:ilvl="0">
      <w:lvlJc w:val="left"/>
      <w:lvlText w:val="(%1)"/>
      <w:numFmt w:val="decimal"/>
      <w:start w:val="6"/>
    </w:lvl>
    <w:lvl w:ilvl="1">
      <w:lvlJc w:val="left"/>
      <w:lvlText w:val="%2."/>
      <w:numFmt w:val="decimal"/>
      <w:start w:val="9"/>
    </w:lvl>
    <w:lvl w:ilvl="2">
      <w:lvlJc w:val="left"/>
      <w:lvlText w:val="(%3)"/>
      <w:numFmt w:val="lowerLetter"/>
      <w:start w:val="4"/>
    </w:lvl>
    <w:lvl w:ilvl="3">
      <w:lvlJc w:val="left"/>
      <w:lvlText w:val="%4"/>
      <w:numFmt w:val="lowerRoman"/>
      <w:start w:val="1"/>
    </w:lvl>
  </w:abstractNum>
  <w:abstractNum w:abstractNumId="27">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8">
    <w:nsid w:val="419AC241"/>
    <w:multiLevelType w:val="hybridMultilevel"/>
    <w:lvl w:ilvl="0">
      <w:lvlJc w:val="left"/>
      <w:lvlText w:val="%1"/>
      <w:numFmt w:val="decimal"/>
      <w:start w:val="1"/>
    </w:lvl>
    <w:lvl w:ilvl="1">
      <w:lvlJc w:val="left"/>
      <w:lvlText w:val="(%2)"/>
      <w:numFmt w:val="lowerLetter"/>
      <w:start w:val="2"/>
    </w:lvl>
  </w:abstractNum>
  <w:abstractNum w:abstractNumId="29">
    <w:nsid w:val="5577F8E1"/>
    <w:multiLevelType w:val="hybridMultilevel"/>
    <w:lvl w:ilvl="0">
      <w:lvlJc w:val="left"/>
      <w:lvlText w:val="(%1)"/>
      <w:numFmt w:val="decimal"/>
      <w:start w:val="90"/>
    </w:lvl>
    <w:lvl w:ilvl="1">
      <w:lvlJc w:val="left"/>
      <w:lvlText w:val="(%2)"/>
      <w:numFmt w:val="lowerLetter"/>
      <w:start w:val="3"/>
    </w:lvl>
  </w:abstractNum>
  <w:abstractNum w:abstractNumId="30">
    <w:nsid w:val="440BADFC"/>
    <w:multiLevelType w:val="hybridMultilevel"/>
    <w:lvl w:ilvl="0">
      <w:lvlJc w:val="left"/>
      <w:lvlText w:val="%1."/>
      <w:numFmt w:val="decimal"/>
      <w:start w:val="11"/>
    </w:lvl>
  </w:abstractNum>
  <w:abstractNum w:abstractNumId="31">
    <w:nsid w:val="5072367"/>
    <w:multiLevelType w:val="hybridMultilevel"/>
    <w:lvl w:ilvl="0">
      <w:lvlJc w:val="left"/>
      <w:lvlText w:val="%1."/>
      <w:numFmt w:val="decimal"/>
      <w:start w:val="12"/>
    </w:lvl>
    <w:lvl w:ilvl="1">
      <w:lvlJc w:val="left"/>
      <w:lvlText w:val="(%2)"/>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decimal"/>
      <w:start w:val="13"/>
    </w:lvl>
  </w:abstractNum>
  <w:abstractNum w:abstractNumId="34">
    <w:nsid w:val="7724C67E"/>
    <w:multiLevelType w:val="hybridMultilevel"/>
    <w:lvl w:ilvl="0">
      <w:lvlJc w:val="left"/>
      <w:lvlText w:val="%1."/>
      <w:numFmt w:val="decimal"/>
      <w:start w:val="14"/>
    </w:lvl>
  </w:abstractNum>
  <w:abstractNum w:abstractNumId="35">
    <w:nsid w:val="5C482A97"/>
    <w:multiLevelType w:val="hybridMultilevel"/>
    <w:lvl w:ilvl="0">
      <w:lvlJc w:val="left"/>
      <w:lvlText w:val="%1."/>
      <w:numFmt w:val="decimal"/>
      <w:start w:val="15"/>
    </w:lvl>
    <w:lvl w:ilvl="1">
      <w:lvlJc w:val="left"/>
      <w:lvlText w:val="(%2)"/>
      <w:numFmt w:val="lowerLetter"/>
      <w:start w:val="1"/>
    </w:lvl>
  </w:abstractNum>
  <w:abstractNum w:abstractNumId="36">
    <w:nsid w:val="2463B9EA"/>
    <w:multiLevelType w:val="hybridMultilevel"/>
    <w:lvl w:ilvl="0">
      <w:lvlJc w:val="left"/>
      <w:lvlText w:val="(%1)"/>
      <w:numFmt w:val="lowerLetter"/>
      <w:start w:val="2"/>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0"/>
    </w:lvl>
    <w:lvl w:ilvl="1">
      <w:lvlJc w:val="left"/>
      <w:lvlText w:val="(%2)"/>
      <w:numFmt w:val="lowerLetter"/>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2020-01-20T22:22:30Z</dcterms:created>
  <dcterms:modified xsi:type="dcterms:W3CDTF">2020-01-20T22:22:30Z</dcterms:modified>
</cp:coreProperties>
</file>