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760" w:type="dxa"/>
            <w:vAlign w:val="bottom"/>
            <w:gridSpan w:val="2"/>
            <w:vMerge w:val="restart"/>
          </w:tcPr>
          <w:p>
            <w:pPr>
              <w:jc w:val="center"/>
              <w:ind w:right="61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74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74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74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020" w:type="dxa"/>
            <w:vAlign w:val="bottom"/>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74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02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0001094038</w:t>
              </w:r>
            </w:hyperlink>
          </w:p>
        </w:tc>
        <w:tc>
          <w:tcPr>
            <w:tcW w:w="2420" w:type="dxa"/>
            <w:vAlign w:val="bottom"/>
          </w:tcPr>
          <w:p>
            <w:pPr>
              <w:spacing w:after="0"/>
              <w:rPr>
                <w:sz w:val="20"/>
                <w:szCs w:val="20"/>
                <w:color w:val="auto"/>
              </w:rPr>
            </w:pPr>
          </w:p>
        </w:tc>
        <w:tc>
          <w:tcPr>
            <w:tcW w:w="1740" w:type="dxa"/>
            <w:vAlign w:val="bottom"/>
          </w:tcPr>
          <w:p>
            <w:pPr>
              <w:ind w:left="280"/>
              <w:spacing w:after="0"/>
              <w:rPr>
                <w:sz w:val="20"/>
                <w:szCs w:val="20"/>
                <w:color w:val="auto"/>
              </w:rPr>
            </w:pPr>
            <w:r>
              <w:rPr>
                <w:rFonts w:ascii="Times New Roman" w:cs="Times New Roman" w:eastAsia="Times New Roman" w:hAnsi="Times New Roman"/>
                <w:sz w:val="18"/>
                <w:szCs w:val="18"/>
                <w:color w:val="0000FF"/>
                <w:w w:val="96"/>
              </w:rPr>
              <w:t>TAPIMMUNE INC.</w:t>
            </w:r>
          </w:p>
        </w:tc>
        <w:tc>
          <w:tcPr>
            <w:tcW w:w="202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740" w:type="dxa"/>
            <w:vAlign w:val="bottom"/>
          </w:tcPr>
          <w:p>
            <w:pPr>
              <w:ind w:left="280"/>
              <w:spacing w:after="0"/>
              <w:rPr>
                <w:sz w:val="20"/>
                <w:szCs w:val="20"/>
                <w:color w:val="auto"/>
              </w:rPr>
            </w:pPr>
            <w:r>
              <w:rPr>
                <w:rFonts w:ascii="Times New Roman" w:cs="Times New Roman" w:eastAsia="Times New Roman" w:hAnsi="Times New Roman"/>
                <w:sz w:val="18"/>
                <w:szCs w:val="18"/>
                <w:color w:val="0000FF"/>
                <w:w w:val="99"/>
              </w:rPr>
              <w:t>TAPIMMUNE INC</w:t>
            </w:r>
          </w:p>
        </w:tc>
        <w:tc>
          <w:tcPr>
            <w:tcW w:w="202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Marker Therapeutics, Inc.</w:t>
            </w:r>
          </w:p>
        </w:tc>
        <w:tc>
          <w:tcPr>
            <w:tcW w:w="17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GENEMAX CORP</w:t>
            </w:r>
          </w:p>
        </w:tc>
        <w:tc>
          <w:tcPr>
            <w:tcW w:w="202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7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7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7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7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7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20" w:type="dxa"/>
            <w:vAlign w:val="bottom"/>
          </w:tcPr>
          <w:p>
            <w:pPr>
              <w:spacing w:after="0"/>
              <w:rPr>
                <w:sz w:val="20"/>
                <w:szCs w:val="20"/>
                <w:color w:val="auto"/>
              </w:rPr>
            </w:pPr>
            <w:r>
              <w:rPr>
                <w:rFonts w:ascii="Arial" w:cs="Arial" w:eastAsia="Arial" w:hAnsi="Arial"/>
                <w:sz w:val="18"/>
                <w:szCs w:val="18"/>
                <w:color w:val="auto"/>
              </w:rPr>
              <w:t>Name of Issuer</w:t>
            </w:r>
          </w:p>
        </w:tc>
        <w:tc>
          <w:tcPr>
            <w:tcW w:w="2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Marker Therapeutics, Inc.</w:t>
            </w:r>
          </w:p>
        </w:tc>
        <w:tc>
          <w:tcPr>
            <w:tcW w:w="24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4"/>
        </w:trPr>
        <w:tc>
          <w:tcPr>
            <w:tcW w:w="2220" w:type="dxa"/>
            <w:vAlign w:val="bottom"/>
          </w:tcPr>
          <w:p>
            <w:pPr>
              <w:spacing w:after="0"/>
              <w:rPr>
                <w:sz w:val="20"/>
                <w:szCs w:val="20"/>
                <w:color w:val="auto"/>
              </w:rPr>
            </w:pPr>
            <w:r>
              <w:rPr>
                <w:rFonts w:ascii="Arial" w:cs="Arial" w:eastAsia="Arial" w:hAnsi="Arial"/>
                <w:sz w:val="18"/>
                <w:szCs w:val="18"/>
                <w:color w:val="auto"/>
              </w:rPr>
              <w:t>Street Address 1</w:t>
            </w:r>
          </w:p>
        </w:tc>
        <w:tc>
          <w:tcPr>
            <w:tcW w:w="2480" w:type="dxa"/>
            <w:vAlign w:val="bottom"/>
          </w:tcPr>
          <w:p>
            <w:pPr>
              <w:spacing w:after="0"/>
              <w:rPr>
                <w:sz w:val="23"/>
                <w:szCs w:val="23"/>
                <w:color w:val="auto"/>
              </w:rPr>
            </w:pPr>
          </w:p>
        </w:tc>
        <w:tc>
          <w:tcPr>
            <w:tcW w:w="272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060" w:type="dxa"/>
            <w:vAlign w:val="bottom"/>
          </w:tcPr>
          <w:p>
            <w:pPr>
              <w:spacing w:after="0"/>
              <w:rPr>
                <w:sz w:val="23"/>
                <w:szCs w:val="23"/>
                <w:color w:val="auto"/>
              </w:rPr>
            </w:pP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2450 HOLCOMBE BLVD</w:t>
            </w:r>
          </w:p>
        </w:tc>
        <w:tc>
          <w:tcPr>
            <w:tcW w:w="2480" w:type="dxa"/>
            <w:vAlign w:val="bottom"/>
          </w:tcPr>
          <w:p>
            <w:pPr>
              <w:spacing w:after="0"/>
              <w:rPr>
                <w:sz w:val="21"/>
                <w:szCs w:val="21"/>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BCM-A, MS: BCM251</w:t>
            </w:r>
          </w:p>
        </w:tc>
        <w:tc>
          <w:tcPr>
            <w:tcW w:w="2060" w:type="dxa"/>
            <w:vAlign w:val="bottom"/>
          </w:tcPr>
          <w:p>
            <w:pPr>
              <w:spacing w:after="0"/>
              <w:rPr>
                <w:sz w:val="21"/>
                <w:szCs w:val="21"/>
                <w:color w:val="auto"/>
              </w:rPr>
            </w:pPr>
          </w:p>
        </w:tc>
      </w:tr>
      <w:tr>
        <w:trPr>
          <w:trHeight w:val="274"/>
        </w:trPr>
        <w:tc>
          <w:tcPr>
            <w:tcW w:w="2220" w:type="dxa"/>
            <w:vAlign w:val="bottom"/>
          </w:tcPr>
          <w:p>
            <w:pPr>
              <w:spacing w:after="0"/>
              <w:rPr>
                <w:sz w:val="20"/>
                <w:szCs w:val="20"/>
                <w:color w:val="auto"/>
              </w:rPr>
            </w:pPr>
            <w:r>
              <w:rPr>
                <w:rFonts w:ascii="Arial" w:cs="Arial" w:eastAsia="Arial" w:hAnsi="Arial"/>
                <w:sz w:val="18"/>
                <w:szCs w:val="18"/>
                <w:color w:val="auto"/>
              </w:rPr>
              <w:t>City</w:t>
            </w:r>
          </w:p>
        </w:tc>
        <w:tc>
          <w:tcPr>
            <w:tcW w:w="2480" w:type="dxa"/>
            <w:vAlign w:val="bottom"/>
          </w:tcPr>
          <w:p>
            <w:pPr>
              <w:ind w:left="320"/>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060" w:type="dxa"/>
            <w:vAlign w:val="bottom"/>
          </w:tcPr>
          <w:p>
            <w:pPr>
              <w:ind w:left="14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TEXAS</w:t>
            </w: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77021</w:t>
            </w:r>
          </w:p>
        </w:tc>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713-400-6400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Vera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Juan</w:t>
            </w:r>
          </w:p>
        </w:tc>
        <w:tc>
          <w:tcPr>
            <w:tcW w:w="1960" w:type="dxa"/>
            <w:vAlign w:val="bottom"/>
          </w:tcPr>
          <w:p>
            <w:pPr>
              <w:spacing w:after="0"/>
              <w:rPr>
                <w:sz w:val="21"/>
                <w:szCs w:val="21"/>
                <w:color w:val="auto"/>
              </w:rPr>
            </w:pP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2450 Holcombe Blvd</w:t>
            </w:r>
          </w:p>
        </w:tc>
        <w:tc>
          <w:tcPr>
            <w:tcW w:w="2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BCM-A, MS: BCM251</w:t>
            </w: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Houston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960" w:type="dxa"/>
            <w:vAlign w:val="bottom"/>
          </w:tcPr>
          <w:p>
            <w:pPr>
              <w:spacing w:after="0"/>
              <w:rPr>
                <w:sz w:val="21"/>
                <w:szCs w:val="21"/>
                <w:color w:val="auto"/>
              </w:rPr>
            </w:pP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77021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51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gridSpan w:val="3"/>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Eansor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960" w:type="dxa"/>
            <w:vAlign w:val="bottom"/>
          </w:tcPr>
          <w:p>
            <w:pPr>
              <w:spacing w:after="0"/>
              <w:rPr>
                <w:sz w:val="21"/>
                <w:szCs w:val="21"/>
                <w:color w:val="auto"/>
              </w:rPr>
            </w:pP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2450 Holcombe Blvd</w:t>
            </w:r>
          </w:p>
        </w:tc>
        <w:tc>
          <w:tcPr>
            <w:tcW w:w="2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BCM-A, MS: BCM251</w:t>
            </w: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Houston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960" w:type="dxa"/>
            <w:vAlign w:val="bottom"/>
          </w:tcPr>
          <w:p>
            <w:pPr>
              <w:spacing w:after="0"/>
              <w:rPr>
                <w:sz w:val="21"/>
                <w:szCs w:val="21"/>
                <w:color w:val="auto"/>
              </w:rPr>
            </w:pP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77021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60" w:type="dxa"/>
            <w:vAlign w:val="bottom"/>
          </w:tcPr>
          <w:p>
            <w:pPr>
              <w:spacing w:after="0"/>
              <w:rPr>
                <w:sz w:val="5"/>
                <w:szCs w:val="5"/>
                <w:color w:val="auto"/>
              </w:rPr>
            </w:pPr>
          </w:p>
        </w:tc>
        <w:tc>
          <w:tcPr>
            <w:tcW w:w="51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gridSpan w:val="3"/>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960" w:type="dxa"/>
            <w:vAlign w:val="bottom"/>
          </w:tcPr>
          <w:p>
            <w:pPr>
              <w:spacing w:after="0"/>
              <w:rPr>
                <w:sz w:val="21"/>
                <w:szCs w:val="21"/>
                <w:color w:val="auto"/>
              </w:rPr>
            </w:pP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2450 Holcombe Blvd</w:t>
            </w:r>
          </w:p>
        </w:tc>
        <w:tc>
          <w:tcPr>
            <w:tcW w:w="2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BCM-A, MS: BCM251</w:t>
            </w: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Houston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960" w:type="dxa"/>
            <w:vAlign w:val="bottom"/>
          </w:tcPr>
          <w:p>
            <w:pPr>
              <w:spacing w:after="0"/>
              <w:rPr>
                <w:sz w:val="21"/>
                <w:szCs w:val="21"/>
                <w:color w:val="auto"/>
              </w:rPr>
            </w:pP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77021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60" w:type="dxa"/>
            <w:vAlign w:val="bottom"/>
          </w:tcPr>
          <w:p>
            <w:pPr>
              <w:spacing w:after="0"/>
              <w:rPr>
                <w:sz w:val="5"/>
                <w:szCs w:val="5"/>
                <w:color w:val="auto"/>
              </w:rPr>
            </w:pPr>
          </w:p>
        </w:tc>
        <w:tc>
          <w:tcPr>
            <w:tcW w:w="51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Knobil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Katharine</w:t>
            </w:r>
          </w:p>
        </w:tc>
        <w:tc>
          <w:tcPr>
            <w:tcW w:w="1960" w:type="dxa"/>
            <w:vAlign w:val="bottom"/>
          </w:tcPr>
          <w:p>
            <w:pPr>
              <w:spacing w:after="0"/>
              <w:rPr>
                <w:sz w:val="21"/>
                <w:szCs w:val="21"/>
                <w:color w:val="auto"/>
              </w:rPr>
            </w:pP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2450 Holcombe Blvd</w:t>
            </w:r>
          </w:p>
        </w:tc>
        <w:tc>
          <w:tcPr>
            <w:tcW w:w="2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BCM-A, MS: BCM251</w:t>
            </w: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Houston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960" w:type="dxa"/>
            <w:vAlign w:val="bottom"/>
          </w:tcPr>
          <w:p>
            <w:pPr>
              <w:spacing w:after="0"/>
              <w:rPr>
                <w:sz w:val="21"/>
                <w:szCs w:val="21"/>
                <w:color w:val="auto"/>
              </w:rPr>
            </w:pP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77021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51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gridSpan w:val="3"/>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Elms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Steven</w:t>
            </w:r>
          </w:p>
        </w:tc>
        <w:tc>
          <w:tcPr>
            <w:tcW w:w="1960" w:type="dxa"/>
            <w:vAlign w:val="bottom"/>
          </w:tcPr>
          <w:p>
            <w:pPr>
              <w:spacing w:after="0"/>
              <w:rPr>
                <w:sz w:val="21"/>
                <w:szCs w:val="21"/>
                <w:color w:val="auto"/>
              </w:rPr>
            </w:pP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2450 Holcombe Blvd</w:t>
            </w:r>
          </w:p>
        </w:tc>
        <w:tc>
          <w:tcPr>
            <w:tcW w:w="29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BCM-A, MS: BCM251</w:t>
            </w:r>
          </w:p>
        </w:tc>
        <w:tc>
          <w:tcPr>
            <w:tcW w:w="51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Houston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960" w:type="dxa"/>
            <w:vAlign w:val="bottom"/>
          </w:tcPr>
          <w:p>
            <w:pPr>
              <w:spacing w:after="0"/>
              <w:rPr>
                <w:sz w:val="21"/>
                <w:szCs w:val="21"/>
                <w:color w:val="auto"/>
              </w:rPr>
            </w:pP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77021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60" w:type="dxa"/>
            <w:vAlign w:val="bottom"/>
          </w:tcPr>
          <w:p>
            <w:pPr>
              <w:spacing w:after="0"/>
              <w:rPr>
                <w:sz w:val="5"/>
                <w:szCs w:val="5"/>
                <w:color w:val="auto"/>
              </w:rPr>
            </w:pPr>
          </w:p>
        </w:tc>
        <w:tc>
          <w:tcPr>
            <w:tcW w:w="51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54" w:orient="portrait"/>
          <w:cols w:equalWidth="0" w:num="2">
            <w:col w:w="3560" w:space="520"/>
            <w:col w:w="7160"/>
          </w:cols>
          <w:pgMar w:left="320" w:top="302"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498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37"/>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Rule 504(b)(1) (not (i), (ii) or (iii))</w:t>
            </w:r>
          </w:p>
        </w:tc>
        <w:tc>
          <w:tcPr>
            <w:tcW w:w="300" w:type="dxa"/>
            <w:vAlign w:val="bottom"/>
            <w:tcBorders>
              <w:bottom w:val="single" w:sz="8" w:color="auto"/>
            </w:tcBorders>
          </w:tcPr>
          <w:p>
            <w:pPr>
              <w:spacing w:after="0"/>
              <w:rPr>
                <w:sz w:val="3"/>
                <w:szCs w:val="3"/>
                <w:color w:val="auto"/>
              </w:rPr>
            </w:pPr>
          </w:p>
        </w:tc>
        <w:tc>
          <w:tcPr>
            <w:tcW w:w="3520" w:type="dxa"/>
            <w:vAlign w:val="bottom"/>
            <w:gridSpan w:val="3"/>
            <w:vMerge w:val="restart"/>
          </w:tcPr>
          <w:p>
            <w:pPr>
              <w:ind w:left="40"/>
              <w:spacing w:after="0"/>
              <w:rPr>
                <w:sz w:val="20"/>
                <w:szCs w:val="20"/>
                <w:color w:val="auto"/>
              </w:rPr>
            </w:pPr>
            <w:r>
              <w:rPr>
                <w:rFonts w:ascii="Arial" w:cs="Arial" w:eastAsia="Arial" w:hAnsi="Arial"/>
                <w:sz w:val="18"/>
                <w:szCs w:val="18"/>
                <w:color w:val="auto"/>
              </w:rPr>
              <w:t>Investment Company Act Section 3(c)</w:t>
            </w:r>
          </w:p>
        </w:tc>
        <w:tc>
          <w:tcPr>
            <w:tcW w:w="0" w:type="dxa"/>
            <w:vAlign w:val="bottom"/>
          </w:tcPr>
          <w:p>
            <w:pPr>
              <w:spacing w:after="0"/>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35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720" w:type="dxa"/>
            <w:vAlign w:val="bottom"/>
            <w:vMerge w:val="restart"/>
          </w:tcPr>
          <w:p>
            <w:pPr>
              <w:spacing w:after="0"/>
              <w:rPr>
                <w:sz w:val="20"/>
                <w:szCs w:val="20"/>
                <w:color w:val="auto"/>
              </w:rPr>
            </w:pPr>
            <w:r>
              <w:rPr>
                <w:rFonts w:ascii="Arial" w:cs="Arial" w:eastAsia="Arial" w:hAnsi="Arial"/>
                <w:sz w:val="18"/>
                <w:szCs w:val="18"/>
                <w:color w:val="auto"/>
                <w:w w:val="97"/>
              </w:rPr>
              <w:t>Rule 504</w:t>
            </w:r>
          </w:p>
        </w:tc>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(b)(1)(i)</w:t>
            </w: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3(c)(1)</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300" w:type="dxa"/>
            <w:vAlign w:val="bottom"/>
            <w:tcBorders>
              <w:left w:val="single" w:sz="8" w:color="auto"/>
              <w:right w:val="single" w:sz="8" w:color="auto"/>
            </w:tcBorders>
          </w:tcPr>
          <w:p>
            <w:pPr>
              <w:spacing w:after="0"/>
              <w:rPr>
                <w:sz w:val="8"/>
                <w:szCs w:val="8"/>
                <w:color w:val="auto"/>
              </w:rPr>
            </w:pPr>
          </w:p>
        </w:tc>
        <w:tc>
          <w:tcPr>
            <w:tcW w:w="1920" w:type="dxa"/>
            <w:vAlign w:val="bottom"/>
            <w:vMerge w:val="continue"/>
          </w:tcPr>
          <w:p>
            <w:pPr>
              <w:spacing w:after="0"/>
              <w:rPr>
                <w:sz w:val="8"/>
                <w:szCs w:val="8"/>
                <w:color w:val="auto"/>
              </w:rPr>
            </w:pPr>
          </w:p>
        </w:tc>
        <w:tc>
          <w:tcPr>
            <w:tcW w:w="320" w:type="dxa"/>
            <w:vAlign w:val="bottom"/>
            <w:tcBorders>
              <w:left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spacing w:after="0"/>
              <w:rPr>
                <w:sz w:val="20"/>
                <w:szCs w:val="20"/>
                <w:color w:val="auto"/>
              </w:rPr>
            </w:pPr>
            <w:r>
              <w:rPr>
                <w:rFonts w:ascii="Arial" w:cs="Arial" w:eastAsia="Arial" w:hAnsi="Arial"/>
                <w:sz w:val="18"/>
                <w:szCs w:val="18"/>
                <w:color w:val="auto"/>
                <w:w w:val="97"/>
              </w:rPr>
              <w:t>Rule 504</w:t>
            </w:r>
          </w:p>
        </w:tc>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(b)(1)(ii)</w:t>
            </w:r>
          </w:p>
        </w:tc>
        <w:tc>
          <w:tcPr>
            <w:tcW w:w="300" w:type="dxa"/>
            <w:vAlign w:val="bottom"/>
            <w:tcBorders>
              <w:left w:val="single" w:sz="8" w:color="auto"/>
              <w:bottom w:val="single" w:sz="8" w:color="auto"/>
              <w:right w:val="single" w:sz="8" w:color="auto"/>
            </w:tcBorders>
          </w:tcPr>
          <w:p>
            <w:pPr>
              <w:spacing w:after="0"/>
              <w:rPr>
                <w:sz w:val="8"/>
                <w:szCs w:val="8"/>
                <w:color w:val="auto"/>
              </w:rPr>
            </w:pPr>
          </w:p>
        </w:tc>
        <w:tc>
          <w:tcPr>
            <w:tcW w:w="1920" w:type="dxa"/>
            <w:vAlign w:val="bottom"/>
            <w:vMerge w:val="continue"/>
          </w:tcPr>
          <w:p>
            <w:pPr>
              <w:spacing w:after="0"/>
              <w:rPr>
                <w:sz w:val="8"/>
                <w:szCs w:val="8"/>
                <w:color w:val="auto"/>
              </w:rPr>
            </w:pPr>
          </w:p>
        </w:tc>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2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97"/>
              </w:rPr>
              <w:t>Rule 504</w:t>
            </w:r>
          </w:p>
        </w:tc>
        <w:tc>
          <w:tcPr>
            <w:tcW w:w="3080" w:type="dxa"/>
            <w:vAlign w:val="bottom"/>
          </w:tcPr>
          <w:p>
            <w:pPr>
              <w:ind w:left="40"/>
              <w:spacing w:after="0" w:line="196" w:lineRule="exact"/>
              <w:rPr>
                <w:sz w:val="20"/>
                <w:szCs w:val="20"/>
                <w:color w:val="auto"/>
              </w:rPr>
            </w:pPr>
            <w:r>
              <w:rPr>
                <w:rFonts w:ascii="Arial" w:cs="Arial" w:eastAsia="Arial" w:hAnsi="Arial"/>
                <w:sz w:val="18"/>
                <w:szCs w:val="18"/>
                <w:color w:val="auto"/>
              </w:rPr>
              <w:t>(b)(1)(iii)</w:t>
            </w: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-440690</wp:posOffset>
            </wp:positionV>
            <wp:extent cx="201295" cy="4705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47053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-567055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-353060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-353060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-138430</wp:posOffset>
            </wp:positionV>
            <wp:extent cx="12890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-138430</wp:posOffset>
            </wp:positionV>
            <wp:extent cx="128905"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type w:val="continuous"/>
        </w:sectPr>
      </w:pPr>
    </w:p>
    <w:bookmarkStart w:id="2" w:name="page3"/>
    <w:bookmarkEnd w:id="2"/>
    <w:tbl>
      <w:tblPr>
        <w:tblLayout w:type="fixed"/>
        <w:tblInd w:w="480" w:type="dxa"/>
        <w:tblCellMar>
          <w:top w:w="0" w:type="dxa"/>
          <w:left w:w="0" w:type="dxa"/>
          <w:bottom w:w="0" w:type="dxa"/>
          <w:right w:w="0" w:type="dxa"/>
        </w:tblCellMar>
      </w:tblPr>
      <w:tr>
        <w:trPr>
          <w:trHeight w:val="23"/>
        </w:trPr>
        <w:tc>
          <w:tcPr>
            <w:tcW w:w="3800" w:type="dxa"/>
            <w:vAlign w:val="bottom"/>
            <w:vMerge w:val="restart"/>
          </w:tcPr>
          <w:p>
            <w:pPr>
              <w:spacing w:after="0"/>
              <w:rPr>
                <w:sz w:val="20"/>
                <w:szCs w:val="20"/>
                <w:color w:val="auto"/>
              </w:rPr>
            </w:pPr>
            <w:r>
              <w:rPr>
                <w:rFonts w:ascii="Arial" w:cs="Arial" w:eastAsia="Arial" w:hAnsi="Arial"/>
                <w:sz w:val="18"/>
                <w:szCs w:val="18"/>
                <w:color w:val="auto"/>
              </w:rPr>
              <w:t>Rule 506(b)</w:t>
            </w:r>
          </w:p>
        </w:tc>
        <w:tc>
          <w:tcPr>
            <w:tcW w:w="300" w:type="dxa"/>
            <w:vAlign w:val="bottom"/>
            <w:tcBorders>
              <w:bottom w:val="single" w:sz="8" w:color="auto"/>
            </w:tcBorders>
          </w:tcPr>
          <w:p>
            <w:pPr>
              <w:spacing w:after="0"/>
              <w:rPr>
                <w:sz w:val="2"/>
                <w:szCs w:val="2"/>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2"/>
                <w:szCs w:val="2"/>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00" w:type="dxa"/>
            <w:vAlign w:val="bottom"/>
            <w:vMerge w:val="restart"/>
          </w:tcPr>
          <w:p>
            <w:pPr>
              <w:spacing w:after="0"/>
              <w:rPr>
                <w:sz w:val="20"/>
                <w:szCs w:val="20"/>
                <w:color w:val="auto"/>
              </w:rPr>
            </w:pPr>
            <w:r>
              <w:rPr>
                <w:rFonts w:ascii="Arial" w:cs="Arial" w:eastAsia="Arial" w:hAnsi="Arial"/>
                <w:sz w:val="18"/>
                <w:szCs w:val="18"/>
                <w:color w:val="auto"/>
              </w:rPr>
              <w:t>Rule 506(c)</w:t>
            </w: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07"/>
        </w:trPr>
        <w:tc>
          <w:tcPr>
            <w:tcW w:w="3800" w:type="dxa"/>
            <w:vAlign w:val="bottom"/>
            <w:vMerge w:val="continue"/>
          </w:tcPr>
          <w:p>
            <w:pPr>
              <w:spacing w:after="0"/>
              <w:rPr>
                <w:sz w:val="9"/>
                <w:szCs w:val="9"/>
                <w:color w:val="auto"/>
              </w:rPr>
            </w:pPr>
          </w:p>
        </w:tc>
        <w:tc>
          <w:tcPr>
            <w:tcW w:w="300" w:type="dxa"/>
            <w:vAlign w:val="bottom"/>
            <w:tcBorders>
              <w:left w:val="single" w:sz="8" w:color="auto"/>
              <w:right w:val="single" w:sz="8" w:color="auto"/>
            </w:tcBorders>
          </w:tcPr>
          <w:p>
            <w:pPr>
              <w:spacing w:after="0"/>
              <w:rPr>
                <w:sz w:val="9"/>
                <w:szCs w:val="9"/>
                <w:color w:val="auto"/>
              </w:rPr>
            </w:pPr>
          </w:p>
        </w:tc>
        <w:tc>
          <w:tcPr>
            <w:tcW w:w="1920" w:type="dxa"/>
            <w:vAlign w:val="bottom"/>
            <w:vMerge w:val="continue"/>
          </w:tcPr>
          <w:p>
            <w:pPr>
              <w:spacing w:after="0"/>
              <w:rPr>
                <w:sz w:val="9"/>
                <w:szCs w:val="9"/>
                <w:color w:val="auto"/>
              </w:rPr>
            </w:pPr>
          </w:p>
        </w:tc>
        <w:tc>
          <w:tcPr>
            <w:tcW w:w="320" w:type="dxa"/>
            <w:vAlign w:val="bottom"/>
            <w:tcBorders>
              <w:left w:val="single" w:sz="8" w:color="auto"/>
              <w:right w:val="single" w:sz="8" w:color="auto"/>
            </w:tcBorders>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800" w:type="dxa"/>
            <w:vAlign w:val="bottom"/>
            <w:vMerge w:val="restart"/>
          </w:tcPr>
          <w:p>
            <w:pPr>
              <w:spacing w:after="0"/>
              <w:rPr>
                <w:sz w:val="20"/>
                <w:szCs w:val="20"/>
                <w:color w:val="auto"/>
              </w:rPr>
            </w:pPr>
            <w:r>
              <w:rPr>
                <w:rFonts w:ascii="Arial" w:cs="Arial" w:eastAsia="Arial" w:hAnsi="Arial"/>
                <w:sz w:val="18"/>
                <w:szCs w:val="18"/>
                <w:color w:val="auto"/>
              </w:rPr>
              <w:t>Securities Act Section 4(a)(5)</w:t>
            </w:r>
          </w:p>
        </w:tc>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192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0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920" w:type="dxa"/>
            <w:vAlign w:val="bottom"/>
            <w:vMerge w:val="restart"/>
          </w:tcPr>
          <w:p>
            <w:pPr>
              <w:ind w:left="40"/>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283210</wp:posOffset>
            </wp:positionH>
            <wp:positionV relativeFrom="page">
              <wp:posOffset>95250</wp:posOffset>
            </wp:positionV>
            <wp:extent cx="201295" cy="149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-861060</wp:posOffset>
            </wp:positionV>
            <wp:extent cx="201295" cy="3130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3130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-995680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-995680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-781685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-781685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-567055</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-567055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-353060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-353060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-138430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2024-12-23</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7"/>
              </w:rPr>
              <w:t>Minimum investment accepted from any outside investor $</w:t>
            </w:r>
            <w:r>
              <w:rPr>
                <w:rFonts w:ascii="Times New Roman" w:cs="Times New Roman" w:eastAsia="Times New Roman" w:hAnsi="Times New Roman"/>
                <w:sz w:val="18"/>
                <w:szCs w:val="18"/>
                <w:color w:val="0000FF"/>
                <w:w w:val="97"/>
              </w:rPr>
              <w:t>100,000</w:t>
            </w:r>
            <w:r>
              <w:rPr>
                <w:rFonts w:ascii="Arial" w:cs="Arial" w:eastAsia="Arial" w:hAnsi="Arial"/>
                <w:sz w:val="18"/>
                <w:szCs w:val="18"/>
                <w:color w:val="auto"/>
                <w:w w:val="97"/>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-2536825</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-2536825</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-2373630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-2373630</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-2211070</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-2211070</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-1988185</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-1988185</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-1276985</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-1276985</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CANACCORD GENUITY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000001020</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-883920</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-497840</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-497840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ONE PENNSYLVANIA PLAZA SUITE 2900</w:t>
      </w:r>
    </w:p>
    <w:p>
      <w:pPr>
        <w:sectPr>
          <w:pgSz w:w="11900" w:h="16838" w:orient="portrait"/>
          <w:cols w:equalWidth="0" w:num="1">
            <w:col w:w="11240"/>
          </w:cols>
          <w:pgMar w:left="320" w:top="154" w:right="339" w:bottom="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New York</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24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MARYLAND</w:t>
            </w:r>
          </w:p>
        </w:tc>
        <w:tc>
          <w:tcPr>
            <w:tcW w:w="24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4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-612140</wp:posOffset>
            </wp:positionV>
            <wp:extent cx="59690" cy="6254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9690" cy="62547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-612140</wp:posOffset>
            </wp:positionV>
            <wp:extent cx="59690" cy="6254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9690" cy="62547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-856615</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10119</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799465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330" w:lineRule="exact"/>
        <w:rPr>
          <w:sz w:val="20"/>
          <w:szCs w:val="20"/>
          <w:color w:val="auto"/>
        </w:rPr>
      </w:pPr>
    </w:p>
    <w:p>
      <w:pPr>
        <w:sectPr>
          <w:pgSz w:w="11900" w:h="16838" w:orient="portrait"/>
          <w:cols w:equalWidth="0" w:num="2">
            <w:col w:w="4680" w:space="440"/>
            <w:col w:w="6120"/>
          </w:cols>
          <w:pgMar w:left="320" w:top="154" w:right="339" w:bottom="0" w:gutter="0" w:footer="0" w:header="0"/>
          <w:type w:val="continuous"/>
        </w:sectPr>
      </w:pP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6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Brookline Capital Markets, a division of Arcadia Securities, LLC</w:t>
            </w:r>
          </w:p>
        </w:tc>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000044656</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720" w:type="dxa"/>
            <w:vAlign w:val="bottom"/>
            <w:gridSpan w:val="3"/>
            <w:vMerge w:val="restart"/>
          </w:tcPr>
          <w:p>
            <w:pPr>
              <w:ind w:left="28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372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160" w:type="dxa"/>
            <w:vAlign w:val="bottom"/>
          </w:tcPr>
          <w:p>
            <w:pPr>
              <w:ind w:left="24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-883920</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-497840</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-497840</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1370 Avenue of the Americas 29th Floor</w:t>
      </w:r>
    </w:p>
    <w:p>
      <w:pPr>
        <w:sectPr>
          <w:pgSz w:w="11900" w:h="16838" w:orient="portrait"/>
          <w:cols w:equalWidth="0" w:num="1">
            <w:col w:w="11240"/>
          </w:cols>
          <w:pgMar w:left="320" w:top="154" w:right="339" w:bottom="0" w:gutter="0" w:footer="0" w:header="0"/>
          <w:type w:val="continuous"/>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New York</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24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8"/>
              </w:rPr>
              <w:t>MARYLAND</w:t>
            </w:r>
          </w:p>
        </w:tc>
        <w:tc>
          <w:tcPr>
            <w:tcW w:w="24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4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-612140</wp:posOffset>
            </wp:positionV>
            <wp:extent cx="59690" cy="6254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59690" cy="62547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-612140</wp:posOffset>
            </wp:positionV>
            <wp:extent cx="59690" cy="6254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59690" cy="62547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-856615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10019</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4680" w:space="440"/>
            <w:col w:w="6120"/>
          </w:cols>
          <w:pgMar w:left="320" w:top="154"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29845"/>
                    </a:xfrm>
                    <a:prstGeom prst="rect">
                      <a:avLst/>
                    </a:prstGeom>
                    <a:noFill/>
                  </pic:spPr>
                </pic:pic>
              </a:graphicData>
            </a:graphic>
          </wp:anchor>
        </w:drawing>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16,100,000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16,100,000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2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816,000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08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56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86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0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Marker Therapeutics, Inc.</w:t>
            </w:r>
          </w:p>
        </w:tc>
        <w:tc>
          <w:tcPr>
            <w:tcW w:w="2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Juan Vera</w:t>
            </w: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Juan Vera</w:t>
            </w:r>
          </w:p>
        </w:tc>
        <w:tc>
          <w:tcPr>
            <w:tcW w:w="20" w:type="dxa"/>
            <w:vAlign w:val="bottom"/>
          </w:tcPr>
          <w:p>
            <w:pPr>
              <w:spacing w:after="0"/>
              <w:rPr>
                <w:sz w:val="20"/>
                <w:szCs w:val="20"/>
                <w:color w:val="auto"/>
              </w:rPr>
            </w:pPr>
          </w:p>
        </w:tc>
        <w:tc>
          <w:tcPr>
            <w:tcW w:w="28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jc w:val="right"/>
              <w:ind w:right="512"/>
              <w:spacing w:after="0"/>
              <w:rPr>
                <w:sz w:val="20"/>
                <w:szCs w:val="20"/>
                <w:color w:val="auto"/>
              </w:rPr>
            </w:pPr>
            <w:r>
              <w:rPr>
                <w:rFonts w:ascii="Times New Roman" w:cs="Times New Roman" w:eastAsia="Times New Roman" w:hAnsi="Times New Roman"/>
                <w:sz w:val="18"/>
                <w:szCs w:val="18"/>
                <w:color w:val="0000FF"/>
                <w:w w:val="97"/>
              </w:rPr>
              <w:t>2024-12-30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41" w:right="339" w:bottom="2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jpe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jpe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9"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2024-12-30T15:53:15Z</dcterms:created>
  <dcterms:modified xsi:type="dcterms:W3CDTF">2024-12-30T15:53:15Z</dcterms:modified>
</cp:coreProperties>
</file>