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4"/>
          <w:szCs w:val="24"/>
          <w:color w:val="auto"/>
        </w:rPr>
      </w:pPr>
    </w:p>
    <w:p>
      <w:pPr>
        <w:spacing w:after="0" w:line="26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27, 2024</w:t>
      </w:r>
    </w:p>
    <w:p>
      <w:pPr>
        <w:spacing w:after="0" w:line="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spacing w:after="0" w:line="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75310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100" cy="1587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45085</wp:posOffset>
            </wp:positionV>
            <wp:extent cx="5753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3100" cy="8255"/>
                    </a:xfrm>
                    <a:prstGeom prst="rect">
                      <a:avLst/>
                    </a:prstGeom>
                    <a:noFill/>
                  </pic:spPr>
                </pic:pic>
              </a:graphicData>
            </a:graphic>
          </wp:anchor>
        </w:drawing>
      </w:r>
    </w:p>
    <w:p>
      <w:pPr>
        <w:spacing w:after="0" w:line="15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UNITED STATES</w:t>
      </w:r>
    </w:p>
    <w:p>
      <w:pPr>
        <w:jc w:val="center"/>
        <w:ind w:right="-419"/>
        <w:spacing w:after="0" w:line="233" w:lineRule="auto"/>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ind w:right="-379"/>
        <w:spacing w:after="0" w:line="224"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50165</wp:posOffset>
            </wp:positionV>
            <wp:extent cx="1149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6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7"/>
          <w:szCs w:val="27"/>
          <w:b w:val="1"/>
          <w:bCs w:val="1"/>
          <w:color w:val="auto"/>
        </w:rPr>
        <w:t>MARKER THERAPEUTICS, INC.</w:t>
      </w:r>
    </w:p>
    <w:p>
      <w:pPr>
        <w:spacing w:after="0" w:line="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ectPr>
          <w:pgSz w:w="11900" w:h="16838" w:orient="portrait"/>
          <w:cols w:equalWidth="0" w:num="1">
            <w:col w:w="9560"/>
          </w:cols>
          <w:pgMar w:left="960" w:top="201" w:right="1379" w:bottom="1440" w:gutter="0" w:footer="0" w:header="0"/>
        </w:sectPr>
      </w:pPr>
    </w:p>
    <w:p>
      <w:pPr>
        <w:spacing w:after="0" w:line="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color w:val="auto"/>
        </w:rPr>
        <w:t>​ ​</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45-4497941</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9" w:lineRule="exact"/>
        <w:rPr>
          <w:sz w:val="24"/>
          <w:szCs w:val="24"/>
          <w:color w:val="auto"/>
        </w:rPr>
      </w:pPr>
    </w:p>
    <w:p>
      <w:pPr>
        <w:sectPr>
          <w:pgSz w:w="11900" w:h="16838" w:orient="portrait"/>
          <w:cols w:equalWidth="0" w:num="5">
            <w:col w:w="1660" w:space="720"/>
            <w:col w:w="1820" w:space="720"/>
            <w:col w:w="1320" w:space="720"/>
            <w:col w:w="1820" w:space="720"/>
            <w:col w:w="60"/>
          </w:cols>
          <w:pgMar w:left="960" w:top="201" w:right="13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1860"/>
        <w:spacing w:after="0" w:line="233" w:lineRule="auto"/>
        <w:rPr>
          <w:sz w:val="20"/>
          <w:szCs w:val="20"/>
          <w:color w:val="auto"/>
        </w:rPr>
      </w:pPr>
      <w:r>
        <w:rPr>
          <w:rFonts w:ascii="Times New Roman" w:cs="Times New Roman" w:eastAsia="Times New Roman" w:hAnsi="Times New Roman"/>
          <w:sz w:val="13"/>
          <w:szCs w:val="13"/>
          <w:color w:val="auto"/>
        </w:rPr>
        <w:t>incorporation or organization)</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br w:type="column"/>
      </w:r>
    </w:p>
    <w:p>
      <w:pPr>
        <w:ind w:left="140"/>
        <w:spacing w:after="0"/>
        <w:rPr>
          <w:sz w:val="20"/>
          <w:szCs w:val="20"/>
          <w:color w:val="auto"/>
        </w:rPr>
      </w:pPr>
      <w:r>
        <w:rPr>
          <w:rFonts w:ascii="Times New Roman" w:cs="Times New Roman" w:eastAsia="Times New Roman" w:hAnsi="Times New Roman"/>
          <w:sz w:val="13"/>
          <w:szCs w:val="13"/>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Identification Number)</w:t>
      </w:r>
    </w:p>
    <w:p>
      <w:pPr>
        <w:spacing w:after="0" w:line="169" w:lineRule="exact"/>
        <w:rPr>
          <w:sz w:val="24"/>
          <w:szCs w:val="24"/>
          <w:color w:val="auto"/>
        </w:rPr>
      </w:pPr>
    </w:p>
    <w:p>
      <w:pPr>
        <w:sectPr>
          <w:pgSz w:w="11900" w:h="16838" w:orient="portrait"/>
          <w:cols w:equalWidth="0" w:num="2">
            <w:col w:w="5960" w:space="720"/>
            <w:col w:w="2880"/>
          </w:cols>
          <w:pgMar w:left="960" w:top="201" w:right="137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4"/>
          <w:szCs w:val="14"/>
          <w:b w:val="1"/>
          <w:bCs w:val="1"/>
          <w:color w:val="auto"/>
        </w:rPr>
        <w:t>2450 Holcombe Blvd, Suite BCM-A, MS: BCM251</w:t>
      </w:r>
    </w:p>
    <w:p>
      <w:pPr>
        <w:ind w:left="4340"/>
        <w:spacing w:after="0" w:line="236" w:lineRule="auto"/>
        <w:rPr>
          <w:sz w:val="20"/>
          <w:szCs w:val="20"/>
          <w:color w:val="auto"/>
        </w:rPr>
      </w:pPr>
      <w:r>
        <w:rPr>
          <w:rFonts w:ascii="Times New Roman" w:cs="Times New Roman" w:eastAsia="Times New Roman" w:hAnsi="Times New Roman"/>
          <w:sz w:val="14"/>
          <w:szCs w:val="14"/>
          <w:b w:val="1"/>
          <w:bCs w:val="1"/>
          <w:color w:val="auto"/>
        </w:rPr>
        <w:t>Houston, Texas 77021</w:t>
      </w:r>
    </w:p>
    <w:p>
      <w:pPr>
        <w:ind w:left="4560"/>
        <w:spacing w:after="0" w:line="225" w:lineRule="auto"/>
        <w:rPr>
          <w:sz w:val="20"/>
          <w:szCs w:val="20"/>
          <w:color w:val="auto"/>
        </w:rPr>
      </w:pPr>
      <w:r>
        <w:rPr>
          <w:rFonts w:ascii="Times New Roman" w:cs="Times New Roman" w:eastAsia="Times New Roman" w:hAnsi="Times New Roman"/>
          <w:sz w:val="14"/>
          <w:szCs w:val="14"/>
          <w:b w:val="1"/>
          <w:bCs w:val="1"/>
          <w:color w:val="auto"/>
        </w:rPr>
        <w:t>(713) 400-6400</w:t>
      </w:r>
    </w:p>
    <w:p>
      <w:pPr>
        <w:jc w:val="center"/>
        <w:ind w:right="-43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58420</wp:posOffset>
            </wp:positionV>
            <wp:extent cx="1149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Juan Vera</w:t>
      </w:r>
    </w:p>
    <w:p>
      <w:pPr>
        <w:ind w:left="3580"/>
        <w:spacing w:after="0" w:line="236"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w:t>
      </w:r>
    </w:p>
    <w:p>
      <w:pPr>
        <w:ind w:left="4200"/>
        <w:spacing w:after="0" w:line="225" w:lineRule="auto"/>
        <w:rPr>
          <w:sz w:val="20"/>
          <w:szCs w:val="20"/>
          <w:color w:val="auto"/>
        </w:rPr>
      </w:pPr>
      <w:r>
        <w:rPr>
          <w:rFonts w:ascii="Times New Roman" w:cs="Times New Roman" w:eastAsia="Times New Roman" w:hAnsi="Times New Roman"/>
          <w:sz w:val="14"/>
          <w:szCs w:val="14"/>
          <w:b w:val="1"/>
          <w:bCs w:val="1"/>
          <w:color w:val="auto"/>
        </w:rPr>
        <w:t>Marker Therapeutics, Inc.</w:t>
      </w:r>
    </w:p>
    <w:p>
      <w:pPr>
        <w:ind w:left="3500"/>
        <w:spacing w:after="0" w:line="225" w:lineRule="auto"/>
        <w:rPr>
          <w:sz w:val="20"/>
          <w:szCs w:val="20"/>
          <w:color w:val="auto"/>
        </w:rPr>
      </w:pPr>
      <w:r>
        <w:rPr>
          <w:rFonts w:ascii="Times New Roman" w:cs="Times New Roman" w:eastAsia="Times New Roman" w:hAnsi="Times New Roman"/>
          <w:sz w:val="14"/>
          <w:szCs w:val="14"/>
          <w:b w:val="1"/>
          <w:bCs w:val="1"/>
          <w:color w:val="auto"/>
        </w:rPr>
        <w:t>2450 Holcombe Blvd, Suite BCM-A, MS: BCM251</w:t>
      </w:r>
    </w:p>
    <w:p>
      <w:pPr>
        <w:ind w:left="4340"/>
        <w:spacing w:after="0" w:line="224" w:lineRule="auto"/>
        <w:rPr>
          <w:sz w:val="20"/>
          <w:szCs w:val="20"/>
          <w:color w:val="auto"/>
        </w:rPr>
      </w:pPr>
      <w:r>
        <w:rPr>
          <w:rFonts w:ascii="Times New Roman" w:cs="Times New Roman" w:eastAsia="Times New Roman" w:hAnsi="Times New Roman"/>
          <w:sz w:val="14"/>
          <w:szCs w:val="14"/>
          <w:b w:val="1"/>
          <w:bCs w:val="1"/>
          <w:color w:val="auto"/>
        </w:rPr>
        <w:t>Houston, Texas 77021</w:t>
      </w:r>
    </w:p>
    <w:p>
      <w:pPr>
        <w:ind w:left="4560"/>
        <w:spacing w:after="0" w:line="225" w:lineRule="auto"/>
        <w:rPr>
          <w:sz w:val="20"/>
          <w:szCs w:val="20"/>
          <w:color w:val="auto"/>
        </w:rPr>
      </w:pPr>
      <w:r>
        <w:rPr>
          <w:rFonts w:ascii="Times New Roman" w:cs="Times New Roman" w:eastAsia="Times New Roman" w:hAnsi="Times New Roman"/>
          <w:sz w:val="14"/>
          <w:szCs w:val="14"/>
          <w:b w:val="1"/>
          <w:bCs w:val="1"/>
          <w:color w:val="auto"/>
        </w:rPr>
        <w:t>(713) 400-6400</w:t>
      </w:r>
    </w:p>
    <w:p>
      <w:pPr>
        <w:jc w:val="center"/>
        <w:ind w:right="-439"/>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4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Copies to:</w:t>
      </w:r>
    </w:p>
    <w:p>
      <w:pPr>
        <w:spacing w:after="0" w:line="6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Mark A. Catchur</w:t>
      </w:r>
    </w:p>
    <w:p>
      <w:pPr>
        <w:ind w:left="4480"/>
        <w:spacing w:after="0" w:line="236" w:lineRule="auto"/>
        <w:rPr>
          <w:sz w:val="20"/>
          <w:szCs w:val="20"/>
          <w:color w:val="auto"/>
        </w:rPr>
      </w:pPr>
      <w:r>
        <w:rPr>
          <w:rFonts w:ascii="Times New Roman" w:cs="Times New Roman" w:eastAsia="Times New Roman" w:hAnsi="Times New Roman"/>
          <w:sz w:val="14"/>
          <w:szCs w:val="14"/>
          <w:b w:val="1"/>
          <w:bCs w:val="1"/>
          <w:color w:val="auto"/>
        </w:rPr>
        <w:t>Julio C. Esquivel</w:t>
      </w:r>
    </w:p>
    <w:p>
      <w:pPr>
        <w:jc w:val="center"/>
        <w:ind w:right="-359"/>
        <w:spacing w:after="0" w:line="225" w:lineRule="auto"/>
        <w:rPr>
          <w:sz w:val="20"/>
          <w:szCs w:val="20"/>
          <w:color w:val="auto"/>
        </w:rPr>
      </w:pPr>
      <w:r>
        <w:rPr>
          <w:rFonts w:ascii="Times New Roman" w:cs="Times New Roman" w:eastAsia="Times New Roman" w:hAnsi="Times New Roman"/>
          <w:sz w:val="14"/>
          <w:szCs w:val="14"/>
          <w:b w:val="1"/>
          <w:bCs w:val="1"/>
          <w:color w:val="auto"/>
        </w:rPr>
        <w:t>Shumaker, Loop &amp; Kendrick, LLP</w:t>
      </w:r>
    </w:p>
    <w:p>
      <w:pPr>
        <w:jc w:val="center"/>
        <w:ind w:right="-359"/>
        <w:spacing w:after="0" w:line="225" w:lineRule="auto"/>
        <w:rPr>
          <w:sz w:val="20"/>
          <w:szCs w:val="20"/>
          <w:color w:val="auto"/>
        </w:rPr>
      </w:pPr>
      <w:r>
        <w:rPr>
          <w:rFonts w:ascii="Times New Roman" w:cs="Times New Roman" w:eastAsia="Times New Roman" w:hAnsi="Times New Roman"/>
          <w:sz w:val="14"/>
          <w:szCs w:val="14"/>
          <w:b w:val="1"/>
          <w:bCs w:val="1"/>
          <w:color w:val="auto"/>
        </w:rPr>
        <w:t>101 E. Kennedy Boulevard, Suite 2800</w:t>
      </w:r>
    </w:p>
    <w:p>
      <w:pPr>
        <w:jc w:val="center"/>
        <w:ind w:right="-359"/>
        <w:spacing w:after="0" w:line="224" w:lineRule="auto"/>
        <w:rPr>
          <w:sz w:val="20"/>
          <w:szCs w:val="20"/>
          <w:color w:val="auto"/>
        </w:rPr>
      </w:pPr>
      <w:r>
        <w:rPr>
          <w:rFonts w:ascii="Times New Roman" w:cs="Times New Roman" w:eastAsia="Times New Roman" w:hAnsi="Times New Roman"/>
          <w:sz w:val="14"/>
          <w:szCs w:val="14"/>
          <w:b w:val="1"/>
          <w:bCs w:val="1"/>
          <w:color w:val="auto"/>
        </w:rPr>
        <w:t>Tampa, Florida 33602</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(813) 229-7600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58420</wp:posOffset>
            </wp:positionV>
            <wp:extent cx="1149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6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58420</wp:posOffset>
            </wp:positionV>
            <wp:extent cx="1149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55" w:lineRule="exact"/>
        <w:rPr>
          <w:sz w:val="24"/>
          <w:szCs w:val="24"/>
          <w:color w:val="auto"/>
        </w:rPr>
      </w:pPr>
    </w:p>
    <w:p>
      <w:pPr>
        <w:ind w:left="440" w:right="580" w:firstLine="335"/>
        <w:spacing w:after="0" w:line="179"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440" w:right="120" w:firstLine="335"/>
        <w:spacing w:after="0" w:line="17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ind w:left="440" w:right="200" w:firstLine="335"/>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440" w:right="140" w:firstLine="335"/>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440" w:right="360" w:firstLine="335"/>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 -effective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ind w:left="440" w:right="560" w:firstLine="335"/>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ind w:left="440" w:right="60" w:firstLine="335"/>
        <w:spacing w:after="0" w:line="23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780" w:type="dxa"/>
        <w:tblCellMar>
          <w:top w:w="0" w:type="dxa"/>
          <w:left w:w="0" w:type="dxa"/>
          <w:bottom w:w="0" w:type="dxa"/>
          <w:right w:w="0" w:type="dxa"/>
        </w:tblCellMar>
      </w:tblPr>
      <w:tr>
        <w:trPr>
          <w:trHeight w:val="174"/>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Accelerated filer</w:t>
            </w:r>
          </w:p>
        </w:tc>
        <w:tc>
          <w:tcPr>
            <w:tcW w:w="13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1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ind w:left="10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0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ind w:left="8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line="27" w:lineRule="exact"/>
              <w:rPr>
                <w:sz w:val="20"/>
                <w:szCs w:val="20"/>
                <w:color w:val="auto"/>
              </w:rPr>
            </w:pPr>
            <w:r>
              <w:rPr>
                <w:rFonts w:ascii="Times New Roman" w:cs="Times New Roman" w:eastAsia="Times New Roman" w:hAnsi="Times New Roman"/>
                <w:sz w:val="3"/>
                <w:szCs w:val="3"/>
                <w:color w:val="auto"/>
              </w:rPr>
              <w:t>Non-accelerated filer</w:t>
            </w:r>
          </w:p>
        </w:tc>
        <w:tc>
          <w:tcPr>
            <w:tcW w:w="144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spacing w:after="0"/>
              <w:rPr>
                <w:sz w:val="20"/>
                <w:szCs w:val="20"/>
                <w:color w:val="auto"/>
              </w:rPr>
            </w:pPr>
          </w:p>
        </w:tc>
        <w:tc>
          <w:tcPr>
            <w:tcW w:w="316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 ​ Emerging growth company</w:t>
            </w:r>
          </w:p>
        </w:tc>
        <w:tc>
          <w:tcPr>
            <w:tcW w:w="13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5" w:lineRule="exact"/>
        <w:rPr>
          <w:sz w:val="24"/>
          <w:szCs w:val="24"/>
          <w:color w:val="auto"/>
        </w:rPr>
      </w:pPr>
    </w:p>
    <w:p>
      <w:pPr>
        <w:ind w:left="440" w:right="120" w:firstLine="335"/>
        <w:spacing w:after="0" w:line="17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47625</wp:posOffset>
            </wp:positionV>
            <wp:extent cx="1149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136" w:lineRule="exact"/>
        <w:rPr>
          <w:sz w:val="24"/>
          <w:szCs w:val="24"/>
          <w:color w:val="auto"/>
        </w:rPr>
      </w:pPr>
    </w:p>
    <w:p>
      <w:pPr>
        <w:ind w:left="440" w:right="140" w:firstLine="335"/>
        <w:spacing w:after="0" w:line="23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5753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3100" cy="8255"/>
                    </a:xfrm>
                    <a:prstGeom prst="rect">
                      <a:avLst/>
                    </a:prstGeom>
                    <a:noFill/>
                  </pic:spPr>
                </pic:pic>
              </a:graphicData>
            </a:graphic>
          </wp:anchor>
        </w:drawing>
      </w:r>
    </w:p>
    <w:p>
      <w:pPr>
        <w:spacing w:after="0" w:line="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6350</wp:posOffset>
            </wp:positionV>
            <wp:extent cx="575310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3100" cy="158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560"/>
          </w:cols>
          <w:pgMar w:left="960" w:top="201" w:right="1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This registration statement contains:</w:t>
      </w:r>
    </w:p>
    <w:p>
      <w:pPr>
        <w:spacing w:after="0" w:line="106" w:lineRule="exact"/>
        <w:rPr>
          <w:sz w:val="20"/>
          <w:szCs w:val="20"/>
          <w:color w:val="auto"/>
        </w:rPr>
      </w:pPr>
    </w:p>
    <w:p>
      <w:pPr>
        <w:ind w:left="1660" w:right="759" w:hanging="161"/>
        <w:spacing w:after="0" w:line="260" w:lineRule="auto"/>
        <w:tabs>
          <w:tab w:leader="none" w:pos="1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which covers the offering, issuance and sale by the registrant of up to a maximum aggregate offering price of $300,000,000 of the registrant’s common stock, preferred stock, debt securities and/or warrants from time to time in one or more offerings; and</w:t>
      </w:r>
    </w:p>
    <w:p>
      <w:pPr>
        <w:spacing w:after="0" w:line="68" w:lineRule="exact"/>
        <w:rPr>
          <w:rFonts w:ascii="Times New Roman" w:cs="Times New Roman" w:eastAsia="Times New Roman" w:hAnsi="Times New Roman"/>
          <w:sz w:val="17"/>
          <w:szCs w:val="17"/>
          <w:color w:val="auto"/>
        </w:rPr>
      </w:pPr>
    </w:p>
    <w:p>
      <w:pPr>
        <w:ind w:left="1660" w:right="699" w:hanging="161"/>
        <w:spacing w:after="0" w:line="255" w:lineRule="auto"/>
        <w:tabs>
          <w:tab w:leader="none" w:pos="1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sales agreement prospectus, which covers the offering, issuance and sale by the registrant of up to a maximum aggregate offering price of $11,431,731 of the registrant’s common stock that may be issued and sold from time to time under the At The Market Offering Agreement, dated November 27, 2024, with H.C. Wainwright &amp; Co., LLC.</w:t>
      </w:r>
    </w:p>
    <w:p>
      <w:pPr>
        <w:spacing w:after="0" w:line="112"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$11,431,731 of common stock that may be offered, issued and sold by the registrant under the sales agreement prospectus is included in the $300,000,000 of securities that may be offered, issued and sold by the registrant under the base prospectus. In connection with such offers and when accompanied by the base prospectus included in the registration statement of which this prospectus forms a part, such sales agreement prospectus will be deemed a prospectus supplement to such base prospectus. Upon termination of the sales agreement with H.C. Wainwright &amp; Co., LLC, any portion of the $11,431,731 included in the sales agreement prospectus that is not sold pursuant to the sales agreement will be available for sale in other offerings pursuant to the base prospectus and a corresponding prospectus supplement, and if no shares are sold under the sales agreement, the full $300,000,000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4588510</wp:posOffset>
            </wp:positionV>
            <wp:extent cx="635317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p>
    <w:p>
      <w:pPr>
        <w:sectPr>
          <w:pgSz w:w="11900" w:h="16838" w:orient="portrait"/>
          <w:cols w:equalWidth="0" w:num="1">
            <w:col w:w="9499"/>
          </w:cols>
          <w:pgMar w:left="960" w:top="10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2573"/>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until the registration statement filed with</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these securities in any state where such</w:t>
            </w:r>
          </w:p>
        </w:tc>
        <w:tc>
          <w:tcPr>
            <w:tcW w:w="140" w:type="dxa"/>
            <w:vAlign w:val="bottom"/>
          </w:tcPr>
          <w:p>
            <w:pPr>
              <w:spacing w:after="0"/>
              <w:rPr>
                <w:sz w:val="24"/>
                <w:szCs w:val="24"/>
                <w:color w:val="auto"/>
              </w:rPr>
            </w:pPr>
          </w:p>
        </w:tc>
      </w:tr>
      <w:tr>
        <w:trPr>
          <w:trHeight w:val="147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to buy these securities</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soliciting offers to buy</w:t>
            </w:r>
          </w:p>
        </w:tc>
        <w:tc>
          <w:tcPr>
            <w:tcW w:w="140" w:type="dxa"/>
            <w:vAlign w:val="bottom"/>
          </w:tcPr>
          <w:p>
            <w:pPr>
              <w:spacing w:after="0"/>
              <w:rPr>
                <w:sz w:val="24"/>
                <w:szCs w:val="24"/>
                <w:color w:val="auto"/>
              </w:rPr>
            </w:pPr>
          </w:p>
        </w:tc>
      </w:tr>
      <w:tr>
        <w:trPr>
          <w:trHeight w:val="5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 offer</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it is not</w:t>
            </w:r>
          </w:p>
        </w:tc>
        <w:tc>
          <w:tcPr>
            <w:tcW w:w="140" w:type="dxa"/>
            <w:vAlign w:val="bottom"/>
          </w:tcPr>
          <w:p>
            <w:pPr>
              <w:spacing w:after="0"/>
              <w:rPr>
                <w:sz w:val="24"/>
                <w:szCs w:val="24"/>
                <w:color w:val="auto"/>
              </w:rPr>
            </w:pPr>
          </w:p>
        </w:tc>
      </w:tr>
      <w:tr>
        <w:trPr>
          <w:trHeight w:val="16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or accept</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sell these securities, and</w:t>
            </w:r>
          </w:p>
        </w:tc>
        <w:tc>
          <w:tcPr>
            <w:tcW w:w="140" w:type="dxa"/>
            <w:vAlign w:val="bottom"/>
          </w:tcPr>
          <w:p>
            <w:pPr>
              <w:spacing w:after="0"/>
              <w:rPr>
                <w:sz w:val="24"/>
                <w:szCs w:val="24"/>
                <w:color w:val="auto"/>
              </w:rPr>
            </w:pPr>
          </w:p>
        </w:tc>
      </w:tr>
      <w:tr>
        <w:trPr>
          <w:trHeight w:val="50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not sell</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offer to</w:t>
            </w:r>
          </w:p>
        </w:tc>
        <w:tc>
          <w:tcPr>
            <w:tcW w:w="140" w:type="dxa"/>
            <w:vAlign w:val="bottom"/>
          </w:tcPr>
          <w:p>
            <w:pPr>
              <w:spacing w:after="0"/>
              <w:rPr>
                <w:sz w:val="24"/>
                <w:szCs w:val="24"/>
                <w:color w:val="auto"/>
              </w:rPr>
            </w:pPr>
          </w:p>
        </w:tc>
      </w:tr>
      <w:tr>
        <w:trPr>
          <w:trHeight w:val="135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be changed. We may</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prospectus is not an</w:t>
            </w:r>
          </w:p>
        </w:tc>
        <w:tc>
          <w:tcPr>
            <w:tcW w:w="140" w:type="dxa"/>
            <w:vAlign w:val="bottom"/>
          </w:tcPr>
          <w:p>
            <w:pPr>
              <w:spacing w:after="0"/>
              <w:rPr>
                <w:sz w:val="24"/>
                <w:szCs w:val="24"/>
                <w:color w:val="auto"/>
              </w:rPr>
            </w:pPr>
          </w:p>
        </w:tc>
      </w:tr>
      <w:tr>
        <w:trPr>
          <w:trHeight w:val="260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this prospectus is not complete and may</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permitted.</w:t>
            </w:r>
          </w:p>
        </w:tc>
      </w:tr>
      <w:tr>
        <w:trPr>
          <w:trHeight w:val="11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the Securities and</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FC0014"/>
        </w:rPr>
        <w:t>SUBJECT TO COMPLETION, DATED NOVEMBER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32385</wp:posOffset>
            </wp:positionV>
            <wp:extent cx="2011045" cy="542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104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$300,000,000</w:t>
      </w:r>
    </w:p>
    <w:p>
      <w:pPr>
        <w:spacing w:after="0" w:line="6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3"/>
          <w:szCs w:val="23"/>
          <w:b w:val="1"/>
          <w:bCs w:val="1"/>
          <w:color w:val="auto"/>
        </w:rPr>
        <w:t>Preferred Stock</w:t>
      </w:r>
    </w:p>
    <w:p>
      <w:pPr>
        <w:jc w:val="center"/>
        <w:ind w:right="439"/>
        <w:spacing w:after="0"/>
        <w:rPr>
          <w:sz w:val="20"/>
          <w:szCs w:val="20"/>
          <w:color w:val="auto"/>
        </w:rPr>
      </w:pPr>
      <w:r>
        <w:rPr>
          <w:rFonts w:ascii="Times New Roman" w:cs="Times New Roman" w:eastAsia="Times New Roman" w:hAnsi="Times New Roman"/>
          <w:sz w:val="23"/>
          <w:szCs w:val="23"/>
          <w:b w:val="1"/>
          <w:bCs w:val="1"/>
          <w:color w:val="auto"/>
        </w:rPr>
        <w:t>Debt Securities</w:t>
      </w: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29" w:lineRule="exact"/>
        <w:rPr>
          <w:sz w:val="20"/>
          <w:szCs w:val="20"/>
          <w:color w:val="auto"/>
        </w:rPr>
      </w:pPr>
    </w:p>
    <w:p>
      <w:pPr>
        <w:ind w:right="499" w:firstLine="335"/>
        <w:spacing w:after="0" w:line="228" w:lineRule="auto"/>
        <w:rPr>
          <w:sz w:val="20"/>
          <w:szCs w:val="20"/>
          <w:color w:val="auto"/>
        </w:rPr>
      </w:pPr>
      <w:r>
        <w:rPr>
          <w:rFonts w:ascii="Times New Roman" w:cs="Times New Roman" w:eastAsia="Times New Roman" w:hAnsi="Times New Roman"/>
          <w:sz w:val="17"/>
          <w:szCs w:val="17"/>
          <w:color w:val="auto"/>
        </w:rPr>
        <w:t>From time to time, we may offer and sell up to $ 300,000,000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1" w:lineRule="exact"/>
        <w:rPr>
          <w:sz w:val="20"/>
          <w:szCs w:val="20"/>
          <w:color w:val="auto"/>
        </w:rPr>
      </w:pPr>
    </w:p>
    <w:p>
      <w:pPr>
        <w:ind w:right="599" w:firstLine="335"/>
        <w:spacing w:after="0" w:line="223" w:lineRule="auto"/>
        <w:rPr>
          <w:sz w:val="20"/>
          <w:szCs w:val="20"/>
          <w:color w:val="auto"/>
        </w:rPr>
      </w:pPr>
      <w:r>
        <w:rPr>
          <w:rFonts w:ascii="Times New Roman" w:cs="Times New Roman" w:eastAsia="Times New Roman" w:hAnsi="Times New Roman"/>
          <w:sz w:val="17"/>
          <w:szCs w:val="17"/>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6" w:lineRule="exact"/>
        <w:rPr>
          <w:sz w:val="20"/>
          <w:szCs w:val="20"/>
          <w:color w:val="auto"/>
        </w:rPr>
      </w:pPr>
    </w:p>
    <w:p>
      <w:pPr>
        <w:ind w:right="1119" w:firstLine="335"/>
        <w:spacing w:after="0" w:line="247" w:lineRule="auto"/>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any securities unless accompanied by a prospectus supplement.</w:t>
      </w:r>
    </w:p>
    <w:p>
      <w:pPr>
        <w:spacing w:after="0" w:line="4" w:lineRule="exact"/>
        <w:rPr>
          <w:sz w:val="20"/>
          <w:szCs w:val="20"/>
          <w:color w:val="auto"/>
        </w:rPr>
      </w:pPr>
    </w:p>
    <w:p>
      <w:pPr>
        <w:ind w:right="519" w:firstLine="335"/>
        <w:spacing w:after="0" w:line="222" w:lineRule="auto"/>
        <w:rPr>
          <w:sz w:val="20"/>
          <w:szCs w:val="20"/>
          <w:color w:val="auto"/>
        </w:rPr>
      </w:pPr>
      <w:r>
        <w:rPr>
          <w:rFonts w:ascii="Times New Roman" w:cs="Times New Roman" w:eastAsia="Times New Roman" w:hAnsi="Times New Roman"/>
          <w:sz w:val="17"/>
          <w:szCs w:val="17"/>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1" w:lineRule="exact"/>
        <w:rPr>
          <w:sz w:val="20"/>
          <w:szCs w:val="20"/>
          <w:color w:val="auto"/>
        </w:rPr>
      </w:pPr>
    </w:p>
    <w:p>
      <w:pPr>
        <w:ind w:right="499" w:firstLine="335"/>
        <w:spacing w:after="0"/>
        <w:rPr>
          <w:sz w:val="20"/>
          <w:szCs w:val="20"/>
          <w:color w:val="auto"/>
        </w:rPr>
      </w:pPr>
      <w:r>
        <w:rPr>
          <w:rFonts w:ascii="Times New Roman" w:cs="Times New Roman" w:eastAsia="Times New Roman" w:hAnsi="Times New Roman"/>
          <w:sz w:val="17"/>
          <w:szCs w:val="17"/>
          <w:color w:val="auto"/>
        </w:rPr>
        <w:t>As of November 26, 2024, the aggregate market value of our outstanding common stock held by non-affiliates, or the public float, was approximately $34,295,194, which was calculated on 7,554,008 shares of our outstanding common stock held by non-affiliates and at a price of a price of $4.54 per share, the last reported sale price for our common stock on October 22, 2024. Pursuant to General Instruction I.B.6 of Form S-3, in no event will we sell our securities in a public primary offering with a value exceeding one-third of our public float in any 12-month period unless our public float subsequently rises to $75.0 million or more.</w:t>
      </w:r>
    </w:p>
    <w:p>
      <w:pPr>
        <w:spacing w:after="0" w:line="109" w:lineRule="exact"/>
        <w:rPr>
          <w:sz w:val="20"/>
          <w:szCs w:val="20"/>
          <w:color w:val="auto"/>
        </w:rPr>
      </w:pPr>
    </w:p>
    <w:p>
      <w:pPr>
        <w:ind w:right="599" w:firstLine="335"/>
        <w:spacing w:after="0"/>
        <w:rPr>
          <w:sz w:val="20"/>
          <w:szCs w:val="20"/>
          <w:color w:val="auto"/>
        </w:rPr>
      </w:pPr>
      <w:r>
        <w:rPr>
          <w:rFonts w:ascii="Times New Roman" w:cs="Times New Roman" w:eastAsia="Times New Roman" w:hAnsi="Times New Roman"/>
          <w:sz w:val="17"/>
          <w:szCs w:val="17"/>
          <w:color w:val="auto"/>
        </w:rPr>
        <w:t>Our common stock is traded on The Nasdaq Capital Market under the symbol “MRKR.” On November 25, 2024, the last reported sale price of our common stock was $3.33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208280</wp:posOffset>
            </wp:positionV>
            <wp:extent cx="1149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388" w:lineRule="exact"/>
        <w:rPr>
          <w:sz w:val="20"/>
          <w:szCs w:val="20"/>
          <w:color w:val="auto"/>
        </w:rPr>
      </w:pPr>
    </w:p>
    <w:p>
      <w:pPr>
        <w:ind w:right="399" w:firstLine="335"/>
        <w:spacing w:after="0" w:line="22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w:t>
      </w:r>
      <w:r>
        <w:rPr>
          <w:rFonts w:ascii="Times New Roman" w:cs="Times New Roman" w:eastAsia="Times New Roman" w:hAnsi="Times New Roman"/>
          <w:sz w:val="17"/>
          <w:szCs w:val="17"/>
          <w:b w:val="1"/>
          <w:bCs w:val="1"/>
          <w:i w:val="1"/>
          <w:iCs w:val="1"/>
          <w:u w:val="single" w:color="auto"/>
          <w:color w:val="0000EE"/>
        </w:rPr>
        <w:t>6</w:t>
      </w:r>
      <w:r>
        <w:rPr>
          <w:rFonts w:ascii="Times New Roman" w:cs="Times New Roman" w:eastAsia="Times New Roman" w:hAnsi="Times New Roman"/>
          <w:sz w:val="17"/>
          <w:szCs w:val="17"/>
          <w:b w:val="1"/>
          <w:bCs w:val="1"/>
          <w:i w:val="1"/>
          <w:iCs w:val="1"/>
          <w:color w:val="0000EE"/>
        </w:rPr>
        <w:t xml:space="preserve"> </w:t>
      </w:r>
      <w:r>
        <w:rPr>
          <w:rFonts w:ascii="Times New Roman" w:cs="Times New Roman" w:eastAsia="Times New Roman" w:hAnsi="Times New Roman"/>
          <w:sz w:val="17"/>
          <w:szCs w:val="17"/>
          <w:b w:val="1"/>
          <w:bCs w:val="1"/>
          <w:i w:val="1"/>
          <w:iCs w:val="1"/>
          <w:color w:val="000000"/>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128270</wp:posOffset>
            </wp:positionV>
            <wp:extent cx="1149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49" w:lineRule="exact"/>
        <w:rPr>
          <w:sz w:val="20"/>
          <w:szCs w:val="20"/>
          <w:color w:val="auto"/>
        </w:rPr>
      </w:pPr>
    </w:p>
    <w:p>
      <w:pPr>
        <w:jc w:val="both"/>
        <w:ind w:right="559" w:firstLine="335"/>
        <w:spacing w:after="0" w:line="22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129540</wp:posOffset>
            </wp:positionV>
            <wp:extent cx="11493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6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232410</wp:posOffset>
            </wp:positionV>
            <wp:extent cx="632777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7775" cy="41275"/>
                    </a:xfrm>
                    <a:prstGeom prst="rect">
                      <a:avLst/>
                    </a:prstGeom>
                    <a:noFill/>
                  </pic:spPr>
                </pic:pic>
              </a:graphicData>
            </a:graphic>
          </wp:anchor>
        </w:drawing>
      </w:r>
    </w:p>
    <w:p>
      <w:pPr>
        <w:sectPr>
          <w:pgSz w:w="11900" w:h="16838" w:orient="portrait"/>
          <w:cols w:equalWidth="0" w:num="2">
            <w:col w:w="1260" w:space="200"/>
            <w:col w:w="8039"/>
          </w:cols>
          <w:pgMar w:left="960" w:top="101"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ABOUT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-104775</wp:posOffset>
            </wp:positionV>
            <wp:extent cx="485521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55210" cy="111760"/>
                    </a:xfrm>
                    <a:prstGeom prst="rect">
                      <a:avLst/>
                    </a:prstGeom>
                    <a:noFill/>
                  </pic:spPr>
                </pic:pic>
              </a:graphicData>
            </a:graphic>
          </wp:anchor>
        </w:drawing>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PROSPECTUS</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855210" cy="18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RISK</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FACTORS</w:t>
      </w:r>
    </w:p>
    <w:p>
      <w:pPr>
        <w:spacing w:after="0" w:line="56" w:lineRule="exact"/>
        <w:rPr>
          <w:sz w:val="20"/>
          <w:szCs w:val="20"/>
          <w:color w:val="auto"/>
        </w:rPr>
      </w:pPr>
    </w:p>
    <w:p>
      <w:pPr>
        <w:ind w:left="1160" w:right="1480"/>
        <w:spacing w:after="0" w:line="308" w:lineRule="auto"/>
        <w:rPr>
          <w:sz w:val="20"/>
          <w:szCs w:val="20"/>
          <w:color w:val="auto"/>
        </w:rPr>
      </w:pPr>
      <w:r>
        <w:rPr>
          <w:rFonts w:ascii="Times New Roman" w:cs="Times New Roman" w:eastAsia="Times New Roman" w:hAnsi="Times New Roman"/>
          <w:sz w:val="17"/>
          <w:szCs w:val="17"/>
          <w:color w:val="0000EE"/>
        </w:rPr>
        <w:t>SPECIAL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NOTE REGARDING FORWARD-LOOKING STATEMENTS USE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-203835</wp:posOffset>
            </wp:positionV>
            <wp:extent cx="4855210" cy="18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DEBT SECURITIES</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LEGAL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OWNERSHIP OF SECURITIES</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PLAN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LEGAL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MATTERS</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u w:val="single" w:color="auto"/>
          <w:color w:val="0000EE"/>
        </w:rPr>
        <w:t>EXPERTS</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13970</wp:posOffset>
            </wp:positionV>
            <wp:extent cx="4855210" cy="159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55210" cy="15938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WHERE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YOU CAN FIND MORE INFORMATION</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INCORPORATION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3164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6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ii</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6</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9</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10</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14</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20</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22</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25</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28</w:t>
      </w:r>
      <w:r>
        <w:rPr>
          <w:rFonts w:ascii="Times New Roman" w:cs="Times New Roman" w:eastAsia="Times New Roman" w:hAnsi="Times New Roman"/>
          <w:sz w:val="17"/>
          <w:szCs w:val="17"/>
          <w:color w:val="auto"/>
        </w:rPr>
        <w:t>​</w:t>
      </w:r>
    </w:p>
    <w:p>
      <w:pPr>
        <w:sectPr>
          <w:pgSz w:w="11900" w:h="16838" w:orient="portrait"/>
          <w:cols w:equalWidth="0" w:num="2">
            <w:col w:w="7760" w:space="720"/>
            <w:col w:w="1019"/>
          </w:cols>
          <w:pgMar w:left="960" w:top="101" w:right="1440"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8" w:lineRule="exact"/>
        <w:rPr>
          <w:sz w:val="20"/>
          <w:szCs w:val="20"/>
          <w:color w:val="auto"/>
        </w:rPr>
      </w:pPr>
    </w:p>
    <w:p>
      <w:pPr>
        <w:ind w:left="1160" w:right="699" w:firstLine="335"/>
        <w:spacing w:after="0" w:line="253" w:lineRule="auto"/>
        <w:rPr>
          <w:sz w:val="20"/>
          <w:szCs w:val="20"/>
          <w:color w:val="auto"/>
        </w:rPr>
      </w:pPr>
      <w:r>
        <w:rPr>
          <w:rFonts w:ascii="Times New Roman" w:cs="Times New Roman" w:eastAsia="Times New Roman" w:hAnsi="Times New Roman"/>
          <w:sz w:val="17"/>
          <w:szCs w:val="17"/>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$300,000,000. This prospectus provides you with a general description of the securities we may offer.</w:t>
      </w:r>
    </w:p>
    <w:p>
      <w:pPr>
        <w:spacing w:after="0" w:line="113" w:lineRule="exact"/>
        <w:rPr>
          <w:sz w:val="20"/>
          <w:szCs w:val="20"/>
          <w:color w:val="auto"/>
        </w:rPr>
      </w:pPr>
    </w:p>
    <w:p>
      <w:pPr>
        <w:ind w:left="1160" w:right="739" w:firstLine="335"/>
        <w:spacing w:after="0" w:line="250" w:lineRule="auto"/>
        <w:rPr>
          <w:sz w:val="20"/>
          <w:szCs w:val="20"/>
          <w:color w:val="auto"/>
        </w:rPr>
      </w:pPr>
      <w:r>
        <w:rPr>
          <w:rFonts w:ascii="Times New Roman" w:cs="Times New Roman" w:eastAsia="Times New Roman" w:hAnsi="Times New Roman"/>
          <w:sz w:val="17"/>
          <w:szCs w:val="17"/>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99" w:lineRule="exact"/>
        <w:rPr>
          <w:sz w:val="20"/>
          <w:szCs w:val="20"/>
          <w:color w:val="auto"/>
        </w:rPr>
      </w:pPr>
    </w:p>
    <w:p>
      <w:pPr>
        <w:ind w:left="1160" w:right="879" w:firstLine="335"/>
        <w:spacing w:after="0" w:line="278" w:lineRule="auto"/>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SECURITIES UNLESS IT IS ACCOMPANIED BY A PROSPECTUS SUPPLEMENT.</w:t>
      </w:r>
    </w:p>
    <w:p>
      <w:pPr>
        <w:spacing w:after="0" w:line="91" w:lineRule="exact"/>
        <w:rPr>
          <w:sz w:val="20"/>
          <w:szCs w:val="20"/>
          <w:color w:val="auto"/>
        </w:rPr>
      </w:pPr>
    </w:p>
    <w:p>
      <w:pPr>
        <w:ind w:left="1160" w:right="699" w:firstLine="335"/>
        <w:spacing w:after="0" w:line="250" w:lineRule="auto"/>
        <w:rPr>
          <w:sz w:val="20"/>
          <w:szCs w:val="20"/>
          <w:color w:val="auto"/>
        </w:rPr>
      </w:pPr>
      <w:r>
        <w:rPr>
          <w:rFonts w:ascii="Times New Roman" w:cs="Times New Roman" w:eastAsia="Times New Roman" w:hAnsi="Times New Roman"/>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15" w:lineRule="exact"/>
        <w:rPr>
          <w:sz w:val="20"/>
          <w:szCs w:val="20"/>
          <w:color w:val="auto"/>
        </w:rPr>
      </w:pPr>
    </w:p>
    <w:p>
      <w:pPr>
        <w:ind w:left="1160" w:right="759" w:firstLine="335"/>
        <w:spacing w:after="0" w:line="252" w:lineRule="auto"/>
        <w:rPr>
          <w:sz w:val="20"/>
          <w:szCs w:val="20"/>
          <w:color w:val="auto"/>
        </w:rPr>
      </w:pPr>
      <w:r>
        <w:rPr>
          <w:rFonts w:ascii="Times New Roman" w:cs="Times New Roman" w:eastAsia="Times New Roman" w:hAnsi="Times New Roman"/>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306" w:lineRule="exact"/>
        <w:rPr>
          <w:sz w:val="20"/>
          <w:szCs w:val="20"/>
          <w:color w:val="auto"/>
        </w:rPr>
      </w:pPr>
    </w:p>
    <w:p>
      <w:pPr>
        <w:ind w:left="1160" w:right="719" w:firstLine="335"/>
        <w:spacing w:after="0" w:line="251" w:lineRule="auto"/>
        <w:rPr>
          <w:sz w:val="20"/>
          <w:szCs w:val="20"/>
          <w:color w:val="auto"/>
        </w:rPr>
      </w:pPr>
      <w:r>
        <w:rPr>
          <w:rFonts w:ascii="Times New Roman" w:cs="Times New Roman" w:eastAsia="Times New Roman" w:hAnsi="Times New Roman"/>
          <w:sz w:val="17"/>
          <w:szCs w:val="17"/>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553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27625" cy="755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48" w:lineRule="exact"/>
        <w:rPr>
          <w:sz w:val="20"/>
          <w:szCs w:val="20"/>
          <w:color w:val="auto"/>
        </w:rPr>
      </w:pPr>
    </w:p>
    <w:p>
      <w:pPr>
        <w:ind w:left="1180" w:right="739" w:firstLine="335"/>
        <w:spacing w:after="0" w:line="250" w:lineRule="auto"/>
        <w:rPr>
          <w:sz w:val="20"/>
          <w:szCs w:val="20"/>
          <w:color w:val="auto"/>
        </w:rPr>
      </w:pPr>
      <w:r>
        <w:rPr>
          <w:rFonts w:ascii="Times New Roman" w:cs="Times New Roman" w:eastAsia="Times New Roman" w:hAnsi="Times New Roman"/>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319" w:lineRule="exact"/>
        <w:rPr>
          <w:sz w:val="20"/>
          <w:szCs w:val="20"/>
          <w:color w:val="auto"/>
        </w:rPr>
      </w:pPr>
    </w:p>
    <w:p>
      <w:pPr>
        <w:ind w:left="1180" w:right="759" w:firstLine="335"/>
        <w:spacing w:after="0"/>
        <w:rPr>
          <w:sz w:val="20"/>
          <w:szCs w:val="20"/>
          <w:color w:val="auto"/>
        </w:rPr>
      </w:pPr>
      <w:r>
        <w:rPr>
          <w:rFonts w:ascii="Times New Roman" w:cs="Times New Roman" w:eastAsia="Times New Roman" w:hAnsi="Times New Roman"/>
          <w:sz w:val="17"/>
          <w:szCs w:val="17"/>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 but such references should not be construed as any indication that their respective owners will not assert, to the fullest extent under applicable law, their rights thereto.</w:t>
      </w:r>
    </w:p>
    <w:p>
      <w:pPr>
        <w:spacing w:after="0" w:line="3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35" w:lineRule="exact"/>
        <w:rPr>
          <w:sz w:val="20"/>
          <w:szCs w:val="20"/>
          <w:color w:val="auto"/>
        </w:rPr>
      </w:pPr>
    </w:p>
    <w:p>
      <w:pPr>
        <w:ind w:left="1180" w:right="719" w:firstLine="335"/>
        <w:spacing w:after="0" w:line="249" w:lineRule="auto"/>
        <w:rPr>
          <w:sz w:val="20"/>
          <w:szCs w:val="20"/>
          <w:color w:val="auto"/>
        </w:rPr>
      </w:pPr>
      <w:r>
        <w:rPr>
          <w:rFonts w:ascii="Times New Roman" w:cs="Times New Roman" w:eastAsia="Times New Roman" w:hAnsi="Times New Roman"/>
          <w:sz w:val="17"/>
          <w:szCs w:val="17"/>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spacing w:after="0" w:line="115" w:lineRule="exact"/>
        <w:rPr>
          <w:sz w:val="20"/>
          <w:szCs w:val="20"/>
          <w:color w:val="auto"/>
        </w:rPr>
      </w:pPr>
    </w:p>
    <w:p>
      <w:pPr>
        <w:ind w:left="1180" w:right="939" w:firstLine="335"/>
        <w:spacing w:after="0" w:line="252" w:lineRule="auto"/>
        <w:rPr>
          <w:sz w:val="20"/>
          <w:szCs w:val="20"/>
          <w:color w:val="auto"/>
        </w:rPr>
      </w:pPr>
      <w:r>
        <w:rPr>
          <w:rFonts w:ascii="Times New Roman" w:cs="Times New Roman" w:eastAsia="Times New Roman" w:hAnsi="Times New Roman"/>
          <w:sz w:val="17"/>
          <w:szCs w:val="17"/>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are advancing two product candidates for 3 clinical indications as part of our multiTAA-specific</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 cell program for:</w:t>
      </w:r>
    </w:p>
    <w:p>
      <w:pPr>
        <w:spacing w:after="0" w:line="90" w:lineRule="exact"/>
        <w:rPr>
          <w:sz w:val="20"/>
          <w:szCs w:val="20"/>
          <w:color w:val="auto"/>
        </w:rPr>
      </w:pPr>
    </w:p>
    <w:p>
      <w:pPr>
        <w:ind w:left="1680" w:hanging="164"/>
        <w:spacing w:after="0"/>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Autologous multiTAA product for the treatment of lymphoma and pancreatic cancer (MT-601)</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Off-the-Shelf (OTS) product in various indications (e.g., MT-401-OTS)</w:t>
      </w:r>
    </w:p>
    <w:p>
      <w:pPr>
        <w:spacing w:after="0" w:line="144" w:lineRule="exact"/>
        <w:rPr>
          <w:sz w:val="20"/>
          <w:szCs w:val="20"/>
          <w:color w:val="auto"/>
        </w:rPr>
      </w:pPr>
    </w:p>
    <w:p>
      <w:pPr>
        <w:jc w:val="both"/>
        <w:ind w:left="1180" w:right="719" w:firstLine="335"/>
        <w:spacing w:after="0" w:line="260" w:lineRule="auto"/>
        <w:rPr>
          <w:sz w:val="20"/>
          <w:szCs w:val="20"/>
          <w:color w:val="auto"/>
        </w:rPr>
      </w:pPr>
      <w:r>
        <w:rPr>
          <w:rFonts w:ascii="Times New Roman" w:cs="Times New Roman" w:eastAsia="Times New Roman" w:hAnsi="Times New Roman"/>
          <w:sz w:val="17"/>
          <w:szCs w:val="17"/>
          <w:color w:val="auto"/>
        </w:rPr>
        <w:t>We do not genetically engineer our multiTAA-specific T cell therapies and we believe that our product candidates are superior to T cells engineered with chimeric antigen receptors, or CAR-T, for several reasons including:</w:t>
      </w:r>
    </w:p>
    <w:p>
      <w:pPr>
        <w:spacing w:after="0" w:line="68" w:lineRule="exact"/>
        <w:rPr>
          <w:sz w:val="20"/>
          <w:szCs w:val="20"/>
          <w:color w:val="auto"/>
        </w:rPr>
      </w:pPr>
    </w:p>
    <w:p>
      <w:pPr>
        <w:ind w:left="1680" w:hanging="164"/>
        <w:spacing w:after="0"/>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targets → enhanced tumoricidal effect → minimized tumor immune escape</w:t>
      </w:r>
    </w:p>
    <w:p>
      <w:pPr>
        <w:spacing w:after="0" w:line="106" w:lineRule="exact"/>
        <w:rPr>
          <w:rFonts w:ascii="Times New Roman" w:cs="Times New Roman" w:eastAsia="Times New Roman" w:hAnsi="Times New Roman"/>
          <w:sz w:val="17"/>
          <w:szCs w:val="17"/>
          <w:color w:val="auto"/>
        </w:rPr>
      </w:pPr>
    </w:p>
    <w:p>
      <w:pPr>
        <w:ind w:left="1680" w:right="859" w:hanging="164"/>
        <w:spacing w:after="0" w:line="260"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safety → no treatment-related side effects, including immune effector cell-associated neurotoxicity syndrome (ICANS) or other severe adverse effects (SAEs), were attributed to the use of multiTAA-specific T cell therapies to date</w:t>
      </w:r>
    </w:p>
    <w:p>
      <w:pPr>
        <w:spacing w:after="0" w:line="3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577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27625" cy="757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80" w:right="859" w:hanging="164"/>
        <w:spacing w:after="0" w:line="260" w:lineRule="auto"/>
        <w:tabs>
          <w:tab w:leader="none" w:pos="1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80" w:right="799" w:firstLine="335"/>
        <w:spacing w:after="0" w:line="258" w:lineRule="auto"/>
        <w:rPr>
          <w:sz w:val="20"/>
          <w:szCs w:val="20"/>
          <w:color w:val="auto"/>
        </w:rPr>
      </w:pPr>
      <w:r>
        <w:rPr>
          <w:rFonts w:ascii="Times New Roman" w:cs="Times New Roman" w:eastAsia="Times New Roman" w:hAnsi="Times New Roman"/>
          <w:sz w:val="17"/>
          <w:szCs w:val="17"/>
          <w:color w:val="auto"/>
        </w:rPr>
        <w:t>For these reasons, we believe our endogenous T cell receptor-based therapies may provide meaningful clinical benefit and safety to patients with both hematological and solid tumors.</w:t>
      </w:r>
    </w:p>
    <w:p>
      <w:pPr>
        <w:spacing w:after="0" w:line="95" w:lineRule="exact"/>
        <w:rPr>
          <w:sz w:val="20"/>
          <w:szCs w:val="20"/>
          <w:color w:val="auto"/>
        </w:rPr>
      </w:pPr>
    </w:p>
    <w:p>
      <w:pPr>
        <w:ind w:left="1180" w:right="799" w:firstLine="335"/>
        <w:spacing w:after="0" w:line="252" w:lineRule="auto"/>
        <w:rPr>
          <w:sz w:val="20"/>
          <w:szCs w:val="20"/>
          <w:color w:val="auto"/>
        </w:rPr>
      </w:pPr>
      <w:r>
        <w:rPr>
          <w:rFonts w:ascii="Times New Roman" w:cs="Times New Roman" w:eastAsia="Times New Roman" w:hAnsi="Times New Roman"/>
          <w:sz w:val="17"/>
          <w:szCs w:val="17"/>
          <w:color w:val="auto"/>
        </w:rPr>
        <w:t>We believe that the simplicity of our manufacturing process allows additional modifications to expand multiTAA- specific T cell recognition of cancer targets. For example, we are assessing the potential of combining multiTAA-specific T cell products with other products.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Pipeline</w:t>
      </w:r>
    </w:p>
    <w:p>
      <w:pPr>
        <w:spacing w:after="0" w:line="14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48" w:lineRule="exact"/>
        <w:rPr>
          <w:sz w:val="20"/>
          <w:szCs w:val="20"/>
          <w:color w:val="auto"/>
        </w:rPr>
      </w:pPr>
    </w:p>
    <w:p>
      <w:pPr>
        <w:ind w:left="1180" w:right="719" w:firstLine="335"/>
        <w:spacing w:after="0"/>
        <w:rPr>
          <w:sz w:val="20"/>
          <w:szCs w:val="20"/>
          <w:color w:val="auto"/>
        </w:rPr>
      </w:pPr>
      <w:r>
        <w:rPr>
          <w:rFonts w:ascii="Times New Roman" w:cs="Times New Roman" w:eastAsia="Times New Roman" w:hAnsi="Times New Roman"/>
          <w:sz w:val="17"/>
          <w:szCs w:val="17"/>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w:t>
      </w:r>
    </w:p>
    <w:p>
      <w:pPr>
        <w:spacing w:after="0" w:line="200" w:lineRule="exact"/>
        <w:rPr>
          <w:sz w:val="20"/>
          <w:szCs w:val="20"/>
          <w:color w:val="auto"/>
        </w:rPr>
      </w:pPr>
    </w:p>
    <w:p>
      <w:pPr>
        <w:spacing w:after="0" w:line="3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409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right="819"/>
        <w:spacing w:after="0" w:line="245" w:lineRule="auto"/>
        <w:rPr>
          <w:sz w:val="20"/>
          <w:szCs w:val="20"/>
          <w:color w:val="auto"/>
        </w:rPr>
      </w:pPr>
      <w:r>
        <w:rPr>
          <w:rFonts w:ascii="Times New Roman" w:cs="Times New Roman" w:eastAsia="Times New Roman" w:hAnsi="Times New Roman"/>
          <w:sz w:val="17"/>
          <w:szCs w:val="17"/>
          <w:color w:val="auto"/>
        </w:rPr>
        <w:t xml:space="preserve">Suite BCM-A, MS: BCM251, Houston, Texas 77021, and our telephone number is (713) 400-6400. Our website is located at </w:t>
      </w:r>
      <w:r>
        <w:rPr>
          <w:rFonts w:ascii="Times New Roman" w:cs="Times New Roman" w:eastAsia="Times New Roman" w:hAnsi="Times New Roman"/>
          <w:sz w:val="17"/>
          <w:szCs w:val="17"/>
          <w:i w:val="1"/>
          <w:iCs w:val="1"/>
          <w:color w:val="auto"/>
        </w:rPr>
        <w:t>http://www.markertherapeutics.com</w:t>
      </w:r>
      <w:r>
        <w:rPr>
          <w:rFonts w:ascii="Times New Roman" w:cs="Times New Roman" w:eastAsia="Times New Roman" w:hAnsi="Times New Roman"/>
          <w:sz w:val="17"/>
          <w:szCs w:val="17"/>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135" w:lineRule="exact"/>
        <w:rPr>
          <w:sz w:val="20"/>
          <w:szCs w:val="20"/>
          <w:color w:val="auto"/>
        </w:rPr>
      </w:pPr>
    </w:p>
    <w:p>
      <w:pPr>
        <w:ind w:left="1180" w:right="699" w:firstLine="335"/>
        <w:spacing w:after="0" w:line="242" w:lineRule="auto"/>
        <w:rPr>
          <w:sz w:val="20"/>
          <w:szCs w:val="20"/>
          <w:color w:val="auto"/>
        </w:rPr>
      </w:pPr>
      <w:r>
        <w:rPr>
          <w:rFonts w:ascii="Times New Roman" w:cs="Times New Roman" w:eastAsia="Times New Roman" w:hAnsi="Times New Roman"/>
          <w:sz w:val="17"/>
          <w:szCs w:val="17"/>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4" w:lineRule="exact"/>
        <w:rPr>
          <w:sz w:val="20"/>
          <w:szCs w:val="20"/>
          <w:color w:val="auto"/>
        </w:rPr>
      </w:pPr>
    </w:p>
    <w:p>
      <w:pPr>
        <w:jc w:val="both"/>
        <w:ind w:left="1680" w:right="679" w:hanging="164"/>
        <w:spacing w:after="0" w:line="260" w:lineRule="auto"/>
        <w:tabs>
          <w:tab w:leader="none" w:pos="1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8" w:lineRule="exact"/>
        <w:rPr>
          <w:rFonts w:ascii="Times New Roman" w:cs="Times New Roman" w:eastAsia="Times New Roman" w:hAnsi="Times New Roman"/>
          <w:sz w:val="17"/>
          <w:szCs w:val="17"/>
          <w:color w:val="auto"/>
        </w:rPr>
      </w:pPr>
    </w:p>
    <w:p>
      <w:pPr>
        <w:ind w:left="1680" w:right="1159" w:hanging="164"/>
        <w:spacing w:after="0" w:line="273" w:lineRule="auto"/>
        <w:tabs>
          <w:tab w:leader="none" w:pos="1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 and</w:t>
      </w:r>
    </w:p>
    <w:p>
      <w:pPr>
        <w:spacing w:after="0" w:line="57" w:lineRule="exact"/>
        <w:rPr>
          <w:rFonts w:ascii="Times New Roman" w:cs="Times New Roman" w:eastAsia="Times New Roman" w:hAnsi="Times New Roman"/>
          <w:sz w:val="17"/>
          <w:szCs w:val="17"/>
          <w:color w:val="auto"/>
        </w:rPr>
      </w:pPr>
    </w:p>
    <w:p>
      <w:pPr>
        <w:ind w:left="1680" w:right="1119" w:hanging="164"/>
        <w:spacing w:after="0" w:line="273" w:lineRule="auto"/>
        <w:tabs>
          <w:tab w:leader="none" w:pos="16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proxy statements and registration statements.</w:t>
      </w:r>
    </w:p>
    <w:p>
      <w:pPr>
        <w:spacing w:after="0" w:line="15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The Securities We May Offer</w:t>
      </w:r>
    </w:p>
    <w:p>
      <w:pPr>
        <w:spacing w:after="0" w:line="135" w:lineRule="exact"/>
        <w:rPr>
          <w:sz w:val="20"/>
          <w:szCs w:val="20"/>
          <w:color w:val="auto"/>
        </w:rPr>
      </w:pPr>
    </w:p>
    <w:p>
      <w:pPr>
        <w:ind w:left="1180" w:right="699" w:firstLine="335"/>
        <w:spacing w:after="0" w:line="239" w:lineRule="auto"/>
        <w:rPr>
          <w:sz w:val="20"/>
          <w:szCs w:val="20"/>
          <w:color w:val="auto"/>
        </w:rPr>
      </w:pPr>
      <w:r>
        <w:rPr>
          <w:rFonts w:ascii="Times New Roman" w:cs="Times New Roman" w:eastAsia="Times New Roman" w:hAnsi="Times New Roman"/>
          <w:sz w:val="17"/>
          <w:szCs w:val="17"/>
          <w:color w:val="auto"/>
        </w:rPr>
        <w:t>We may offer shares of our common stock and preferred stock, various series of debt securities and/or warrants to purchase any of such securities, either individually or in combination, up to a total aggregate offering price of $300,000,000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designation or classification;</w:t>
      </w:r>
    </w:p>
    <w:p>
      <w:pPr>
        <w:spacing w:after="0" w:line="93"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principal amount or aggregate offering price;</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maturity;</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issue discount, if any;</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rates and times of payment of interest or dividends, if any;</w:t>
      </w:r>
    </w:p>
    <w:p>
      <w:pPr>
        <w:spacing w:after="0" w:line="93"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conversion, exchange or sinking fund terms, if any;</w:t>
      </w:r>
    </w:p>
    <w:p>
      <w:pPr>
        <w:spacing w:after="0" w:line="106" w:lineRule="exact"/>
        <w:rPr>
          <w:rFonts w:ascii="Times New Roman" w:cs="Times New Roman" w:eastAsia="Times New Roman" w:hAnsi="Times New Roman"/>
          <w:sz w:val="17"/>
          <w:szCs w:val="17"/>
          <w:color w:val="auto"/>
        </w:rPr>
      </w:pPr>
    </w:p>
    <w:p>
      <w:pPr>
        <w:ind w:left="1680" w:right="979" w:hanging="164"/>
        <w:spacing w:after="0" w:line="260" w:lineRule="auto"/>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8"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ranking;</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if any;</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or other rights, if any; and</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important U.S. federal income tax considerations.</w:t>
      </w:r>
    </w:p>
    <w:p>
      <w:pPr>
        <w:spacing w:after="0" w:line="131" w:lineRule="exact"/>
        <w:rPr>
          <w:sz w:val="20"/>
          <w:szCs w:val="20"/>
          <w:color w:val="auto"/>
        </w:rPr>
      </w:pPr>
    </w:p>
    <w:p>
      <w:pPr>
        <w:ind w:left="1180" w:right="699" w:firstLine="335"/>
        <w:spacing w:after="0" w:line="245" w:lineRule="auto"/>
        <w:rPr>
          <w:sz w:val="20"/>
          <w:szCs w:val="20"/>
          <w:color w:val="auto"/>
        </w:rPr>
      </w:pPr>
      <w:r>
        <w:rPr>
          <w:rFonts w:ascii="Times New Roman" w:cs="Times New Roman" w:eastAsia="Times New Roman" w:hAnsi="Times New Roman"/>
          <w:sz w:val="17"/>
          <w:szCs w:val="17"/>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3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409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180" w:right="1419" w:firstLine="335"/>
        <w:spacing w:after="0" w:line="278" w:lineRule="auto"/>
        <w:rPr>
          <w:sz w:val="20"/>
          <w:szCs w:val="20"/>
          <w:color w:val="auto"/>
        </w:rPr>
      </w:pPr>
      <w:r>
        <w:rPr>
          <w:rFonts w:ascii="Times New Roman" w:cs="Times New Roman" w:eastAsia="Times New Roman" w:hAnsi="Times New Roman"/>
          <w:sz w:val="17"/>
          <w:szCs w:val="17"/>
          <w:b w:val="1"/>
          <w:bCs w:val="1"/>
          <w:color w:val="auto"/>
        </w:rPr>
        <w:t>This prospectus may not be used to consummate a sale of securities unless it is accompanied by a prospectus supplement.</w:t>
      </w:r>
    </w:p>
    <w:p>
      <w:pPr>
        <w:spacing w:after="0" w:line="79" w:lineRule="exact"/>
        <w:rPr>
          <w:sz w:val="20"/>
          <w:szCs w:val="20"/>
          <w:color w:val="auto"/>
        </w:rPr>
      </w:pPr>
    </w:p>
    <w:p>
      <w:pPr>
        <w:ind w:left="1180" w:right="679" w:firstLine="335"/>
        <w:spacing w:after="0" w:line="246" w:lineRule="auto"/>
        <w:rPr>
          <w:sz w:val="20"/>
          <w:szCs w:val="20"/>
          <w:color w:val="auto"/>
        </w:rPr>
      </w:pPr>
      <w:r>
        <w:rPr>
          <w:rFonts w:ascii="Times New Roman" w:cs="Times New Roman" w:eastAsia="Times New Roman" w:hAnsi="Times New Roman"/>
          <w:sz w:val="17"/>
          <w:szCs w:val="17"/>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266" w:lineRule="exact"/>
        <w:rPr>
          <w:sz w:val="20"/>
          <w:szCs w:val="20"/>
          <w:color w:val="auto"/>
        </w:rPr>
      </w:pPr>
    </w:p>
    <w:p>
      <w:pPr>
        <w:ind w:left="1680" w:hanging="164"/>
        <w:spacing w:after="0"/>
        <w:tabs>
          <w:tab w:leader="none" w:pos="1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those underwriters or agents;</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fees, discounts and commissions to be paid to them;</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regarding over-allotment options, if any; and</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net proceeds to us.</w:t>
      </w:r>
    </w:p>
    <w:p>
      <w:pPr>
        <w:spacing w:after="0" w:line="127" w:lineRule="exact"/>
        <w:rPr>
          <w:sz w:val="20"/>
          <w:szCs w:val="20"/>
          <w:color w:val="auto"/>
        </w:rPr>
      </w:pPr>
    </w:p>
    <w:p>
      <w:pPr>
        <w:ind w:left="1180" w:right="759" w:firstLine="335"/>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We may issue shares of our common stock from time to time. Holders of our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11" w:lineRule="exact"/>
        <w:rPr>
          <w:sz w:val="20"/>
          <w:szCs w:val="20"/>
          <w:color w:val="auto"/>
        </w:rPr>
      </w:pPr>
    </w:p>
    <w:p>
      <w:pPr>
        <w:ind w:left="1180" w:right="719" w:firstLine="335"/>
        <w:spacing w:after="0" w:line="241"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05" w:lineRule="exact"/>
        <w:rPr>
          <w:sz w:val="20"/>
          <w:szCs w:val="20"/>
          <w:color w:val="auto"/>
        </w:rPr>
      </w:pPr>
    </w:p>
    <w:p>
      <w:pPr>
        <w:ind w:left="1180" w:right="719" w:firstLine="335"/>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We may issue shares of our preferred stock from time to time, in one or more series.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our certificate of incorporation, our board of directors has the authority, without further action by the stockholders, to issue up to 5,000,000 shares of preferred stock, par value $0.001 per share. You should refer to our certificate of incorporation and our bylaws, both of which are included as exhibits to documents incorporated by reference in the registration statement of which this prospectus is a part.</w:t>
      </w:r>
    </w:p>
    <w:p>
      <w:pPr>
        <w:spacing w:after="0" w:line="108" w:lineRule="exact"/>
        <w:rPr>
          <w:sz w:val="20"/>
          <w:szCs w:val="20"/>
          <w:color w:val="auto"/>
        </w:rPr>
      </w:pPr>
    </w:p>
    <w:p>
      <w:pPr>
        <w:ind w:left="1180" w:right="699" w:firstLine="335"/>
        <w:spacing w:after="0" w:line="249" w:lineRule="auto"/>
        <w:rPr>
          <w:sz w:val="20"/>
          <w:szCs w:val="20"/>
          <w:color w:val="auto"/>
        </w:rPr>
      </w:pPr>
      <w:r>
        <w:rPr>
          <w:rFonts w:ascii="Times New Roman" w:cs="Times New Roman" w:eastAsia="Times New Roman" w:hAnsi="Times New Roman"/>
          <w:sz w:val="17"/>
          <w:szCs w:val="17"/>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17" w:lineRule="exact"/>
        <w:rPr>
          <w:sz w:val="20"/>
          <w:szCs w:val="20"/>
          <w:color w:val="auto"/>
        </w:rPr>
      </w:pPr>
    </w:p>
    <w:p>
      <w:pPr>
        <w:ind w:left="1180" w:right="839" w:firstLine="335"/>
        <w:spacing w:after="0" w:line="252" w:lineRule="auto"/>
        <w:rPr>
          <w:sz w:val="20"/>
          <w:szCs w:val="20"/>
          <w:color w:val="auto"/>
        </w:rPr>
      </w:pPr>
      <w:r>
        <w:rPr>
          <w:rFonts w:ascii="Times New Roman" w:cs="Times New Roman" w:eastAsia="Times New Roman" w:hAnsi="Times New Roman"/>
          <w:sz w:val="17"/>
          <w:szCs w:val="17"/>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96" w:lineRule="exact"/>
        <w:rPr>
          <w:sz w:val="20"/>
          <w:szCs w:val="20"/>
          <w:color w:val="auto"/>
        </w:rPr>
      </w:pPr>
    </w:p>
    <w:p>
      <w:pPr>
        <w:ind w:left="1180" w:right="779" w:firstLine="335"/>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We may issue debt securities from time to time, in one or more series, as either senior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subordinated debt or as senior or subordinated convertible debt. The senior debt securities will rank equally with any other unsecured and unsubordinated debt. The subordinated debt securities will be</w:t>
      </w:r>
    </w:p>
    <w:p>
      <w:pPr>
        <w:spacing w:after="0" w:line="200" w:lineRule="exact"/>
        <w:rPr>
          <w:sz w:val="20"/>
          <w:szCs w:val="20"/>
          <w:color w:val="auto"/>
        </w:rPr>
      </w:pPr>
    </w:p>
    <w:p>
      <w:pPr>
        <w:spacing w:after="0" w:line="2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9" w:name="page10"/>
    <w:bookmarkEnd w:id="9"/>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409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right="799"/>
        <w:spacing w:after="0" w:line="255" w:lineRule="auto"/>
        <w:rPr>
          <w:sz w:val="20"/>
          <w:szCs w:val="20"/>
          <w:color w:val="auto"/>
        </w:rPr>
      </w:pPr>
      <w:r>
        <w:rPr>
          <w:rFonts w:ascii="Times New Roman" w:cs="Times New Roman" w:eastAsia="Times New Roman" w:hAnsi="Times New Roman"/>
          <w:sz w:val="17"/>
          <w:szCs w:val="17"/>
          <w:color w:val="auto"/>
        </w:rPr>
        <w:t>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12" w:lineRule="exact"/>
        <w:rPr>
          <w:sz w:val="20"/>
          <w:szCs w:val="20"/>
          <w:color w:val="auto"/>
        </w:rPr>
      </w:pPr>
    </w:p>
    <w:p>
      <w:pPr>
        <w:ind w:left="1180" w:right="699" w:firstLine="335"/>
        <w:spacing w:after="0" w:line="249" w:lineRule="auto"/>
        <w:rPr>
          <w:sz w:val="20"/>
          <w:szCs w:val="20"/>
          <w:color w:val="auto"/>
        </w:rPr>
      </w:pPr>
      <w:r>
        <w:rPr>
          <w:rFonts w:ascii="Times New Roman" w:cs="Times New Roman" w:eastAsia="Times New Roman" w:hAnsi="Times New Roman"/>
          <w:sz w:val="17"/>
          <w:szCs w:val="17"/>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320" w:lineRule="exact"/>
        <w:rPr>
          <w:sz w:val="20"/>
          <w:szCs w:val="20"/>
          <w:color w:val="auto"/>
        </w:rPr>
      </w:pPr>
    </w:p>
    <w:p>
      <w:pPr>
        <w:ind w:left="1180" w:right="719" w:firstLine="335"/>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issue warrants for the purchase of common stock, preferred stock and/or debt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311" w:lineRule="exact"/>
        <w:rPr>
          <w:sz w:val="20"/>
          <w:szCs w:val="20"/>
          <w:color w:val="auto"/>
        </w:rPr>
      </w:pPr>
    </w:p>
    <w:p>
      <w:pPr>
        <w:jc w:val="both"/>
        <w:ind w:left="1180" w:right="779" w:firstLine="335"/>
        <w:spacing w:after="0" w:line="255" w:lineRule="auto"/>
        <w:rPr>
          <w:sz w:val="20"/>
          <w:szCs w:val="20"/>
          <w:color w:val="auto"/>
        </w:rPr>
      </w:pPr>
      <w:r>
        <w:rPr>
          <w:rFonts w:ascii="Times New Roman" w:cs="Times New Roman" w:eastAsia="Times New Roman" w:hAnsi="Times New Roman"/>
          <w:sz w:val="17"/>
          <w:szCs w:val="17"/>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2023,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48" w:lineRule="exact"/>
        <w:rPr>
          <w:sz w:val="20"/>
          <w:szCs w:val="20"/>
          <w:color w:val="auto"/>
        </w:rPr>
      </w:pPr>
    </w:p>
    <w:p>
      <w:pPr>
        <w:ind w:left="1160" w:right="699" w:firstLine="335"/>
        <w:spacing w:after="0" w:line="252"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13" w:lineRule="exact"/>
        <w:rPr>
          <w:sz w:val="20"/>
          <w:szCs w:val="20"/>
          <w:color w:val="auto"/>
        </w:rPr>
      </w:pPr>
    </w:p>
    <w:p>
      <w:pPr>
        <w:ind w:left="1160" w:right="819" w:firstLine="335"/>
        <w:spacing w:after="0" w:line="255" w:lineRule="auto"/>
        <w:rPr>
          <w:sz w:val="20"/>
          <w:szCs w:val="20"/>
          <w:color w:val="auto"/>
        </w:rPr>
      </w:pPr>
      <w:r>
        <w:rPr>
          <w:rFonts w:ascii="Times New Roman" w:cs="Times New Roman" w:eastAsia="Times New Roman" w:hAnsi="Times New Roman"/>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4" w:lineRule="exact"/>
        <w:rPr>
          <w:sz w:val="20"/>
          <w:szCs w:val="20"/>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106" w:lineRule="exact"/>
        <w:rPr>
          <w:rFonts w:ascii="Times New Roman" w:cs="Times New Roman" w:eastAsia="Times New Roman" w:hAnsi="Times New Roman"/>
          <w:sz w:val="17"/>
          <w:szCs w:val="17"/>
          <w:color w:val="auto"/>
        </w:rPr>
      </w:pPr>
    </w:p>
    <w:p>
      <w:pPr>
        <w:ind w:left="1660" w:right="699" w:hanging="161"/>
        <w:spacing w:after="0" w:line="255"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3" w:lineRule="exact"/>
        <w:rPr>
          <w:rFonts w:ascii="Times New Roman" w:cs="Times New Roman" w:eastAsia="Times New Roman" w:hAnsi="Times New Roman"/>
          <w:sz w:val="17"/>
          <w:szCs w:val="17"/>
          <w:color w:val="auto"/>
        </w:rPr>
      </w:pPr>
    </w:p>
    <w:p>
      <w:pPr>
        <w:ind w:left="1660" w:right="79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submission of filings for regulatory approval of product candidates and our ability to obtain and maintain regulatory approvals for product candidates for any indication;</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product candidates;</w:t>
      </w:r>
    </w:p>
    <w:p>
      <w:pPr>
        <w:spacing w:after="0" w:line="106" w:lineRule="exact"/>
        <w:rPr>
          <w:rFonts w:ascii="Times New Roman" w:cs="Times New Roman" w:eastAsia="Times New Roman" w:hAnsi="Times New Roman"/>
          <w:sz w:val="17"/>
          <w:szCs w:val="17"/>
          <w:color w:val="auto"/>
        </w:rPr>
      </w:pPr>
    </w:p>
    <w:p>
      <w:pPr>
        <w:ind w:left="1660" w:right="101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benefits, activity, effectiveness and safety of our product candidates;</w:t>
      </w:r>
    </w:p>
    <w:p>
      <w:pPr>
        <w:spacing w:after="0" w:line="57" w:lineRule="exact"/>
        <w:rPr>
          <w:rFonts w:ascii="Times New Roman" w:cs="Times New Roman" w:eastAsia="Times New Roman" w:hAnsi="Times New Roman"/>
          <w:sz w:val="17"/>
          <w:szCs w:val="17"/>
          <w:color w:val="auto"/>
        </w:rPr>
      </w:pPr>
    </w:p>
    <w:p>
      <w:pPr>
        <w:ind w:left="1660" w:right="73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size of the patient populations, market acceptance and opportunity for and clinical utility of product candidates, if approved for commercial use;</w:t>
      </w:r>
    </w:p>
    <w:p>
      <w:pPr>
        <w:spacing w:after="0" w:line="57" w:lineRule="exact"/>
        <w:rPr>
          <w:rFonts w:ascii="Times New Roman" w:cs="Times New Roman" w:eastAsia="Times New Roman" w:hAnsi="Times New Roman"/>
          <w:sz w:val="17"/>
          <w:szCs w:val="17"/>
          <w:color w:val="auto"/>
        </w:rPr>
      </w:pPr>
    </w:p>
    <w:p>
      <w:pPr>
        <w:ind w:left="1660" w:right="81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 including the ease, scalability and commercial viability of our manufacturing methods and processes;</w:t>
      </w:r>
    </w:p>
    <w:p>
      <w:pPr>
        <w:spacing w:after="0" w:line="70"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scope of any approved indications for product candidates;</w:t>
      </w:r>
    </w:p>
    <w:p>
      <w:pPr>
        <w:spacing w:after="0" w:line="106" w:lineRule="exact"/>
        <w:rPr>
          <w:rFonts w:ascii="Times New Roman" w:cs="Times New Roman" w:eastAsia="Times New Roman" w:hAnsi="Times New Roman"/>
          <w:sz w:val="17"/>
          <w:szCs w:val="17"/>
          <w:color w:val="auto"/>
        </w:rPr>
      </w:pPr>
    </w:p>
    <w:p>
      <w:pPr>
        <w:ind w:left="1660" w:right="89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and our ability to maintain our relationships and collaborations with BCM and other potential collaboration or strategic relationships;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the MultiTAA-specific T cell platform to develop future product candidates;</w:t>
      </w:r>
    </w:p>
    <w:p>
      <w:pPr>
        <w:spacing w:after="0" w:line="106" w:lineRule="exact"/>
        <w:rPr>
          <w:rFonts w:ascii="Times New Roman" w:cs="Times New Roman" w:eastAsia="Times New Roman" w:hAnsi="Times New Roman"/>
          <w:sz w:val="17"/>
          <w:szCs w:val="17"/>
          <w:color w:val="auto"/>
        </w:rPr>
      </w:pPr>
    </w:p>
    <w:p>
      <w:pPr>
        <w:ind w:left="1660" w:right="105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revenue (including grant revenues), capital requirements and our needs for or ability to obtain additional funding;</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recruit and retain key personnel;</w:t>
      </w:r>
    </w:p>
    <w:p>
      <w:pPr>
        <w:spacing w:after="0" w:line="106"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position for our product candidates, and the scope of such protection;</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06"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the development of and projections relating to our competitors or our industry; and</w:t>
      </w:r>
    </w:p>
    <w:p>
      <w:pPr>
        <w:spacing w:after="0" w:line="70"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and regulations.</w:t>
      </w:r>
    </w:p>
    <w:p>
      <w:pPr>
        <w:spacing w:after="0" w:line="131" w:lineRule="exact"/>
        <w:rPr>
          <w:sz w:val="20"/>
          <w:szCs w:val="20"/>
          <w:color w:val="auto"/>
        </w:rPr>
      </w:pPr>
    </w:p>
    <w:p>
      <w:pPr>
        <w:ind w:left="1160" w:right="739" w:firstLine="335"/>
        <w:spacing w:after="0" w:line="250"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200" w:lineRule="exact"/>
        <w:rPr>
          <w:sz w:val="20"/>
          <w:szCs w:val="20"/>
          <w:color w:val="auto"/>
        </w:rPr>
      </w:pPr>
    </w:p>
    <w:p>
      <w:pPr>
        <w:spacing w:after="0" w:line="3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39" w:firstLine="335"/>
        <w:spacing w:after="0" w:line="249" w:lineRule="auto"/>
        <w:rPr>
          <w:sz w:val="20"/>
          <w:szCs w:val="20"/>
          <w:color w:val="auto"/>
        </w:rPr>
      </w:pPr>
      <w:r>
        <w:rPr>
          <w:rFonts w:ascii="Times New Roman" w:cs="Times New Roman" w:eastAsia="Times New Roman" w:hAnsi="Times New Roman"/>
          <w:sz w:val="17"/>
          <w:szCs w:val="17"/>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1" w:lineRule="exact"/>
        <w:rPr>
          <w:sz w:val="20"/>
          <w:szCs w:val="20"/>
          <w:color w:val="auto"/>
        </w:rPr>
      </w:pPr>
    </w:p>
    <w:p>
      <w:pPr>
        <w:ind w:left="1160" w:right="879" w:firstLine="335"/>
        <w:spacing w:after="0" w:line="260" w:lineRule="auto"/>
        <w:rPr>
          <w:sz w:val="20"/>
          <w:szCs w:val="20"/>
          <w:color w:val="auto"/>
        </w:rPr>
      </w:pPr>
      <w:r>
        <w:rPr>
          <w:rFonts w:ascii="Times New Roman" w:cs="Times New Roman" w:eastAsia="Times New Roman" w:hAnsi="Times New Roman"/>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1160" w:right="919" w:firstLine="335"/>
        <w:spacing w:after="0" w:line="254" w:lineRule="auto"/>
        <w:rPr>
          <w:sz w:val="20"/>
          <w:szCs w:val="20"/>
          <w:color w:val="auto"/>
        </w:rPr>
      </w:pPr>
      <w:r>
        <w:rPr>
          <w:rFonts w:ascii="Times New Roman" w:cs="Times New Roman" w:eastAsia="Times New Roman" w:hAnsi="Times New Roman"/>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Our certificate of incorporation authorizes us to issue up to 150,000,000 shares of common stock,</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$0.001 par value per share, and 5,000,000 shares of preferred stock, $0.001 par value per share. Our board</w:t>
      </w:r>
    </w:p>
    <w:p>
      <w:pPr>
        <w:ind w:left="1160"/>
        <w:spacing w:after="0"/>
        <w:rPr>
          <w:sz w:val="20"/>
          <w:szCs w:val="20"/>
          <w:color w:val="auto"/>
        </w:rPr>
      </w:pPr>
      <w:r>
        <w:rPr>
          <w:rFonts w:ascii="Times New Roman" w:cs="Times New Roman" w:eastAsia="Times New Roman" w:hAnsi="Times New Roman"/>
          <w:sz w:val="17"/>
          <w:szCs w:val="17"/>
          <w:color w:val="auto"/>
        </w:rPr>
        <w:t>of directors may establish the rights and preferences of the preferred stock from time to time. As of</w:t>
      </w:r>
    </w:p>
    <w:p>
      <w:pPr>
        <w:ind w:left="1160"/>
        <w:spacing w:after="0" w:line="238" w:lineRule="auto"/>
        <w:rPr>
          <w:sz w:val="20"/>
          <w:szCs w:val="20"/>
          <w:color w:val="auto"/>
        </w:rPr>
      </w:pPr>
      <w:r>
        <w:rPr>
          <w:rFonts w:ascii="Times New Roman" w:cs="Times New Roman" w:eastAsia="Times New Roman" w:hAnsi="Times New Roman"/>
          <w:sz w:val="17"/>
          <w:szCs w:val="17"/>
          <w:color w:val="auto"/>
        </w:rPr>
        <w:t>November 7, 2024, we had 8,923,490 shares of common stock outstanding and no shares of preferred stock</w:t>
      </w:r>
    </w:p>
    <w:p>
      <w:pPr>
        <w:ind w:left="1160"/>
        <w:spacing w:after="0"/>
        <w:rPr>
          <w:sz w:val="20"/>
          <w:szCs w:val="20"/>
          <w:color w:val="auto"/>
        </w:rPr>
      </w:pPr>
      <w:r>
        <w:rPr>
          <w:rFonts w:ascii="Times New Roman" w:cs="Times New Roman" w:eastAsia="Times New Roman" w:hAnsi="Times New Roman"/>
          <w:sz w:val="17"/>
          <w:szCs w:val="17"/>
          <w:color w:val="auto"/>
        </w:rPr>
        <w:t>outstanding.</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48" w:lineRule="exact"/>
        <w:rPr>
          <w:sz w:val="20"/>
          <w:szCs w:val="20"/>
          <w:color w:val="auto"/>
        </w:rPr>
      </w:pPr>
    </w:p>
    <w:p>
      <w:pPr>
        <w:ind w:left="1160" w:right="719" w:firstLine="335"/>
        <w:spacing w:after="0" w:line="243"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48" w:lineRule="exact"/>
        <w:rPr>
          <w:sz w:val="20"/>
          <w:szCs w:val="20"/>
          <w:color w:val="auto"/>
        </w:rPr>
      </w:pPr>
    </w:p>
    <w:p>
      <w:pPr>
        <w:ind w:left="1160" w:right="739" w:firstLine="335"/>
        <w:spacing w:after="0" w:line="244" w:lineRule="auto"/>
        <w:rPr>
          <w:sz w:val="20"/>
          <w:szCs w:val="20"/>
          <w:color w:val="auto"/>
        </w:rPr>
      </w:pPr>
      <w:r>
        <w:rPr>
          <w:rFonts w:ascii="Times New Roman" w:cs="Times New Roman" w:eastAsia="Times New Roman" w:hAnsi="Times New Roman"/>
          <w:sz w:val="17"/>
          <w:szCs w:val="17"/>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135" w:lineRule="exact"/>
        <w:rPr>
          <w:sz w:val="20"/>
          <w:szCs w:val="20"/>
          <w:color w:val="auto"/>
        </w:rPr>
      </w:pPr>
    </w:p>
    <w:p>
      <w:pPr>
        <w:ind w:left="1160" w:right="859" w:firstLine="335"/>
        <w:spacing w:after="0" w:line="252"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Rights and Preferences</w:t>
      </w:r>
    </w:p>
    <w:p>
      <w:pPr>
        <w:spacing w:after="0" w:line="148" w:lineRule="exact"/>
        <w:rPr>
          <w:sz w:val="20"/>
          <w:szCs w:val="20"/>
          <w:color w:val="auto"/>
        </w:rPr>
      </w:pPr>
    </w:p>
    <w:p>
      <w:pPr>
        <w:ind w:left="1160" w:right="719" w:firstLine="335"/>
        <w:spacing w:after="0" w:line="242" w:lineRule="auto"/>
        <w:rPr>
          <w:sz w:val="20"/>
          <w:szCs w:val="20"/>
          <w:color w:val="auto"/>
        </w:rPr>
      </w:pPr>
      <w:r>
        <w:rPr>
          <w:rFonts w:ascii="Times New Roman" w:cs="Times New Roman" w:eastAsia="Times New Roman" w:hAnsi="Times New Roman"/>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99"/>
        <w:spacing w:after="0" w:line="273" w:lineRule="auto"/>
        <w:rPr>
          <w:sz w:val="20"/>
          <w:szCs w:val="20"/>
          <w:color w:val="auto"/>
        </w:rPr>
      </w:pPr>
      <w:r>
        <w:rPr>
          <w:rFonts w:ascii="Times New Roman" w:cs="Times New Roman" w:eastAsia="Times New Roman" w:hAnsi="Times New Roman"/>
          <w:sz w:val="17"/>
          <w:szCs w:val="17"/>
          <w:color w:val="auto"/>
        </w:rPr>
        <w:t>directors, without stockholder approval, we may issue shares of preferred stock with voting and conversion rights which could adversely affect the holders of shares of our common stock.</w:t>
      </w:r>
    </w:p>
    <w:p>
      <w:pPr>
        <w:spacing w:after="0" w:line="83" w:lineRule="exact"/>
        <w:rPr>
          <w:sz w:val="20"/>
          <w:szCs w:val="20"/>
          <w:color w:val="auto"/>
        </w:rPr>
      </w:pPr>
    </w:p>
    <w:p>
      <w:pPr>
        <w:ind w:left="1160" w:right="719" w:firstLine="335"/>
        <w:spacing w:after="0" w:line="241" w:lineRule="auto"/>
        <w:rPr>
          <w:sz w:val="20"/>
          <w:szCs w:val="20"/>
          <w:color w:val="auto"/>
        </w:rPr>
      </w:pPr>
      <w:r>
        <w:rPr>
          <w:rFonts w:ascii="Times New Roman" w:cs="Times New Roman" w:eastAsia="Times New Roman" w:hAnsi="Times New Roman"/>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we are offering;</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preference per share;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per share;</w:t>
      </w:r>
    </w:p>
    <w:p>
      <w:pPr>
        <w:spacing w:after="0" w:line="93" w:lineRule="exact"/>
        <w:rPr>
          <w:rFonts w:ascii="Times New Roman" w:cs="Times New Roman" w:eastAsia="Times New Roman" w:hAnsi="Times New Roman"/>
          <w:sz w:val="17"/>
          <w:szCs w:val="17"/>
          <w:color w:val="auto"/>
        </w:rPr>
      </w:pPr>
    </w:p>
    <w:p>
      <w:pPr>
        <w:ind w:left="1660" w:right="129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per share, dividend period and payment dates and method of calculation for dividends;</w:t>
      </w:r>
    </w:p>
    <w:p>
      <w:pPr>
        <w:spacing w:after="0" w:line="45" w:lineRule="exact"/>
        <w:rPr>
          <w:rFonts w:ascii="Times New Roman" w:cs="Times New Roman" w:eastAsia="Times New Roman" w:hAnsi="Times New Roman"/>
          <w:sz w:val="17"/>
          <w:szCs w:val="17"/>
          <w:color w:val="auto"/>
        </w:rPr>
      </w:pPr>
    </w:p>
    <w:p>
      <w:pPr>
        <w:ind w:left="1660" w:right="103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dividends and the maximum length of any such deferral period;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93" w:lineRule="exact"/>
        <w:rPr>
          <w:rFonts w:ascii="Times New Roman" w:cs="Times New Roman" w:eastAsia="Times New Roman" w:hAnsi="Times New Roman"/>
          <w:sz w:val="17"/>
          <w:szCs w:val="17"/>
          <w:color w:val="auto"/>
        </w:rPr>
      </w:pPr>
    </w:p>
    <w:p>
      <w:pPr>
        <w:ind w:left="1660" w:right="113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or repurchase, if applicable, and any restrictions on our ability to exercise those redemption and repurchase rights;</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93" w:lineRule="exact"/>
        <w:rPr>
          <w:rFonts w:ascii="Times New Roman" w:cs="Times New Roman" w:eastAsia="Times New Roman" w:hAnsi="Times New Roman"/>
          <w:sz w:val="17"/>
          <w:szCs w:val="17"/>
          <w:color w:val="auto"/>
        </w:rPr>
      </w:pPr>
    </w:p>
    <w:p>
      <w:pPr>
        <w:ind w:left="1660" w:right="919" w:hanging="161"/>
        <w:spacing w:after="0" w:line="260"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8" w:lineRule="exact"/>
        <w:rPr>
          <w:rFonts w:ascii="Times New Roman" w:cs="Times New Roman" w:eastAsia="Times New Roman" w:hAnsi="Times New Roman"/>
          <w:sz w:val="17"/>
          <w:szCs w:val="17"/>
          <w:color w:val="auto"/>
        </w:rPr>
      </w:pPr>
    </w:p>
    <w:p>
      <w:pPr>
        <w:ind w:left="1660" w:right="919" w:hanging="161"/>
        <w:spacing w:after="0" w:line="260"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into debt securities, and, if applicable, the exchange period, the exchange price, or how it will be calculated, and under what circumstances it may be adjusted;</w:t>
      </w:r>
    </w:p>
    <w:p>
      <w:pPr>
        <w:spacing w:after="0" w:line="5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preemption rights,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transfer, sale or other assignment,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interests in the preferred stock will be represented by depositary shares;</w:t>
      </w:r>
    </w:p>
    <w:p>
      <w:pPr>
        <w:spacing w:after="0" w:line="106" w:lineRule="exact"/>
        <w:rPr>
          <w:rFonts w:ascii="Times New Roman" w:cs="Times New Roman" w:eastAsia="Times New Roman" w:hAnsi="Times New Roman"/>
          <w:sz w:val="17"/>
          <w:szCs w:val="17"/>
          <w:color w:val="auto"/>
        </w:rPr>
      </w:pPr>
    </w:p>
    <w:p>
      <w:pPr>
        <w:ind w:left="1660" w:right="117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considerations applicable to the preferred stock;</w:t>
      </w:r>
    </w:p>
    <w:p>
      <w:pPr>
        <w:spacing w:after="0" w:line="45" w:lineRule="exact"/>
        <w:rPr>
          <w:rFonts w:ascii="Times New Roman" w:cs="Times New Roman" w:eastAsia="Times New Roman" w:hAnsi="Times New Roman"/>
          <w:sz w:val="17"/>
          <w:szCs w:val="17"/>
          <w:color w:val="auto"/>
        </w:rPr>
      </w:pPr>
    </w:p>
    <w:p>
      <w:pPr>
        <w:ind w:left="1660" w:right="113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if we liquidate, dissolve or wind up our affairs;</w:t>
      </w:r>
    </w:p>
    <w:p>
      <w:pPr>
        <w:spacing w:after="0" w:line="45" w:lineRule="exact"/>
        <w:rPr>
          <w:rFonts w:ascii="Times New Roman" w:cs="Times New Roman" w:eastAsia="Times New Roman" w:hAnsi="Times New Roman"/>
          <w:sz w:val="17"/>
          <w:szCs w:val="17"/>
          <w:color w:val="auto"/>
        </w:rPr>
      </w:pPr>
    </w:p>
    <w:p>
      <w:pPr>
        <w:ind w:left="1660" w:right="819" w:hanging="161"/>
        <w:spacing w:after="0" w:line="260"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5" w:lineRule="exact"/>
        <w:rPr>
          <w:rFonts w:ascii="Times New Roman" w:cs="Times New Roman" w:eastAsia="Times New Roman" w:hAnsi="Times New Roman"/>
          <w:sz w:val="17"/>
          <w:szCs w:val="17"/>
          <w:color w:val="auto"/>
        </w:rPr>
      </w:pPr>
    </w:p>
    <w:p>
      <w:pPr>
        <w:ind w:left="1660" w:right="759" w:hanging="161"/>
        <w:spacing w:after="0" w:line="273" w:lineRule="auto"/>
        <w:tabs>
          <w:tab w:leader="none" w:pos="1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preferences, privileges, qualifications or restrictions of the preferred stock.</w:t>
      </w:r>
    </w:p>
    <w:p>
      <w:pPr>
        <w:spacing w:after="0" w:line="96" w:lineRule="exact"/>
        <w:rPr>
          <w:sz w:val="20"/>
          <w:szCs w:val="20"/>
          <w:color w:val="auto"/>
        </w:rPr>
      </w:pPr>
    </w:p>
    <w:p>
      <w:pPr>
        <w:ind w:left="1160" w:right="1099" w:firstLine="335"/>
        <w:spacing w:after="0" w:line="258" w:lineRule="auto"/>
        <w:rPr>
          <w:sz w:val="20"/>
          <w:szCs w:val="20"/>
          <w:color w:val="auto"/>
        </w:rPr>
      </w:pPr>
      <w:r>
        <w:rPr>
          <w:rFonts w:ascii="Times New Roman" w:cs="Times New Roman" w:eastAsia="Times New Roman" w:hAnsi="Times New Roman"/>
          <w:sz w:val="17"/>
          <w:szCs w:val="17"/>
          <w:color w:val="auto"/>
        </w:rPr>
        <w:t>The General Corporation Law of the State of Delaware, or DGCL, the state of our incorporation, provides that the holders of preferred stock will have the right to vote separately as a class (or, in some</w:t>
      </w: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spacing w:after="0" w:line="245" w:lineRule="auto"/>
        <w:rPr>
          <w:sz w:val="20"/>
          <w:szCs w:val="20"/>
          <w:color w:val="auto"/>
        </w:rPr>
      </w:pPr>
      <w:r>
        <w:rPr>
          <w:rFonts w:ascii="Times New Roman" w:cs="Times New Roman" w:eastAsia="Times New Roman" w:hAnsi="Times New Roman"/>
          <w:sz w:val="17"/>
          <w:szCs w:val="17"/>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08" w:lineRule="exact"/>
        <w:rPr>
          <w:sz w:val="20"/>
          <w:szCs w:val="20"/>
          <w:color w:val="auto"/>
        </w:rPr>
      </w:pPr>
    </w:p>
    <w:p>
      <w:pPr>
        <w:ind w:left="1160" w:right="959" w:firstLine="335"/>
        <w:spacing w:after="0" w:line="241" w:lineRule="auto"/>
        <w:rPr>
          <w:sz w:val="20"/>
          <w:szCs w:val="20"/>
          <w:color w:val="auto"/>
        </w:rPr>
      </w:pPr>
      <w:r>
        <w:rPr>
          <w:rFonts w:ascii="Times New Roman" w:cs="Times New Roman" w:eastAsia="Times New Roman" w:hAnsi="Times New Roman"/>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Section 203 of the DGCL</w:t>
      </w:r>
    </w:p>
    <w:p>
      <w:pPr>
        <w:spacing w:after="0" w:line="148" w:lineRule="exact"/>
        <w:rPr>
          <w:sz w:val="20"/>
          <w:szCs w:val="20"/>
          <w:color w:val="auto"/>
        </w:rPr>
      </w:pPr>
    </w:p>
    <w:p>
      <w:pPr>
        <w:ind w:left="1160" w:right="799" w:firstLine="335"/>
        <w:spacing w:after="0" w:line="252" w:lineRule="auto"/>
        <w:rPr>
          <w:sz w:val="20"/>
          <w:szCs w:val="20"/>
          <w:color w:val="auto"/>
        </w:rPr>
      </w:pPr>
      <w:r>
        <w:rPr>
          <w:rFonts w:ascii="Times New Roman" w:cs="Times New Roman" w:eastAsia="Times New Roman" w:hAnsi="Times New Roman"/>
          <w:sz w:val="17"/>
          <w:szCs w:val="17"/>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0" w:lineRule="exact"/>
        <w:rPr>
          <w:sz w:val="20"/>
          <w:szCs w:val="20"/>
          <w:color w:val="auto"/>
        </w:rPr>
      </w:pPr>
    </w:p>
    <w:p>
      <w:pPr>
        <w:ind w:left="1660" w:right="819" w:hanging="161"/>
        <w:spacing w:after="0" w:line="273" w:lineRule="auto"/>
        <w:tabs>
          <w:tab w:leader="none" w:pos="1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such date, the board of directors of the corporation approved either the business combination or the transaction that resulted in the stockholder becoming an interested stockholder;</w:t>
      </w:r>
    </w:p>
    <w:p>
      <w:pPr>
        <w:spacing w:after="0" w:line="57" w:lineRule="exact"/>
        <w:rPr>
          <w:rFonts w:ascii="Times New Roman" w:cs="Times New Roman" w:eastAsia="Times New Roman" w:hAnsi="Times New Roman"/>
          <w:sz w:val="17"/>
          <w:szCs w:val="17"/>
          <w:color w:val="auto"/>
        </w:rPr>
      </w:pPr>
    </w:p>
    <w:p>
      <w:pPr>
        <w:ind w:left="1660" w:right="739" w:hanging="161"/>
        <w:spacing w:after="0" w:line="251" w:lineRule="auto"/>
        <w:tabs>
          <w:tab w:leader="none" w:pos="1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6" w:lineRule="exact"/>
        <w:rPr>
          <w:rFonts w:ascii="Times New Roman" w:cs="Times New Roman" w:eastAsia="Times New Roman" w:hAnsi="Times New Roman"/>
          <w:sz w:val="17"/>
          <w:szCs w:val="17"/>
          <w:color w:val="auto"/>
        </w:rPr>
      </w:pPr>
    </w:p>
    <w:p>
      <w:pPr>
        <w:ind w:left="1660" w:right="699" w:hanging="161"/>
        <w:spacing w:after="0" w:line="268" w:lineRule="auto"/>
        <w:tabs>
          <w:tab w:leader="none" w:pos="1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7"/>
          <w:szCs w:val="17"/>
          <w:color w:val="auto"/>
        </w:rPr>
        <w:t>% of the outstanding voting stock that is not owned by the interested stockholder.</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In general, Section 203 defines a “business combination” to include the following:</w:t>
      </w:r>
    </w:p>
    <w:p>
      <w:pPr>
        <w:spacing w:after="0" w:line="106" w:lineRule="exact"/>
        <w:rPr>
          <w:sz w:val="20"/>
          <w:szCs w:val="20"/>
          <w:color w:val="auto"/>
        </w:rPr>
      </w:pPr>
    </w:p>
    <w:p>
      <w:pPr>
        <w:ind w:left="1660" w:hanging="161"/>
        <w:spacing w:after="0"/>
        <w:tabs>
          <w:tab w:leader="none" w:pos="1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106" w:lineRule="exact"/>
        <w:rPr>
          <w:rFonts w:ascii="Times New Roman" w:cs="Times New Roman" w:eastAsia="Times New Roman" w:hAnsi="Times New Roman"/>
          <w:sz w:val="17"/>
          <w:szCs w:val="17"/>
          <w:color w:val="auto"/>
        </w:rPr>
      </w:pPr>
    </w:p>
    <w:p>
      <w:pPr>
        <w:ind w:left="1660" w:right="1319" w:hanging="161"/>
        <w:spacing w:after="0" w:line="273" w:lineRule="auto"/>
        <w:tabs>
          <w:tab w:leader="none" w:pos="1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corporation involving the interested stockholder;</w:t>
      </w:r>
    </w:p>
    <w:p>
      <w:pPr>
        <w:spacing w:after="0" w:line="45" w:lineRule="exact"/>
        <w:rPr>
          <w:rFonts w:ascii="Times New Roman" w:cs="Times New Roman" w:eastAsia="Times New Roman" w:hAnsi="Times New Roman"/>
          <w:sz w:val="17"/>
          <w:szCs w:val="17"/>
          <w:color w:val="auto"/>
        </w:rPr>
      </w:pPr>
    </w:p>
    <w:p>
      <w:pPr>
        <w:ind w:left="1660" w:right="1519" w:hanging="161"/>
        <w:spacing w:after="0" w:line="273" w:lineRule="auto"/>
        <w:tabs>
          <w:tab w:leader="none" w:pos="1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57" w:lineRule="exact"/>
        <w:rPr>
          <w:rFonts w:ascii="Times New Roman" w:cs="Times New Roman" w:eastAsia="Times New Roman" w:hAnsi="Times New Roman"/>
          <w:sz w:val="17"/>
          <w:szCs w:val="17"/>
          <w:color w:val="auto"/>
        </w:rPr>
      </w:pPr>
    </w:p>
    <w:p>
      <w:pPr>
        <w:jc w:val="both"/>
        <w:ind w:left="1660" w:right="819" w:hanging="161"/>
        <w:spacing w:after="0" w:line="266" w:lineRule="auto"/>
        <w:tabs>
          <w:tab w:leader="none" w:pos="1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270" w:lineRule="exact"/>
        <w:rPr>
          <w:rFonts w:ascii="Times New Roman" w:cs="Times New Roman" w:eastAsia="Times New Roman" w:hAnsi="Times New Roman"/>
          <w:sz w:val="17"/>
          <w:szCs w:val="17"/>
          <w:color w:val="auto"/>
        </w:rPr>
      </w:pPr>
    </w:p>
    <w:p>
      <w:pPr>
        <w:ind w:left="1660" w:right="739" w:hanging="161"/>
        <w:spacing w:after="0" w:line="273" w:lineRule="auto"/>
        <w:tabs>
          <w:tab w:leader="none" w:pos="1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by or through the corporation.</w:t>
      </w:r>
    </w:p>
    <w:p>
      <w:pPr>
        <w:spacing w:after="0" w:line="83" w:lineRule="exact"/>
        <w:rPr>
          <w:sz w:val="20"/>
          <w:szCs w:val="20"/>
          <w:color w:val="auto"/>
        </w:rPr>
      </w:pPr>
    </w:p>
    <w:p>
      <w:pPr>
        <w:ind w:left="1160" w:right="839" w:firstLine="335"/>
        <w:spacing w:after="0" w:line="246"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Certificate of Incorporation and Bylaws</w:t>
      </w:r>
    </w:p>
    <w:p>
      <w:pPr>
        <w:spacing w:after="0" w:line="135" w:lineRule="exact"/>
        <w:rPr>
          <w:sz w:val="20"/>
          <w:szCs w:val="20"/>
          <w:color w:val="auto"/>
        </w:rPr>
      </w:pPr>
    </w:p>
    <w:p>
      <w:pPr>
        <w:ind w:left="1160" w:right="799" w:firstLine="335"/>
        <w:spacing w:after="0" w:line="245" w:lineRule="auto"/>
        <w:rPr>
          <w:sz w:val="20"/>
          <w:szCs w:val="20"/>
          <w:color w:val="auto"/>
        </w:rPr>
      </w:pPr>
      <w:r>
        <w:rPr>
          <w:rFonts w:ascii="Times New Roman" w:cs="Times New Roman" w:eastAsia="Times New Roman" w:hAnsi="Times New Roman"/>
          <w:sz w:val="17"/>
          <w:szCs w:val="17"/>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pacing w:after="0" w:line="3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spacing w:after="0" w:line="253" w:lineRule="auto"/>
        <w:rPr>
          <w:sz w:val="20"/>
          <w:szCs w:val="20"/>
          <w:color w:val="auto"/>
        </w:rPr>
      </w:pPr>
      <w:r>
        <w:rPr>
          <w:rFonts w:ascii="Times New Roman" w:cs="Times New Roman" w:eastAsia="Times New Roman" w:hAnsi="Times New Roman"/>
          <w:sz w:val="17"/>
          <w:szCs w:val="17"/>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3" w:lineRule="exact"/>
        <w:rPr>
          <w:sz w:val="20"/>
          <w:szCs w:val="20"/>
          <w:color w:val="auto"/>
        </w:rPr>
      </w:pPr>
    </w:p>
    <w:p>
      <w:pPr>
        <w:ind w:left="1160" w:right="939" w:firstLine="335"/>
        <w:spacing w:after="0" w:line="253" w:lineRule="auto"/>
        <w:rPr>
          <w:sz w:val="20"/>
          <w:szCs w:val="20"/>
          <w:color w:val="auto"/>
        </w:rPr>
      </w:pPr>
      <w:r>
        <w:rPr>
          <w:rFonts w:ascii="Times New Roman" w:cs="Times New Roman" w:eastAsia="Times New Roman" w:hAnsi="Times New Roman"/>
          <w:sz w:val="17"/>
          <w:szCs w:val="17"/>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13" w:lineRule="exact"/>
        <w:rPr>
          <w:sz w:val="20"/>
          <w:szCs w:val="20"/>
          <w:color w:val="auto"/>
        </w:rPr>
      </w:pPr>
    </w:p>
    <w:p>
      <w:pPr>
        <w:ind w:left="1160" w:right="719" w:firstLine="335"/>
        <w:spacing w:after="0" w:line="251" w:lineRule="auto"/>
        <w:rPr>
          <w:sz w:val="20"/>
          <w:szCs w:val="20"/>
          <w:color w:val="auto"/>
        </w:rPr>
      </w:pPr>
      <w:r>
        <w:rPr>
          <w:rFonts w:ascii="Times New Roman" w:cs="Times New Roman" w:eastAsia="Times New Roman" w:hAnsi="Times New Roman"/>
          <w:sz w:val="17"/>
          <w:szCs w:val="17"/>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02"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48" w:lineRule="exact"/>
        <w:rPr>
          <w:sz w:val="20"/>
          <w:szCs w:val="20"/>
          <w:color w:val="auto"/>
        </w:rPr>
      </w:pPr>
    </w:p>
    <w:p>
      <w:pPr>
        <w:jc w:val="both"/>
        <w:ind w:left="1160" w:right="759" w:firstLine="335"/>
        <w:spacing w:after="0" w:line="260" w:lineRule="auto"/>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 with offices at 48 Wall Street, 23rd floor. New York NY 10043. The transfer agent for any series of preferred stock that we may offer under this prospectus will be named and described in the prospectus supplement for that series.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Listing on Nasdaq</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98" w:lineRule="exact"/>
        <w:rPr>
          <w:sz w:val="20"/>
          <w:szCs w:val="20"/>
          <w:color w:val="auto"/>
        </w:rPr>
      </w:pPr>
    </w:p>
    <w:p>
      <w:pPr>
        <w:ind w:left="1160" w:right="839" w:firstLine="335"/>
        <w:spacing w:after="0" w:line="251" w:lineRule="auto"/>
        <w:rPr>
          <w:sz w:val="20"/>
          <w:szCs w:val="20"/>
          <w:color w:val="auto"/>
        </w:rPr>
      </w:pPr>
      <w:r>
        <w:rPr>
          <w:rFonts w:ascii="Times New Roman" w:cs="Times New Roman" w:eastAsia="Times New Roman" w:hAnsi="Times New Roman"/>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4" w:lineRule="exact"/>
        <w:rPr>
          <w:sz w:val="20"/>
          <w:szCs w:val="20"/>
          <w:color w:val="auto"/>
        </w:rPr>
      </w:pPr>
    </w:p>
    <w:p>
      <w:pPr>
        <w:ind w:left="1160" w:right="759" w:firstLine="335"/>
        <w:spacing w:after="0" w:line="252" w:lineRule="auto"/>
        <w:rPr>
          <w:sz w:val="20"/>
          <w:szCs w:val="20"/>
          <w:color w:val="auto"/>
        </w:rPr>
      </w:pPr>
      <w:r>
        <w:rPr>
          <w:rFonts w:ascii="Times New Roman" w:cs="Times New Roman" w:eastAsia="Times New Roman" w:hAnsi="Times New Roman"/>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50" w:lineRule="exact"/>
        <w:rPr>
          <w:sz w:val="20"/>
          <w:szCs w:val="20"/>
          <w:color w:val="auto"/>
        </w:rPr>
      </w:pPr>
    </w:p>
    <w:p>
      <w:pPr>
        <w:ind w:left="1160" w:right="719" w:firstLine="335"/>
        <w:spacing w:after="0" w:line="253" w:lineRule="auto"/>
        <w:rPr>
          <w:sz w:val="20"/>
          <w:szCs w:val="20"/>
          <w:color w:val="auto"/>
        </w:rPr>
      </w:pPr>
      <w:r>
        <w:rPr>
          <w:rFonts w:ascii="Times New Roman" w:cs="Times New Roman" w:eastAsia="Times New Roman" w:hAnsi="Times New Roman"/>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98" w:lineRule="exact"/>
        <w:rPr>
          <w:sz w:val="20"/>
          <w:szCs w:val="20"/>
          <w:color w:val="auto"/>
        </w:rPr>
      </w:pPr>
    </w:p>
    <w:p>
      <w:pPr>
        <w:ind w:left="1160" w:right="859" w:firstLine="335"/>
        <w:spacing w:after="0" w:line="252"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63" w:lineRule="exact"/>
        <w:rPr>
          <w:sz w:val="20"/>
          <w:szCs w:val="20"/>
          <w:color w:val="auto"/>
        </w:rPr>
      </w:pPr>
    </w:p>
    <w:p>
      <w:pPr>
        <w:ind w:left="1160" w:right="699" w:firstLine="335"/>
        <w:spacing w:after="0" w:line="252" w:lineRule="auto"/>
        <w:rPr>
          <w:sz w:val="20"/>
          <w:szCs w:val="20"/>
          <w:color w:val="auto"/>
        </w:rPr>
      </w:pPr>
      <w:r>
        <w:rPr>
          <w:rFonts w:ascii="Times New Roman" w:cs="Times New Roman" w:eastAsia="Times New Roman" w:hAnsi="Times New Roman"/>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50" w:lineRule="exact"/>
        <w:rPr>
          <w:sz w:val="20"/>
          <w:szCs w:val="20"/>
          <w:color w:val="auto"/>
        </w:rPr>
      </w:pPr>
    </w:p>
    <w:p>
      <w:pPr>
        <w:ind w:left="1160" w:right="699" w:firstLine="335"/>
        <w:spacing w:after="0" w:line="273"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of the series of debt securities being offered, including:</w:t>
      </w:r>
    </w:p>
    <w:p>
      <w:pPr>
        <w:spacing w:after="0" w:line="70" w:lineRule="exact"/>
        <w:rPr>
          <w:sz w:val="20"/>
          <w:szCs w:val="20"/>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debt securities;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upon the aggregate principal amount that may be issued;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or dates;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the debt securities of the series;</w:t>
      </w:r>
    </w:p>
    <w:p>
      <w:pPr>
        <w:spacing w:after="0" w:line="11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applicability of any guarantees;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debt securities will be secured or unsecured, and the terms of any secured debt;</w:t>
      </w:r>
    </w:p>
    <w:p>
      <w:pPr>
        <w:spacing w:after="0" w:line="106" w:lineRule="exact"/>
        <w:rPr>
          <w:rFonts w:ascii="Times New Roman" w:cs="Times New Roman" w:eastAsia="Times New Roman" w:hAnsi="Times New Roman"/>
          <w:sz w:val="17"/>
          <w:szCs w:val="17"/>
          <w:color w:val="auto"/>
        </w:rPr>
      </w:pPr>
    </w:p>
    <w:p>
      <w:pPr>
        <w:ind w:left="1660" w:right="939" w:hanging="161"/>
        <w:spacing w:after="0" w:line="273" w:lineRule="auto"/>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rank as senior debt, senior subordinated debt, subordinated debt or any combination thereof, and the terms of any subordination;</w:t>
      </w:r>
    </w:p>
    <w:p>
      <w:pPr>
        <w:spacing w:after="0" w:line="57" w:lineRule="exact"/>
        <w:rPr>
          <w:rFonts w:ascii="Times New Roman" w:cs="Times New Roman" w:eastAsia="Times New Roman" w:hAnsi="Times New Roman"/>
          <w:sz w:val="17"/>
          <w:szCs w:val="17"/>
          <w:color w:val="auto"/>
        </w:rPr>
      </w:pPr>
    </w:p>
    <w:p>
      <w:pPr>
        <w:ind w:left="1660" w:right="699" w:hanging="161"/>
        <w:spacing w:after="0" w:line="253" w:lineRule="auto"/>
        <w:tabs>
          <w:tab w:leader="none" w:pos="1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3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60" w:right="819" w:hanging="161"/>
        <w:spacing w:after="0" w:line="260"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interest and the maximum length of any such deferral period;</w:t>
      </w:r>
    </w:p>
    <w:p>
      <w:pPr>
        <w:spacing w:after="0" w:line="106" w:lineRule="exact"/>
        <w:rPr>
          <w:rFonts w:ascii="Times New Roman" w:cs="Times New Roman" w:eastAsia="Times New Roman" w:hAnsi="Times New Roman"/>
          <w:sz w:val="17"/>
          <w:szCs w:val="17"/>
          <w:color w:val="auto"/>
        </w:rPr>
      </w:pPr>
    </w:p>
    <w:p>
      <w:pPr>
        <w:ind w:left="1660" w:right="839" w:hanging="161"/>
        <w:spacing w:after="0" w:line="260"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55" w:lineRule="exact"/>
        <w:rPr>
          <w:rFonts w:ascii="Times New Roman" w:cs="Times New Roman" w:eastAsia="Times New Roman" w:hAnsi="Times New Roman"/>
          <w:sz w:val="17"/>
          <w:szCs w:val="17"/>
          <w:color w:val="auto"/>
        </w:rPr>
      </w:pPr>
    </w:p>
    <w:p>
      <w:pPr>
        <w:ind w:left="1660" w:right="779" w:hanging="161"/>
        <w:spacing w:after="0" w:line="255"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3" w:lineRule="exact"/>
        <w:rPr>
          <w:rFonts w:ascii="Times New Roman" w:cs="Times New Roman" w:eastAsia="Times New Roman" w:hAnsi="Times New Roman"/>
          <w:sz w:val="17"/>
          <w:szCs w:val="17"/>
          <w:color w:val="auto"/>
        </w:rPr>
      </w:pPr>
    </w:p>
    <w:p>
      <w:pPr>
        <w:ind w:left="1660" w:right="75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w:t>
      </w:r>
    </w:p>
    <w:p>
      <w:pPr>
        <w:spacing w:after="0" w:line="45" w:lineRule="exact"/>
        <w:rPr>
          <w:rFonts w:ascii="Times New Roman" w:cs="Times New Roman" w:eastAsia="Times New Roman" w:hAnsi="Times New Roman"/>
          <w:sz w:val="17"/>
          <w:szCs w:val="17"/>
          <w:color w:val="auto"/>
        </w:rPr>
      </w:pPr>
    </w:p>
    <w:p>
      <w:pPr>
        <w:jc w:val="both"/>
        <w:ind w:left="1660" w:right="899" w:hanging="161"/>
        <w:spacing w:after="0" w:line="260"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8" w:lineRule="exact"/>
        <w:rPr>
          <w:rFonts w:ascii="Times New Roman" w:cs="Times New Roman" w:eastAsia="Times New Roman" w:hAnsi="Times New Roman"/>
          <w:sz w:val="17"/>
          <w:szCs w:val="17"/>
          <w:color w:val="auto"/>
        </w:rPr>
      </w:pPr>
    </w:p>
    <w:p>
      <w:pPr>
        <w:ind w:left="1660" w:right="101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of the series shall be issued in whole or in part in the form of a global security or securities;</w:t>
      </w:r>
    </w:p>
    <w:p>
      <w:pPr>
        <w:spacing w:after="0" w:line="45" w:lineRule="exact"/>
        <w:rPr>
          <w:rFonts w:ascii="Times New Roman" w:cs="Times New Roman" w:eastAsia="Times New Roman" w:hAnsi="Times New Roman"/>
          <w:sz w:val="17"/>
          <w:szCs w:val="17"/>
          <w:color w:val="auto"/>
        </w:rPr>
      </w:pPr>
    </w:p>
    <w:p>
      <w:pPr>
        <w:ind w:left="1660" w:right="83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such global security or securities may be exchanged in whole or in part for other individual securities;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for such global security or securities;</w:t>
      </w:r>
    </w:p>
    <w:p>
      <w:pPr>
        <w:spacing w:after="0" w:line="106" w:lineRule="exact"/>
        <w:rPr>
          <w:rFonts w:ascii="Times New Roman" w:cs="Times New Roman" w:eastAsia="Times New Roman" w:hAnsi="Times New Roman"/>
          <w:sz w:val="17"/>
          <w:szCs w:val="17"/>
          <w:color w:val="auto"/>
        </w:rPr>
      </w:pPr>
    </w:p>
    <w:p>
      <w:pPr>
        <w:ind w:left="1660" w:right="719" w:hanging="161"/>
        <w:spacing w:after="0" w:line="252"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2" w:lineRule="exact"/>
        <w:rPr>
          <w:rFonts w:ascii="Times New Roman" w:cs="Times New Roman" w:eastAsia="Times New Roman" w:hAnsi="Times New Roman"/>
          <w:sz w:val="17"/>
          <w:szCs w:val="17"/>
          <w:color w:val="auto"/>
        </w:rPr>
      </w:pPr>
    </w:p>
    <w:p>
      <w:pPr>
        <w:ind w:left="1660" w:right="83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57" w:lineRule="exact"/>
        <w:rPr>
          <w:rFonts w:ascii="Times New Roman" w:cs="Times New Roman" w:eastAsia="Times New Roman" w:hAnsi="Times New Roman"/>
          <w:sz w:val="17"/>
          <w:szCs w:val="17"/>
          <w:color w:val="auto"/>
        </w:rPr>
      </w:pPr>
    </w:p>
    <w:p>
      <w:pPr>
        <w:ind w:left="1660" w:right="107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covenants applicable to the particular debt securities being issued, including, among others, the consolidation, merger or sale covenant;</w:t>
      </w:r>
    </w:p>
    <w:p>
      <w:pPr>
        <w:spacing w:after="0" w:line="45" w:lineRule="exact"/>
        <w:rPr>
          <w:rFonts w:ascii="Times New Roman" w:cs="Times New Roman" w:eastAsia="Times New Roman" w:hAnsi="Times New Roman"/>
          <w:sz w:val="17"/>
          <w:szCs w:val="17"/>
          <w:color w:val="auto"/>
        </w:rPr>
      </w:pPr>
    </w:p>
    <w:p>
      <w:pPr>
        <w:ind w:left="1660" w:right="859" w:hanging="161"/>
        <w:spacing w:after="0" w:line="260"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8" w:lineRule="exact"/>
        <w:rPr>
          <w:rFonts w:ascii="Times New Roman" w:cs="Times New Roman" w:eastAsia="Times New Roman" w:hAnsi="Times New Roman"/>
          <w:sz w:val="17"/>
          <w:szCs w:val="17"/>
          <w:color w:val="auto"/>
        </w:rPr>
      </w:pPr>
    </w:p>
    <w:p>
      <w:pPr>
        <w:ind w:left="1660" w:right="97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satisfaction and discharge of the indenture;</w:t>
      </w:r>
    </w:p>
    <w:p>
      <w:pPr>
        <w:spacing w:after="0" w:line="93" w:lineRule="exact"/>
        <w:rPr>
          <w:rFonts w:ascii="Times New Roman" w:cs="Times New Roman" w:eastAsia="Times New Roman" w:hAnsi="Times New Roman"/>
          <w:sz w:val="17"/>
          <w:szCs w:val="17"/>
          <w:color w:val="auto"/>
        </w:rPr>
      </w:pPr>
    </w:p>
    <w:p>
      <w:pPr>
        <w:ind w:left="1660" w:right="85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the modification of the indenture both with and without the consent of holders of debt securities issued under the indenture;</w:t>
      </w:r>
    </w:p>
    <w:p>
      <w:pPr>
        <w:spacing w:after="0" w:line="57" w:lineRule="exact"/>
        <w:rPr>
          <w:rFonts w:ascii="Times New Roman" w:cs="Times New Roman" w:eastAsia="Times New Roman" w:hAnsi="Times New Roman"/>
          <w:sz w:val="17"/>
          <w:szCs w:val="17"/>
          <w:color w:val="auto"/>
        </w:rPr>
      </w:pPr>
    </w:p>
    <w:p>
      <w:pPr>
        <w:ind w:left="1660" w:right="87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payment of debt securities if other than U.S. dollars and the manner of determining the equivalent amount in U.S. dollars;</w:t>
      </w:r>
    </w:p>
    <w:p>
      <w:pPr>
        <w:spacing w:after="0" w:line="57" w:lineRule="exact"/>
        <w:rPr>
          <w:rFonts w:ascii="Times New Roman" w:cs="Times New Roman" w:eastAsia="Times New Roman" w:hAnsi="Times New Roman"/>
          <w:sz w:val="17"/>
          <w:szCs w:val="17"/>
          <w:color w:val="auto"/>
        </w:rPr>
      </w:pPr>
    </w:p>
    <w:p>
      <w:pPr>
        <w:ind w:left="1660" w:right="739" w:hanging="161"/>
        <w:spacing w:after="0" w:line="273"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 will be payable in cash or additional debt securities at our or the holders’ option and the terms and conditions upon which the election may be made;</w:t>
      </w:r>
    </w:p>
    <w:p>
      <w:pPr>
        <w:spacing w:after="0" w:line="45" w:lineRule="exact"/>
        <w:rPr>
          <w:rFonts w:ascii="Times New Roman" w:cs="Times New Roman" w:eastAsia="Times New Roman" w:hAnsi="Times New Roman"/>
          <w:sz w:val="17"/>
          <w:szCs w:val="17"/>
          <w:color w:val="auto"/>
        </w:rPr>
      </w:pPr>
    </w:p>
    <w:p>
      <w:pPr>
        <w:jc w:val="both"/>
        <w:ind w:left="1660" w:right="859" w:hanging="161"/>
        <w:spacing w:after="0" w:line="260" w:lineRule="auto"/>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transfer, sale or assignment of the debt securities of the series; and</w:t>
      </w:r>
    </w:p>
    <w:p>
      <w:pPr>
        <w:spacing w:after="0" w:line="37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60" w:right="739" w:hanging="161"/>
        <w:spacing w:after="0" w:line="260" w:lineRule="auto"/>
        <w:tabs>
          <w:tab w:leader="none" w:pos="1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Conversion or Exchange Rights</w:t>
      </w:r>
    </w:p>
    <w:p>
      <w:pPr>
        <w:spacing w:after="0" w:line="98" w:lineRule="exact"/>
        <w:rPr>
          <w:sz w:val="20"/>
          <w:szCs w:val="20"/>
          <w:color w:val="auto"/>
        </w:rPr>
      </w:pPr>
    </w:p>
    <w:p>
      <w:pPr>
        <w:ind w:left="1160" w:right="759" w:firstLine="335"/>
        <w:spacing w:after="0" w:line="252" w:lineRule="auto"/>
        <w:rPr>
          <w:sz w:val="20"/>
          <w:szCs w:val="20"/>
          <w:color w:val="auto"/>
        </w:rPr>
      </w:pPr>
      <w:r>
        <w:rPr>
          <w:rFonts w:ascii="Times New Roman" w:cs="Times New Roman" w:eastAsia="Times New Roman" w:hAnsi="Times New Roman"/>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Consolidation, Merger or Sale</w:t>
      </w:r>
    </w:p>
    <w:p>
      <w:pPr>
        <w:spacing w:after="0" w:line="98" w:lineRule="exact"/>
        <w:rPr>
          <w:sz w:val="20"/>
          <w:szCs w:val="20"/>
          <w:color w:val="auto"/>
        </w:rPr>
      </w:pPr>
    </w:p>
    <w:p>
      <w:pPr>
        <w:ind w:left="1160" w:right="699" w:firstLine="335"/>
        <w:spacing w:after="0" w:line="253"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Events of Default under the Indenture</w:t>
      </w:r>
    </w:p>
    <w:p>
      <w:pPr>
        <w:spacing w:after="0" w:line="85" w:lineRule="exact"/>
        <w:rPr>
          <w:sz w:val="20"/>
          <w:szCs w:val="20"/>
          <w:color w:val="auto"/>
        </w:rPr>
      </w:pPr>
    </w:p>
    <w:p>
      <w:pPr>
        <w:ind w:left="1160" w:right="1099" w:firstLine="335"/>
        <w:spacing w:after="0" w:line="260" w:lineRule="auto"/>
        <w:rPr>
          <w:sz w:val="20"/>
          <w:szCs w:val="20"/>
          <w:color w:val="auto"/>
        </w:rPr>
      </w:pPr>
      <w:r>
        <w:rPr>
          <w:rFonts w:ascii="Times New Roman" w:cs="Times New Roman" w:eastAsia="Times New Roman" w:hAnsi="Times New Roman"/>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94" w:lineRule="exact"/>
        <w:rPr>
          <w:sz w:val="20"/>
          <w:szCs w:val="20"/>
          <w:color w:val="auto"/>
        </w:rPr>
      </w:pPr>
    </w:p>
    <w:p>
      <w:pPr>
        <w:ind w:left="1660" w:right="879" w:hanging="161"/>
        <w:spacing w:after="0" w:line="254" w:lineRule="auto"/>
        <w:tabs>
          <w:tab w:leader="none" w:pos="1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90" w:lineRule="exact"/>
        <w:rPr>
          <w:rFonts w:ascii="Times New Roman" w:cs="Times New Roman" w:eastAsia="Times New Roman" w:hAnsi="Times New Roman"/>
          <w:sz w:val="17"/>
          <w:szCs w:val="17"/>
          <w:color w:val="auto"/>
        </w:rPr>
      </w:pPr>
    </w:p>
    <w:p>
      <w:pPr>
        <w:ind w:left="1660" w:right="779" w:hanging="161"/>
        <w:spacing w:after="0" w:line="252" w:lineRule="auto"/>
        <w:tabs>
          <w:tab w:leader="none" w:pos="1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7" w:lineRule="exact"/>
        <w:rPr>
          <w:rFonts w:ascii="Times New Roman" w:cs="Times New Roman" w:eastAsia="Times New Roman" w:hAnsi="Times New Roman"/>
          <w:sz w:val="17"/>
          <w:szCs w:val="17"/>
          <w:color w:val="auto"/>
        </w:rPr>
      </w:pPr>
    </w:p>
    <w:p>
      <w:pPr>
        <w:ind w:left="1660" w:right="739" w:hanging="161"/>
        <w:spacing w:after="0" w:line="253" w:lineRule="auto"/>
        <w:tabs>
          <w:tab w:leader="none" w:pos="1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00"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specified events of bankruptcy, insolvency or reorganization occur.</w:t>
      </w:r>
    </w:p>
    <w:p>
      <w:pPr>
        <w:spacing w:after="0" w:line="81" w:lineRule="exact"/>
        <w:rPr>
          <w:sz w:val="20"/>
          <w:szCs w:val="20"/>
          <w:color w:val="auto"/>
        </w:rPr>
      </w:pPr>
    </w:p>
    <w:p>
      <w:pPr>
        <w:ind w:left="1160" w:right="719" w:firstLine="335"/>
        <w:spacing w:after="0" w:line="250"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271" w:lineRule="exact"/>
        <w:rPr>
          <w:sz w:val="20"/>
          <w:szCs w:val="20"/>
          <w:color w:val="auto"/>
        </w:rPr>
      </w:pPr>
    </w:p>
    <w:p>
      <w:pPr>
        <w:ind w:left="1160" w:right="759" w:firstLine="335"/>
        <w:spacing w:after="0" w:line="273"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debt securities of an affected series may waive any default or event of default with respect to the series and its consequences, except defaults or</w:t>
      </w:r>
    </w:p>
    <w:p>
      <w:pPr>
        <w:spacing w:after="0" w:line="3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939"/>
        <w:spacing w:after="0" w:line="260" w:lineRule="auto"/>
        <w:rPr>
          <w:sz w:val="20"/>
          <w:szCs w:val="20"/>
          <w:color w:val="auto"/>
        </w:rPr>
      </w:pPr>
      <w:r>
        <w:rPr>
          <w:rFonts w:ascii="Times New Roman" w:cs="Times New Roman" w:eastAsia="Times New Roman" w:hAnsi="Times New Roman"/>
          <w:sz w:val="17"/>
          <w:szCs w:val="17"/>
          <w:color w:val="auto"/>
        </w:rPr>
        <w:t>events of default regarding payment of principal, premium, if any, or interest, unless we have cured the default or event of default in accordance with the indenture. Any waiver shall cure the default or event of default.</w:t>
      </w:r>
    </w:p>
    <w:p>
      <w:pPr>
        <w:spacing w:after="0" w:line="56" w:lineRule="exact"/>
        <w:rPr>
          <w:sz w:val="20"/>
          <w:szCs w:val="20"/>
          <w:color w:val="auto"/>
        </w:rPr>
      </w:pPr>
    </w:p>
    <w:p>
      <w:pPr>
        <w:ind w:left="1160" w:right="739" w:firstLine="335"/>
        <w:spacing w:after="0" w:line="251" w:lineRule="auto"/>
        <w:rPr>
          <w:sz w:val="20"/>
          <w:szCs w:val="20"/>
          <w:color w:val="auto"/>
        </w:rPr>
      </w:pPr>
      <w:r>
        <w:rPr>
          <w:rFonts w:ascii="Times New Roman" w:cs="Times New Roman" w:eastAsia="Times New Roman" w:hAnsi="Times New Roman"/>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7" w:lineRule="exact"/>
        <w:rPr>
          <w:sz w:val="20"/>
          <w:szCs w:val="20"/>
          <w:color w:val="auto"/>
        </w:rPr>
      </w:pPr>
    </w:p>
    <w:p>
      <w:pPr>
        <w:ind w:left="1660" w:hanging="161"/>
        <w:spacing w:after="0"/>
        <w:tabs>
          <w:tab w:leader="none" w:pos="1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direction so given by the holder is not in conflict with any law or the applicable indenture; and</w:t>
      </w:r>
    </w:p>
    <w:p>
      <w:pPr>
        <w:spacing w:after="0" w:line="106" w:lineRule="exact"/>
        <w:rPr>
          <w:rFonts w:ascii="Times New Roman" w:cs="Times New Roman" w:eastAsia="Times New Roman" w:hAnsi="Times New Roman"/>
          <w:sz w:val="17"/>
          <w:szCs w:val="17"/>
          <w:color w:val="auto"/>
        </w:rPr>
      </w:pPr>
    </w:p>
    <w:p>
      <w:pPr>
        <w:ind w:left="1660" w:right="1019" w:hanging="161"/>
        <w:spacing w:after="0" w:line="260" w:lineRule="auto"/>
        <w:tabs>
          <w:tab w:leader="none" w:pos="1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56" w:lineRule="exact"/>
        <w:rPr>
          <w:sz w:val="20"/>
          <w:szCs w:val="20"/>
          <w:color w:val="auto"/>
        </w:rPr>
      </w:pPr>
    </w:p>
    <w:p>
      <w:pPr>
        <w:ind w:left="1160" w:right="1159" w:firstLine="335"/>
        <w:spacing w:after="0" w:line="273" w:lineRule="auto"/>
        <w:rPr>
          <w:sz w:val="20"/>
          <w:szCs w:val="20"/>
          <w:color w:val="auto"/>
        </w:rPr>
      </w:pPr>
      <w:r>
        <w:rPr>
          <w:rFonts w:ascii="Times New Roman" w:cs="Times New Roman" w:eastAsia="Times New Roman" w:hAnsi="Times New Roman"/>
          <w:sz w:val="17"/>
          <w:szCs w:val="17"/>
          <w:color w:val="auto"/>
        </w:rPr>
        <w:t>A holder of the debt securities of any series will have the right to institute a proceeding under the indenture or to appoint a receiver or trustee, or to seek other remedies only if:</w:t>
      </w:r>
    </w:p>
    <w:p>
      <w:pPr>
        <w:spacing w:after="0" w:line="58" w:lineRule="exact"/>
        <w:rPr>
          <w:sz w:val="20"/>
          <w:szCs w:val="20"/>
          <w:color w:val="auto"/>
        </w:rPr>
      </w:pPr>
    </w:p>
    <w:p>
      <w:pPr>
        <w:ind w:left="1660" w:right="799" w:hanging="161"/>
        <w:spacing w:after="0" w:line="273" w:lineRule="auto"/>
        <w:tabs>
          <w:tab w:leader="none" w:pos="1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given written notice to the trustee of a continuing event of default with respect to that series;</w:t>
      </w:r>
    </w:p>
    <w:p>
      <w:pPr>
        <w:spacing w:after="0" w:line="57" w:lineRule="exact"/>
        <w:rPr>
          <w:rFonts w:ascii="Times New Roman" w:cs="Times New Roman" w:eastAsia="Times New Roman" w:hAnsi="Times New Roman"/>
          <w:sz w:val="17"/>
          <w:szCs w:val="17"/>
          <w:color w:val="auto"/>
        </w:rPr>
      </w:pPr>
    </w:p>
    <w:p>
      <w:pPr>
        <w:ind w:left="1660" w:right="939" w:hanging="161"/>
        <w:spacing w:after="0" w:line="273" w:lineRule="auto"/>
        <w:tabs>
          <w:tab w:leader="none" w:pos="1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the outstanding debt securities of that series have made written request,</w:t>
      </w:r>
    </w:p>
    <w:p>
      <w:pPr>
        <w:spacing w:after="0" w:line="57"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holders have offered to the trustee indemnity satisfactory to it against the costs, expenses and liabilities to be incurred by the trustee in compliance with the request; and</w:t>
      </w:r>
    </w:p>
    <w:p>
      <w:pPr>
        <w:spacing w:after="0" w:line="57" w:lineRule="exact"/>
        <w:rPr>
          <w:rFonts w:ascii="Times New Roman" w:cs="Times New Roman" w:eastAsia="Times New Roman" w:hAnsi="Times New Roman"/>
          <w:sz w:val="17"/>
          <w:szCs w:val="17"/>
          <w:color w:val="auto"/>
        </w:rPr>
      </w:pPr>
    </w:p>
    <w:p>
      <w:pPr>
        <w:ind w:left="1660" w:right="899" w:hanging="161"/>
        <w:spacing w:after="0" w:line="260" w:lineRule="auto"/>
        <w:tabs>
          <w:tab w:leader="none" w:pos="1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56" w:lineRule="exact"/>
        <w:rPr>
          <w:sz w:val="20"/>
          <w:szCs w:val="20"/>
          <w:color w:val="auto"/>
        </w:rPr>
      </w:pPr>
    </w:p>
    <w:p>
      <w:pPr>
        <w:ind w:left="1160" w:right="1099" w:firstLine="335"/>
        <w:spacing w:after="0" w:line="273" w:lineRule="auto"/>
        <w:rPr>
          <w:sz w:val="20"/>
          <w:szCs w:val="20"/>
          <w:color w:val="auto"/>
        </w:rPr>
      </w:pPr>
      <w:r>
        <w:rPr>
          <w:rFonts w:ascii="Times New Roman" w:cs="Times New Roman" w:eastAsia="Times New Roman" w:hAnsi="Times New Roman"/>
          <w:sz w:val="17"/>
          <w:szCs w:val="17"/>
          <w:color w:val="auto"/>
        </w:rPr>
        <w:t>These limitations do not apply to a suit instituted by a holder of debt securities if we default in the payment of the principal, premium, if any, or interest on, the debt securities.</w:t>
      </w:r>
    </w:p>
    <w:p>
      <w:pPr>
        <w:spacing w:after="0" w:line="45" w:lineRule="exact"/>
        <w:rPr>
          <w:sz w:val="20"/>
          <w:szCs w:val="20"/>
          <w:color w:val="auto"/>
        </w:rPr>
      </w:pPr>
    </w:p>
    <w:p>
      <w:pPr>
        <w:ind w:left="1160" w:right="739" w:firstLine="335"/>
        <w:spacing w:after="0" w:line="273" w:lineRule="auto"/>
        <w:rPr>
          <w:sz w:val="20"/>
          <w:szCs w:val="20"/>
          <w:color w:val="auto"/>
        </w:rPr>
      </w:pPr>
      <w:r>
        <w:rPr>
          <w:rFonts w:ascii="Times New Roman" w:cs="Times New Roman" w:eastAsia="Times New Roman" w:hAnsi="Times New Roman"/>
          <w:sz w:val="17"/>
          <w:szCs w:val="17"/>
          <w:color w:val="auto"/>
        </w:rPr>
        <w:t>We will periodically file statements with the trustee regarding our compliance with specified covenants in the indenture.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Modification of Indenture; Waiver</w:t>
      </w:r>
    </w:p>
    <w:p>
      <w:pPr>
        <w:spacing w:after="0" w:line="85" w:lineRule="exact"/>
        <w:rPr>
          <w:sz w:val="20"/>
          <w:szCs w:val="20"/>
          <w:color w:val="auto"/>
        </w:rPr>
      </w:pPr>
    </w:p>
    <w:p>
      <w:pPr>
        <w:ind w:left="1160" w:right="759" w:firstLine="335"/>
        <w:spacing w:after="0" w:line="273" w:lineRule="auto"/>
        <w:rPr>
          <w:sz w:val="20"/>
          <w:szCs w:val="20"/>
          <w:color w:val="auto"/>
        </w:rPr>
      </w:pPr>
      <w:r>
        <w:rPr>
          <w:rFonts w:ascii="Times New Roman" w:cs="Times New Roman" w:eastAsia="Times New Roman" w:hAnsi="Times New Roman"/>
          <w:sz w:val="17"/>
          <w:szCs w:val="17"/>
          <w:color w:val="auto"/>
        </w:rPr>
        <w:t>We and the trustee may change an indenture without the consent of any holders with respect to specific matters:</w:t>
      </w:r>
    </w:p>
    <w:p>
      <w:pPr>
        <w:spacing w:after="0" w:line="58" w:lineRule="exact"/>
        <w:rPr>
          <w:sz w:val="20"/>
          <w:szCs w:val="20"/>
          <w:color w:val="auto"/>
        </w:rPr>
      </w:pPr>
    </w:p>
    <w:p>
      <w:pPr>
        <w:ind w:left="1660" w:hanging="161"/>
        <w:spacing w:after="0"/>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indenture or in the debt securities of any series;</w:t>
      </w:r>
    </w:p>
    <w:p>
      <w:pPr>
        <w:spacing w:after="0" w:line="118" w:lineRule="exact"/>
        <w:rPr>
          <w:rFonts w:ascii="Times New Roman" w:cs="Times New Roman" w:eastAsia="Times New Roman" w:hAnsi="Times New Roman"/>
          <w:sz w:val="17"/>
          <w:szCs w:val="17"/>
          <w:color w:val="auto"/>
        </w:rPr>
      </w:pPr>
    </w:p>
    <w:p>
      <w:pPr>
        <w:ind w:left="1660" w:right="1639" w:hanging="161"/>
        <w:spacing w:after="0" w:line="273" w:lineRule="auto"/>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provisions described above under “Description of Debt Securities — Consolidation, Merger or Sale”;</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debt securities in addition to or in place of certificated debt securities;</w:t>
      </w:r>
    </w:p>
    <w:p>
      <w:pPr>
        <w:spacing w:after="0" w:line="106" w:lineRule="exact"/>
        <w:rPr>
          <w:rFonts w:ascii="Times New Roman" w:cs="Times New Roman" w:eastAsia="Times New Roman" w:hAnsi="Times New Roman"/>
          <w:sz w:val="17"/>
          <w:szCs w:val="17"/>
          <w:color w:val="auto"/>
        </w:rPr>
      </w:pPr>
    </w:p>
    <w:p>
      <w:pPr>
        <w:ind w:left="1660" w:right="759" w:hanging="161"/>
        <w:spacing w:after="0" w:line="253" w:lineRule="auto"/>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7"/>
          <w:szCs w:val="17"/>
          <w:color w:val="auto"/>
        </w:rPr>
      </w:pPr>
    </w:p>
    <w:p>
      <w:pPr>
        <w:ind w:left="1660" w:right="739" w:hanging="161"/>
        <w:spacing w:after="0" w:line="266" w:lineRule="auto"/>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270" w:lineRule="exact"/>
        <w:rPr>
          <w:rFonts w:ascii="Times New Roman" w:cs="Times New Roman" w:eastAsia="Times New Roman" w:hAnsi="Times New Roman"/>
          <w:sz w:val="17"/>
          <w:szCs w:val="17"/>
          <w:color w:val="auto"/>
        </w:rPr>
      </w:pPr>
    </w:p>
    <w:p>
      <w:pPr>
        <w:ind w:left="1660" w:right="719" w:hanging="161"/>
        <w:spacing w:after="0" w:line="273" w:lineRule="auto"/>
        <w:tabs>
          <w:tab w:leader="none" w:pos="1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interests of any holder of debt securities of any series in any material respect;</w:t>
      </w:r>
    </w:p>
    <w:p>
      <w:pPr>
        <w:spacing w:after="0" w:line="3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60" w:right="859" w:hanging="161"/>
        <w:spacing w:after="0" w:line="255" w:lineRule="auto"/>
        <w:tabs>
          <w:tab w:leader="none" w:pos="1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Times New Roman" w:cs="Times New Roman" w:eastAsia="Times New Roman" w:hAnsi="Times New Roman"/>
          <w:sz w:val="17"/>
          <w:szCs w:val="17"/>
          <w:color w:val="auto"/>
        </w:rPr>
      </w:pPr>
    </w:p>
    <w:p>
      <w:pPr>
        <w:ind w:left="1660" w:right="1219" w:hanging="161"/>
        <w:spacing w:after="0" w:line="273" w:lineRule="auto"/>
        <w:tabs>
          <w:tab w:leader="none" w:pos="1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under any indenture by a successor trustee; or</w:t>
      </w:r>
    </w:p>
    <w:p>
      <w:pPr>
        <w:spacing w:after="0" w:line="70" w:lineRule="exact"/>
        <w:rPr>
          <w:rFonts w:ascii="Times New Roman" w:cs="Times New Roman" w:eastAsia="Times New Roman" w:hAnsi="Times New Roman"/>
          <w:sz w:val="17"/>
          <w:szCs w:val="17"/>
          <w:color w:val="auto"/>
        </w:rPr>
      </w:pPr>
    </w:p>
    <w:p>
      <w:pPr>
        <w:ind w:left="1660" w:right="959" w:hanging="161"/>
        <w:spacing w:after="0" w:line="273" w:lineRule="auto"/>
        <w:tabs>
          <w:tab w:leader="none" w:pos="1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any requirements of the SEC in connection with the qualification of any indenture under the Trust Indenture Act.</w:t>
      </w:r>
    </w:p>
    <w:p>
      <w:pPr>
        <w:spacing w:after="0" w:line="33" w:lineRule="exact"/>
        <w:rPr>
          <w:sz w:val="20"/>
          <w:szCs w:val="20"/>
          <w:color w:val="auto"/>
        </w:rPr>
      </w:pPr>
    </w:p>
    <w:p>
      <w:pPr>
        <w:ind w:left="1160" w:right="719" w:firstLine="335"/>
        <w:spacing w:after="0" w:line="253" w:lineRule="auto"/>
        <w:rPr>
          <w:sz w:val="20"/>
          <w:szCs w:val="20"/>
          <w:color w:val="auto"/>
        </w:rPr>
      </w:pPr>
      <w:r>
        <w:rPr>
          <w:rFonts w:ascii="Times New Roman" w:cs="Times New Roman" w:eastAsia="Times New Roman" w:hAnsi="Times New Roman"/>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1660" w:hanging="161"/>
        <w:spacing w:after="0"/>
        <w:tabs>
          <w:tab w:leader="none" w:pos="1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fixed maturity of any debt securities of any series;</w:t>
      </w:r>
    </w:p>
    <w:p>
      <w:pPr>
        <w:spacing w:after="0" w:line="106" w:lineRule="exact"/>
        <w:rPr>
          <w:rFonts w:ascii="Times New Roman" w:cs="Times New Roman" w:eastAsia="Times New Roman" w:hAnsi="Times New Roman"/>
          <w:sz w:val="17"/>
          <w:szCs w:val="17"/>
          <w:color w:val="auto"/>
        </w:rPr>
      </w:pPr>
    </w:p>
    <w:p>
      <w:pPr>
        <w:ind w:left="1660" w:right="879" w:hanging="161"/>
        <w:spacing w:after="0" w:line="273" w:lineRule="auto"/>
        <w:tabs>
          <w:tab w:leader="none" w:pos="1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principal amount, reducing the rate of or extending the time of payment of interest, or reducing any premium payable upon the redemption of any series of any debt securities; or</w:t>
      </w:r>
    </w:p>
    <w:p>
      <w:pPr>
        <w:spacing w:after="0" w:line="70" w:lineRule="exact"/>
        <w:rPr>
          <w:rFonts w:ascii="Times New Roman" w:cs="Times New Roman" w:eastAsia="Times New Roman" w:hAnsi="Times New Roman"/>
          <w:sz w:val="17"/>
          <w:szCs w:val="17"/>
          <w:color w:val="auto"/>
        </w:rPr>
      </w:pPr>
    </w:p>
    <w:p>
      <w:pPr>
        <w:ind w:left="1660" w:right="1239" w:hanging="161"/>
        <w:spacing w:after="0" w:line="273" w:lineRule="auto"/>
        <w:tabs>
          <w:tab w:leader="none" w:pos="1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percentage of debt securities, the holders of which are required to consent to any amendment, supplement, modification or waiver.</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85" w:lineRule="exact"/>
        <w:rPr>
          <w:sz w:val="20"/>
          <w:szCs w:val="20"/>
          <w:color w:val="auto"/>
        </w:rPr>
      </w:pPr>
    </w:p>
    <w:p>
      <w:pPr>
        <w:ind w:left="1160" w:right="819" w:firstLine="335"/>
        <w:spacing w:after="0" w:line="273" w:lineRule="auto"/>
        <w:rPr>
          <w:sz w:val="20"/>
          <w:szCs w:val="20"/>
          <w:color w:val="auto"/>
        </w:rPr>
      </w:pPr>
      <w:r>
        <w:rPr>
          <w:rFonts w:ascii="Times New Roman" w:cs="Times New Roman" w:eastAsia="Times New Roman" w:hAnsi="Times New Roman"/>
          <w:sz w:val="17"/>
          <w:szCs w:val="17"/>
          <w:color w:val="auto"/>
        </w:rPr>
        <w:t>Each indenture provides that we can elect to be discharged from our obligations with respect to one or more series of debt securities, except for specified obligations, including obligations to:</w:t>
      </w:r>
    </w:p>
    <w:p>
      <w:pPr>
        <w:spacing w:after="0" w:line="58" w:lineRule="exact"/>
        <w:rPr>
          <w:sz w:val="20"/>
          <w:szCs w:val="20"/>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payment;</w:t>
      </w:r>
    </w:p>
    <w:p>
      <w:pPr>
        <w:spacing w:after="0" w:line="11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or exchange of debt securities of the series;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 stolen, lost or mutilated debt securities of the series;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principal of and premium and interest on any debt securities of the series;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paying agencies;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monies for payment in trust;</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 excess money held by the trustee;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 and indemnify the trustee; and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any successor trustee.</w:t>
      </w:r>
    </w:p>
    <w:p>
      <w:pPr>
        <w:spacing w:after="0" w:line="94" w:lineRule="exact"/>
        <w:rPr>
          <w:sz w:val="20"/>
          <w:szCs w:val="20"/>
          <w:color w:val="auto"/>
        </w:rPr>
      </w:pPr>
    </w:p>
    <w:p>
      <w:pPr>
        <w:jc w:val="both"/>
        <w:ind w:left="1160" w:right="779" w:firstLine="335"/>
        <w:spacing w:after="0" w:line="260" w:lineRule="auto"/>
        <w:rPr>
          <w:sz w:val="20"/>
          <w:szCs w:val="20"/>
          <w:color w:val="auto"/>
        </w:rPr>
      </w:pPr>
      <w:r>
        <w:rPr>
          <w:rFonts w:ascii="Times New Roman" w:cs="Times New Roman" w:eastAsia="Times New Roman" w:hAnsi="Times New Roman"/>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Form, Exchange and Transfer</w:t>
      </w:r>
    </w:p>
    <w:p>
      <w:pPr>
        <w:spacing w:after="0" w:line="98" w:lineRule="exact"/>
        <w:rPr>
          <w:sz w:val="20"/>
          <w:szCs w:val="20"/>
          <w:color w:val="auto"/>
        </w:rPr>
      </w:pPr>
    </w:p>
    <w:p>
      <w:pPr>
        <w:ind w:left="1160" w:right="839" w:firstLine="335"/>
        <w:spacing w:after="0" w:line="250" w:lineRule="auto"/>
        <w:rPr>
          <w:sz w:val="20"/>
          <w:szCs w:val="20"/>
          <w:color w:val="auto"/>
        </w:rPr>
      </w:pPr>
      <w:r>
        <w:rPr>
          <w:rFonts w:ascii="Times New Roman" w:cs="Times New Roman" w:eastAsia="Times New Roman" w:hAnsi="Times New Roman"/>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55" w:lineRule="exact"/>
        <w:rPr>
          <w:sz w:val="20"/>
          <w:szCs w:val="20"/>
          <w:color w:val="auto"/>
        </w:rPr>
      </w:pPr>
    </w:p>
    <w:p>
      <w:pPr>
        <w:ind w:left="1160" w:right="719" w:firstLine="335"/>
        <w:spacing w:after="0" w:line="273" w:lineRule="auto"/>
        <w:rPr>
          <w:sz w:val="20"/>
          <w:szCs w:val="20"/>
          <w:color w:val="auto"/>
        </w:rPr>
      </w:pPr>
      <w:r>
        <w:rPr>
          <w:rFonts w:ascii="Times New Roman" w:cs="Times New Roman" w:eastAsia="Times New Roman" w:hAnsi="Times New Roman"/>
          <w:sz w:val="17"/>
          <w:szCs w:val="17"/>
          <w:color w:val="auto"/>
        </w:rPr>
        <w:t>At the option of the holder, subject to the terms of the indenture and the limitations applicable to global securities described in the applicable prospectus supplement, the holder of the debt securities of any</w:t>
      </w: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1299"/>
        <w:spacing w:after="0" w:line="273" w:lineRule="auto"/>
        <w:rPr>
          <w:sz w:val="20"/>
          <w:szCs w:val="20"/>
          <w:color w:val="auto"/>
        </w:rPr>
      </w:pPr>
      <w:r>
        <w:rPr>
          <w:rFonts w:ascii="Times New Roman" w:cs="Times New Roman" w:eastAsia="Times New Roman" w:hAnsi="Times New Roman"/>
          <w:sz w:val="17"/>
          <w:szCs w:val="17"/>
          <w:color w:val="auto"/>
        </w:rPr>
        <w:t>series can exchange the debt securities for other debt securities of the same series, in any authorized denomination and of like tenor and aggregate principal amount.</w:t>
      </w:r>
    </w:p>
    <w:p>
      <w:pPr>
        <w:spacing w:after="0" w:line="33" w:lineRule="exact"/>
        <w:rPr>
          <w:sz w:val="20"/>
          <w:szCs w:val="20"/>
          <w:color w:val="auto"/>
        </w:rPr>
      </w:pPr>
    </w:p>
    <w:p>
      <w:pPr>
        <w:ind w:left="1160" w:right="739" w:firstLine="335"/>
        <w:spacing w:after="0" w:line="241" w:lineRule="auto"/>
        <w:rPr>
          <w:sz w:val="20"/>
          <w:szCs w:val="20"/>
          <w:color w:val="auto"/>
        </w:rPr>
      </w:pPr>
      <w:r>
        <w:rPr>
          <w:rFonts w:ascii="Times New Roman" w:cs="Times New Roman" w:eastAsia="Times New Roman" w:hAnsi="Times New Roman"/>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58" w:lineRule="exact"/>
        <w:rPr>
          <w:sz w:val="20"/>
          <w:szCs w:val="20"/>
          <w:color w:val="auto"/>
        </w:rPr>
      </w:pPr>
    </w:p>
    <w:p>
      <w:pPr>
        <w:ind w:left="1160" w:right="759" w:firstLine="335"/>
        <w:spacing w:after="0" w:line="241" w:lineRule="auto"/>
        <w:rPr>
          <w:sz w:val="20"/>
          <w:szCs w:val="20"/>
          <w:color w:val="auto"/>
        </w:rPr>
      </w:pPr>
      <w:r>
        <w:rPr>
          <w:rFonts w:ascii="Times New Roman" w:cs="Times New Roman" w:eastAsia="Times New Roman" w:hAnsi="Times New Roman"/>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If we elect to redeem the debt securities of any series, we will not be required to:</w:t>
      </w:r>
    </w:p>
    <w:p>
      <w:pPr>
        <w:spacing w:after="0" w:line="94" w:lineRule="exact"/>
        <w:rPr>
          <w:sz w:val="20"/>
          <w:szCs w:val="20"/>
          <w:color w:val="auto"/>
        </w:rPr>
      </w:pPr>
    </w:p>
    <w:p>
      <w:pPr>
        <w:ind w:left="1660" w:right="719" w:hanging="161"/>
        <w:spacing w:after="0" w:line="255" w:lineRule="auto"/>
        <w:tabs>
          <w:tab w:leader="none" w:pos="1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Times New Roman" w:cs="Times New Roman" w:eastAsia="Times New Roman" w:hAnsi="Times New Roman"/>
          <w:sz w:val="17"/>
          <w:szCs w:val="17"/>
          <w:color w:val="auto"/>
        </w:rPr>
      </w:pPr>
    </w:p>
    <w:p>
      <w:pPr>
        <w:ind w:left="1660" w:right="1039" w:hanging="161"/>
        <w:spacing w:after="0" w:line="273" w:lineRule="auto"/>
        <w:tabs>
          <w:tab w:leader="none" w:pos="1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transfer of or exchange any debt securities so selected for redemption, in whole or in part, except the unredeemed portion of any debt securities we are redeeming in part.</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98" w:lineRule="exact"/>
        <w:rPr>
          <w:sz w:val="20"/>
          <w:szCs w:val="20"/>
          <w:color w:val="auto"/>
        </w:rPr>
      </w:pPr>
    </w:p>
    <w:p>
      <w:pPr>
        <w:ind w:left="1160" w:right="699" w:firstLine="335"/>
        <w:spacing w:after="0" w:line="241" w:lineRule="auto"/>
        <w:rPr>
          <w:sz w:val="20"/>
          <w:szCs w:val="20"/>
          <w:color w:val="auto"/>
        </w:rPr>
      </w:pPr>
      <w:r>
        <w:rPr>
          <w:rFonts w:ascii="Times New Roman" w:cs="Times New Roman" w:eastAsia="Times New Roman" w:hAnsi="Times New Roman"/>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98" w:lineRule="exact"/>
        <w:rPr>
          <w:sz w:val="20"/>
          <w:szCs w:val="20"/>
          <w:color w:val="auto"/>
        </w:rPr>
      </w:pPr>
    </w:p>
    <w:p>
      <w:pPr>
        <w:ind w:left="1160" w:right="759" w:firstLine="335"/>
        <w:spacing w:after="0" w:line="245" w:lineRule="auto"/>
        <w:rPr>
          <w:sz w:val="20"/>
          <w:szCs w:val="20"/>
          <w:color w:val="auto"/>
        </w:rPr>
      </w:pPr>
      <w:r>
        <w:rPr>
          <w:rFonts w:ascii="Times New Roman" w:cs="Times New Roman" w:eastAsia="Times New Roman" w:hAnsi="Times New Roman"/>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56" w:lineRule="exact"/>
        <w:rPr>
          <w:sz w:val="20"/>
          <w:szCs w:val="20"/>
          <w:color w:val="auto"/>
        </w:rPr>
      </w:pPr>
    </w:p>
    <w:p>
      <w:pPr>
        <w:ind w:left="1160" w:right="719" w:firstLine="335"/>
        <w:spacing w:after="0" w:line="239" w:lineRule="auto"/>
        <w:rPr>
          <w:sz w:val="20"/>
          <w:szCs w:val="20"/>
          <w:color w:val="auto"/>
        </w:rPr>
      </w:pPr>
      <w:r>
        <w:rPr>
          <w:rFonts w:ascii="Times New Roman" w:cs="Times New Roman" w:eastAsia="Times New Roman" w:hAnsi="Times New Roman"/>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64" w:lineRule="exact"/>
        <w:rPr>
          <w:sz w:val="20"/>
          <w:szCs w:val="20"/>
          <w:color w:val="auto"/>
        </w:rPr>
      </w:pPr>
    </w:p>
    <w:p>
      <w:pPr>
        <w:ind w:left="1160" w:right="859" w:firstLine="335"/>
        <w:spacing w:after="0" w:line="245" w:lineRule="auto"/>
        <w:rPr>
          <w:sz w:val="20"/>
          <w:szCs w:val="20"/>
          <w:color w:val="auto"/>
        </w:rPr>
      </w:pPr>
      <w:r>
        <w:rPr>
          <w:rFonts w:ascii="Times New Roman" w:cs="Times New Roman" w:eastAsia="Times New Roman" w:hAnsi="Times New Roman"/>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98" w:lineRule="exact"/>
        <w:rPr>
          <w:sz w:val="20"/>
          <w:szCs w:val="20"/>
          <w:color w:val="auto"/>
        </w:rPr>
      </w:pPr>
    </w:p>
    <w:p>
      <w:pPr>
        <w:ind w:left="1160" w:right="719" w:firstLine="335"/>
        <w:spacing w:after="0" w:line="258" w:lineRule="auto"/>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internal laws of the State of New York, except to the extent that the Trust Indenture Act is applicable.</w:t>
      </w: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48" w:lineRule="exact"/>
        <w:rPr>
          <w:sz w:val="20"/>
          <w:szCs w:val="20"/>
          <w:color w:val="auto"/>
        </w:rPr>
      </w:pPr>
    </w:p>
    <w:p>
      <w:pPr>
        <w:ind w:left="1160" w:right="859" w:firstLine="335"/>
        <w:spacing w:after="0" w:line="249"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17" w:lineRule="exact"/>
        <w:rPr>
          <w:sz w:val="20"/>
          <w:szCs w:val="20"/>
          <w:color w:val="auto"/>
        </w:rPr>
      </w:pPr>
    </w:p>
    <w:p>
      <w:pPr>
        <w:ind w:left="1160" w:right="879" w:firstLine="335"/>
        <w:spacing w:after="0" w:line="249" w:lineRule="auto"/>
        <w:rPr>
          <w:sz w:val="20"/>
          <w:szCs w:val="20"/>
          <w:color w:val="auto"/>
        </w:rPr>
      </w:pPr>
      <w:r>
        <w:rPr>
          <w:rFonts w:ascii="Times New Roman" w:cs="Times New Roman" w:eastAsia="Times New Roman" w:hAnsi="Times New Roman"/>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35" w:lineRule="exact"/>
        <w:rPr>
          <w:sz w:val="20"/>
          <w:szCs w:val="20"/>
          <w:color w:val="auto"/>
        </w:rPr>
      </w:pPr>
    </w:p>
    <w:p>
      <w:pPr>
        <w:ind w:left="1160" w:right="1099" w:firstLine="335"/>
        <w:spacing w:after="0" w:line="273" w:lineRule="auto"/>
        <w:rPr>
          <w:sz w:val="20"/>
          <w:szCs w:val="20"/>
          <w:color w:val="auto"/>
        </w:rPr>
      </w:pPr>
      <w:r>
        <w:rPr>
          <w:rFonts w:ascii="Times New Roman" w:cs="Times New Roman" w:eastAsia="Times New Roman" w:hAnsi="Times New Roman"/>
          <w:sz w:val="17"/>
          <w:szCs w:val="17"/>
          <w:color w:val="auto"/>
        </w:rPr>
        <w:t>We will describe in the applicable prospectus supplement the terms relating to a series of warrants being offered, including, to the extent applicable:</w:t>
      </w:r>
    </w:p>
    <w:p>
      <w:pPr>
        <w:spacing w:after="0" w:line="70" w:lineRule="exact"/>
        <w:rPr>
          <w:sz w:val="20"/>
          <w:szCs w:val="20"/>
          <w:color w:val="auto"/>
        </w:rPr>
      </w:pPr>
    </w:p>
    <w:p>
      <w:pPr>
        <w:ind w:left="1660" w:hanging="161"/>
        <w:spacing w:after="0"/>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such securities;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or prices and aggregate number of warrants offered;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for which the warrants may be purchased;</w:t>
      </w:r>
    </w:p>
    <w:p>
      <w:pPr>
        <w:spacing w:after="0" w:line="106" w:lineRule="exact"/>
        <w:rPr>
          <w:rFonts w:ascii="Times New Roman" w:cs="Times New Roman" w:eastAsia="Times New Roman" w:hAnsi="Times New Roman"/>
          <w:sz w:val="17"/>
          <w:szCs w:val="17"/>
          <w:color w:val="auto"/>
        </w:rPr>
      </w:pPr>
    </w:p>
    <w:p>
      <w:pPr>
        <w:ind w:left="1660" w:right="879" w:hanging="161"/>
        <w:spacing w:after="0" w:line="273"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securities with which the warrants are issued and the number of warrants issued with each such security or each principal amount of such security;</w:t>
      </w:r>
    </w:p>
    <w:p>
      <w:pPr>
        <w:spacing w:after="0" w:line="70" w:lineRule="exact"/>
        <w:rPr>
          <w:rFonts w:ascii="Times New Roman" w:cs="Times New Roman" w:eastAsia="Times New Roman" w:hAnsi="Times New Roman"/>
          <w:sz w:val="17"/>
          <w:szCs w:val="17"/>
          <w:color w:val="auto"/>
        </w:rPr>
      </w:pPr>
    </w:p>
    <w:p>
      <w:pPr>
        <w:ind w:left="1660" w:right="979" w:hanging="161"/>
        <w:spacing w:after="0" w:line="273"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on and after which the warrants and the related securities will be separately transferable;</w:t>
      </w:r>
    </w:p>
    <w:p>
      <w:pPr>
        <w:spacing w:after="0" w:line="57" w:lineRule="exact"/>
        <w:rPr>
          <w:rFonts w:ascii="Times New Roman" w:cs="Times New Roman" w:eastAsia="Times New Roman" w:hAnsi="Times New Roman"/>
          <w:sz w:val="17"/>
          <w:szCs w:val="17"/>
          <w:color w:val="auto"/>
        </w:rPr>
      </w:pPr>
    </w:p>
    <w:p>
      <w:pPr>
        <w:ind w:left="1660" w:right="719" w:hanging="161"/>
        <w:spacing w:after="0" w:line="273"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such warrants which may be exercised at any one time;</w:t>
      </w:r>
    </w:p>
    <w:p>
      <w:pPr>
        <w:spacing w:after="0" w:line="57" w:lineRule="exact"/>
        <w:rPr>
          <w:rFonts w:ascii="Times New Roman" w:cs="Times New Roman" w:eastAsia="Times New Roman" w:hAnsi="Times New Roman"/>
          <w:sz w:val="17"/>
          <w:szCs w:val="17"/>
          <w:color w:val="auto"/>
        </w:rPr>
      </w:pPr>
    </w:p>
    <w:p>
      <w:pPr>
        <w:ind w:left="1660" w:right="1319" w:hanging="161"/>
        <w:spacing w:after="0" w:line="260"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8" w:lineRule="exact"/>
        <w:rPr>
          <w:rFonts w:ascii="Times New Roman" w:cs="Times New Roman" w:eastAsia="Times New Roman" w:hAnsi="Times New Roman"/>
          <w:sz w:val="17"/>
          <w:szCs w:val="17"/>
          <w:color w:val="auto"/>
        </w:rPr>
      </w:pPr>
    </w:p>
    <w:p>
      <w:pPr>
        <w:ind w:left="1660" w:right="859" w:hanging="161"/>
        <w:spacing w:after="0" w:line="257"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289" w:lineRule="exact"/>
        <w:rPr>
          <w:rFonts w:ascii="Times New Roman" w:cs="Times New Roman" w:eastAsia="Times New Roman" w:hAnsi="Times New Roman"/>
          <w:sz w:val="17"/>
          <w:szCs w:val="17"/>
          <w:color w:val="auto"/>
        </w:rPr>
      </w:pPr>
    </w:p>
    <w:p>
      <w:pPr>
        <w:ind w:left="1660" w:right="1179" w:hanging="161"/>
        <w:spacing w:after="0" w:line="273" w:lineRule="auto"/>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merger, consolidation, sale or other disposition of our business on the warrant agreements and the warrants;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force the exercise of the warrants;</w:t>
      </w:r>
    </w:p>
    <w:p>
      <w:pPr>
        <w:spacing w:after="0" w:line="37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60" w:right="959" w:hanging="161"/>
        <w:spacing w:after="0" w:line="273" w:lineRule="auto"/>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changes to or adjustments in the exercise price or number of securities issuable upon exercise of the warrants;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the right to exercise the warrants will commence and expire;</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warrant agreements and warrants may be modified;</w:t>
      </w:r>
    </w:p>
    <w:p>
      <w:pPr>
        <w:spacing w:after="0" w:line="93" w:lineRule="exact"/>
        <w:rPr>
          <w:rFonts w:ascii="Times New Roman" w:cs="Times New Roman" w:eastAsia="Times New Roman" w:hAnsi="Times New Roman"/>
          <w:sz w:val="17"/>
          <w:szCs w:val="17"/>
          <w:color w:val="auto"/>
        </w:rPr>
      </w:pPr>
    </w:p>
    <w:p>
      <w:pPr>
        <w:ind w:left="1660" w:right="699" w:hanging="161"/>
        <w:spacing w:after="0" w:line="273" w:lineRule="auto"/>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consequences of holding or exercising the warrants;</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securities issuable upon exercise of the warrants; and</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warrants.</w:t>
      </w:r>
    </w:p>
    <w:p>
      <w:pPr>
        <w:spacing w:after="0" w:line="131" w:lineRule="exact"/>
        <w:rPr>
          <w:sz w:val="20"/>
          <w:szCs w:val="20"/>
          <w:color w:val="auto"/>
        </w:rPr>
      </w:pPr>
    </w:p>
    <w:p>
      <w:pPr>
        <w:ind w:left="1160" w:right="939" w:firstLine="335"/>
        <w:spacing w:after="0" w:line="273" w:lineRule="auto"/>
        <w:rPr>
          <w:sz w:val="20"/>
          <w:szCs w:val="20"/>
          <w:color w:val="auto"/>
        </w:rPr>
      </w:pPr>
      <w:r>
        <w:rPr>
          <w:rFonts w:ascii="Times New Roman" w:cs="Times New Roman" w:eastAsia="Times New Roman" w:hAnsi="Times New Roman"/>
          <w:sz w:val="17"/>
          <w:szCs w:val="17"/>
          <w:color w:val="auto"/>
        </w:rPr>
        <w:t>Before exercising their warrants, holders of warrants will not have any of the rights of holders of the securities purchasable upon such exercise, including:</w:t>
      </w:r>
    </w:p>
    <w:p>
      <w:pPr>
        <w:spacing w:after="0" w:line="45" w:lineRule="exact"/>
        <w:rPr>
          <w:sz w:val="20"/>
          <w:szCs w:val="20"/>
          <w:color w:val="auto"/>
        </w:rPr>
      </w:pPr>
    </w:p>
    <w:p>
      <w:pPr>
        <w:ind w:left="1660" w:right="759" w:hanging="161"/>
        <w:spacing w:after="0" w:line="260" w:lineRule="auto"/>
        <w:tabs>
          <w:tab w:leader="none" w:pos="1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5" w:lineRule="exact"/>
        <w:rPr>
          <w:rFonts w:ascii="Times New Roman" w:cs="Times New Roman" w:eastAsia="Times New Roman" w:hAnsi="Times New Roman"/>
          <w:sz w:val="17"/>
          <w:szCs w:val="17"/>
          <w:color w:val="auto"/>
        </w:rPr>
      </w:pPr>
    </w:p>
    <w:p>
      <w:pPr>
        <w:ind w:left="1660" w:right="859" w:hanging="161"/>
        <w:spacing w:after="0" w:line="266" w:lineRule="auto"/>
        <w:tabs>
          <w:tab w:leader="none" w:pos="1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warrants to purchase common stock or preferred stock, the right to receive dividends, if any, or, payments upon our liquidation, dissolution or winding up or to exercise voting rights, if any.</w:t>
      </w:r>
    </w:p>
    <w:p>
      <w:pPr>
        <w:spacing w:after="0" w:line="3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Exercise of Warrants</w:t>
      </w:r>
    </w:p>
    <w:p>
      <w:pPr>
        <w:spacing w:after="0" w:line="148" w:lineRule="exact"/>
        <w:rPr>
          <w:sz w:val="20"/>
          <w:szCs w:val="20"/>
          <w:color w:val="auto"/>
        </w:rPr>
      </w:pPr>
    </w:p>
    <w:p>
      <w:pPr>
        <w:ind w:left="1160" w:right="719" w:firstLine="335"/>
        <w:spacing w:after="0"/>
        <w:rPr>
          <w:sz w:val="20"/>
          <w:szCs w:val="20"/>
          <w:color w:val="auto"/>
        </w:rPr>
      </w:pPr>
      <w:r>
        <w:rPr>
          <w:rFonts w:ascii="Times New Roman" w:cs="Times New Roman" w:eastAsia="Times New Roman" w:hAnsi="Times New Roman"/>
          <w:sz w:val="17"/>
          <w:szCs w:val="17"/>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Unless we otherwise specify in the applicable prospectus supplement, holders of the warrants may</w:t>
      </w:r>
    </w:p>
    <w:p>
      <w:pPr>
        <w:spacing w:after="0" w:line="11" w:lineRule="exact"/>
        <w:rPr>
          <w:sz w:val="20"/>
          <w:szCs w:val="20"/>
          <w:color w:val="auto"/>
        </w:rPr>
      </w:pPr>
    </w:p>
    <w:p>
      <w:pPr>
        <w:ind w:left="1160" w:right="739"/>
        <w:spacing w:after="0"/>
        <w:rPr>
          <w:sz w:val="20"/>
          <w:szCs w:val="20"/>
          <w:color w:val="auto"/>
        </w:rPr>
      </w:pPr>
      <w:r>
        <w:rPr>
          <w:rFonts w:ascii="Times New Roman" w:cs="Times New Roman" w:eastAsia="Times New Roman" w:hAnsi="Times New Roman"/>
          <w:sz w:val="17"/>
          <w:szCs w:val="17"/>
          <w:color w:val="auto"/>
        </w:rPr>
        <w:t>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10" w:lineRule="exact"/>
        <w:rPr>
          <w:sz w:val="20"/>
          <w:szCs w:val="20"/>
          <w:color w:val="auto"/>
        </w:rPr>
      </w:pPr>
    </w:p>
    <w:p>
      <w:pPr>
        <w:ind w:left="1160" w:right="699" w:firstLine="335"/>
        <w:spacing w:after="0" w:line="239" w:lineRule="auto"/>
        <w:rPr>
          <w:sz w:val="20"/>
          <w:szCs w:val="20"/>
          <w:color w:val="auto"/>
        </w:rPr>
      </w:pPr>
      <w:r>
        <w:rPr>
          <w:rFonts w:ascii="Times New Roman" w:cs="Times New Roman" w:eastAsia="Times New Roman" w:hAnsi="Times New Roman"/>
          <w:sz w:val="17"/>
          <w:szCs w:val="17"/>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35" w:lineRule="exact"/>
        <w:rPr>
          <w:sz w:val="20"/>
          <w:szCs w:val="20"/>
          <w:color w:val="auto"/>
        </w:rPr>
      </w:pPr>
    </w:p>
    <w:p>
      <w:pPr>
        <w:jc w:val="both"/>
        <w:ind w:left="1160" w:right="1199" w:firstLine="335"/>
        <w:spacing w:after="0" w:line="25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Enforceability of Rights by Holders of Warrants</w:t>
      </w:r>
    </w:p>
    <w:p>
      <w:pPr>
        <w:spacing w:after="0" w:line="148" w:lineRule="exact"/>
        <w:rPr>
          <w:sz w:val="20"/>
          <w:szCs w:val="20"/>
          <w:color w:val="auto"/>
        </w:rPr>
      </w:pPr>
    </w:p>
    <w:p>
      <w:pPr>
        <w:ind w:left="1160" w:right="719" w:firstLine="335"/>
        <w:spacing w:after="0" w:line="239" w:lineRule="auto"/>
        <w:rPr>
          <w:sz w:val="20"/>
          <w:szCs w:val="20"/>
          <w:color w:val="auto"/>
        </w:rPr>
      </w:pPr>
      <w:r>
        <w:rPr>
          <w:rFonts w:ascii="Times New Roman" w:cs="Times New Roman" w:eastAsia="Times New Roman" w:hAnsi="Times New Roman"/>
          <w:sz w:val="17"/>
          <w:szCs w:val="17"/>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5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LEGAL OWNERSHIP OF SECURITIES</w:t>
      </w:r>
    </w:p>
    <w:p>
      <w:pPr>
        <w:spacing w:after="0" w:line="148" w:lineRule="exact"/>
        <w:rPr>
          <w:sz w:val="20"/>
          <w:szCs w:val="20"/>
          <w:color w:val="auto"/>
        </w:rPr>
      </w:pPr>
    </w:p>
    <w:p>
      <w:pPr>
        <w:ind w:left="1160" w:right="699" w:firstLine="335"/>
        <w:spacing w:after="0" w:line="241" w:lineRule="auto"/>
        <w:rPr>
          <w:sz w:val="20"/>
          <w:szCs w:val="20"/>
          <w:color w:val="auto"/>
        </w:rPr>
      </w:pPr>
      <w:r>
        <w:rPr>
          <w:rFonts w:ascii="Times New Roman" w:cs="Times New Roman" w:eastAsia="Times New Roman" w:hAnsi="Times New Roman"/>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Book-Entry Holders</w:t>
      </w:r>
    </w:p>
    <w:p>
      <w:pPr>
        <w:spacing w:after="0" w:line="148" w:lineRule="exact"/>
        <w:rPr>
          <w:sz w:val="20"/>
          <w:szCs w:val="20"/>
          <w:color w:val="auto"/>
        </w:rPr>
      </w:pPr>
    </w:p>
    <w:p>
      <w:pPr>
        <w:ind w:left="1160" w:right="899" w:firstLine="335"/>
        <w:spacing w:after="0" w:line="241" w:lineRule="auto"/>
        <w:rPr>
          <w:sz w:val="20"/>
          <w:szCs w:val="20"/>
          <w:color w:val="auto"/>
        </w:rPr>
      </w:pPr>
      <w:r>
        <w:rPr>
          <w:rFonts w:ascii="Times New Roman" w:cs="Times New Roman" w:eastAsia="Times New Roman" w:hAnsi="Times New Roman"/>
          <w:sz w:val="17"/>
          <w:szCs w:val="17"/>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 entry system. These participating institutions, which are referred to as participants, in turn, hold beneficial interests in the securities on behalf of themselves or their customers.</w:t>
      </w:r>
    </w:p>
    <w:p>
      <w:pPr>
        <w:spacing w:after="0" w:line="112" w:lineRule="exact"/>
        <w:rPr>
          <w:sz w:val="20"/>
          <w:szCs w:val="20"/>
          <w:color w:val="auto"/>
        </w:rPr>
      </w:pPr>
    </w:p>
    <w:p>
      <w:pPr>
        <w:ind w:left="1160" w:right="699" w:firstLine="335"/>
        <w:spacing w:after="0" w:line="241" w:lineRule="auto"/>
        <w:rPr>
          <w:sz w:val="20"/>
          <w:szCs w:val="20"/>
          <w:color w:val="auto"/>
        </w:rPr>
      </w:pPr>
      <w:r>
        <w:rPr>
          <w:rFonts w:ascii="Times New Roman" w:cs="Times New Roman" w:eastAsia="Times New Roman" w:hAnsi="Times New Roman"/>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09" w:lineRule="exact"/>
        <w:rPr>
          <w:sz w:val="20"/>
          <w:szCs w:val="20"/>
          <w:color w:val="auto"/>
        </w:rPr>
      </w:pPr>
    </w:p>
    <w:p>
      <w:pPr>
        <w:ind w:left="1160" w:right="739" w:firstLine="335"/>
        <w:spacing w:after="0" w:line="245" w:lineRule="auto"/>
        <w:rPr>
          <w:sz w:val="20"/>
          <w:szCs w:val="20"/>
          <w:color w:val="auto"/>
        </w:rPr>
      </w:pPr>
      <w:r>
        <w:rPr>
          <w:rFonts w:ascii="Times New Roman" w:cs="Times New Roman" w:eastAsia="Times New Roman" w:hAnsi="Times New Roman"/>
          <w:sz w:val="17"/>
          <w:szCs w:val="17"/>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Street Name Holders</w:t>
      </w:r>
    </w:p>
    <w:p>
      <w:pPr>
        <w:spacing w:after="0" w:line="148" w:lineRule="exact"/>
        <w:rPr>
          <w:sz w:val="20"/>
          <w:szCs w:val="20"/>
          <w:color w:val="auto"/>
        </w:rPr>
      </w:pPr>
    </w:p>
    <w:p>
      <w:pPr>
        <w:ind w:left="1160" w:right="739" w:firstLine="335"/>
        <w:spacing w:after="0" w:line="241" w:lineRule="auto"/>
        <w:rPr>
          <w:sz w:val="20"/>
          <w:szCs w:val="20"/>
          <w:color w:val="auto"/>
        </w:rPr>
      </w:pPr>
      <w:r>
        <w:rPr>
          <w:rFonts w:ascii="Times New Roman" w:cs="Times New Roman" w:eastAsia="Times New Roman" w:hAnsi="Times New Roman"/>
          <w:sz w:val="17"/>
          <w:szCs w:val="17"/>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2" w:lineRule="exact"/>
        <w:rPr>
          <w:sz w:val="20"/>
          <w:szCs w:val="20"/>
          <w:color w:val="auto"/>
        </w:rPr>
      </w:pPr>
    </w:p>
    <w:p>
      <w:pPr>
        <w:ind w:left="1160" w:right="859" w:firstLine="335"/>
        <w:spacing w:after="0" w:line="241" w:lineRule="auto"/>
        <w:rPr>
          <w:sz w:val="20"/>
          <w:szCs w:val="20"/>
          <w:color w:val="auto"/>
        </w:rPr>
      </w:pPr>
      <w:r>
        <w:rPr>
          <w:rFonts w:ascii="Times New Roman" w:cs="Times New Roman" w:eastAsia="Times New Roman" w:hAnsi="Times New Roman"/>
          <w:sz w:val="17"/>
          <w:szCs w:val="17"/>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Legal Holders</w:t>
      </w:r>
    </w:p>
    <w:p>
      <w:pPr>
        <w:spacing w:after="0" w:line="135" w:lineRule="exact"/>
        <w:rPr>
          <w:sz w:val="20"/>
          <w:szCs w:val="20"/>
          <w:color w:val="auto"/>
        </w:rPr>
      </w:pPr>
    </w:p>
    <w:p>
      <w:pPr>
        <w:ind w:left="1160" w:right="839" w:firstLine="335"/>
        <w:spacing w:after="0" w:line="245" w:lineRule="auto"/>
        <w:rPr>
          <w:sz w:val="20"/>
          <w:szCs w:val="20"/>
          <w:color w:val="auto"/>
        </w:rPr>
      </w:pPr>
      <w:r>
        <w:rPr>
          <w:rFonts w:ascii="Times New Roman" w:cs="Times New Roman" w:eastAsia="Times New Roman" w:hAnsi="Times New Roman"/>
          <w:sz w:val="17"/>
          <w:szCs w:val="17"/>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08" w:lineRule="exact"/>
        <w:rPr>
          <w:sz w:val="20"/>
          <w:szCs w:val="20"/>
          <w:color w:val="auto"/>
        </w:rPr>
      </w:pPr>
    </w:p>
    <w:p>
      <w:pPr>
        <w:ind w:left="1160" w:right="719" w:firstLine="335"/>
        <w:spacing w:after="0" w:line="245" w:lineRule="auto"/>
        <w:rPr>
          <w:sz w:val="20"/>
          <w:szCs w:val="20"/>
          <w:color w:val="auto"/>
        </w:rPr>
      </w:pPr>
      <w:r>
        <w:rPr>
          <w:rFonts w:ascii="Times New Roman" w:cs="Times New Roman" w:eastAsia="Times New Roman" w:hAnsi="Times New Roman"/>
          <w:sz w:val="17"/>
          <w:szCs w:val="17"/>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w:t>
      </w:r>
    </w:p>
    <w:p>
      <w:pPr>
        <w:spacing w:after="0" w:line="3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60" w:right="759"/>
        <w:spacing w:after="0" w:line="252" w:lineRule="auto"/>
        <w:rPr>
          <w:sz w:val="20"/>
          <w:szCs w:val="20"/>
          <w:color w:val="auto"/>
        </w:rPr>
      </w:pPr>
      <w:r>
        <w:rPr>
          <w:rFonts w:ascii="Times New Roman" w:cs="Times New Roman" w:eastAsia="Times New Roman" w:hAnsi="Times New Roman"/>
          <w:sz w:val="17"/>
          <w:szCs w:val="17"/>
          <w:color w:val="auto"/>
        </w:rPr>
        <w:t>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Special Considerations for Indirect Holders</w:t>
      </w:r>
    </w:p>
    <w:p>
      <w:pPr>
        <w:spacing w:after="0" w:line="148" w:lineRule="exact"/>
        <w:rPr>
          <w:sz w:val="20"/>
          <w:szCs w:val="20"/>
          <w:color w:val="auto"/>
        </w:rPr>
      </w:pPr>
    </w:p>
    <w:p>
      <w:pPr>
        <w:ind w:left="1160" w:right="859" w:firstLine="335"/>
        <w:spacing w:after="0" w:line="252" w:lineRule="auto"/>
        <w:rPr>
          <w:sz w:val="20"/>
          <w:szCs w:val="20"/>
          <w:color w:val="auto"/>
        </w:rPr>
      </w:pPr>
      <w:r>
        <w:rPr>
          <w:rFonts w:ascii="Times New Roman" w:cs="Times New Roman" w:eastAsia="Times New Roman" w:hAnsi="Times New Roman"/>
          <w:sz w:val="17"/>
          <w:szCs w:val="17"/>
          <w:color w:val="auto"/>
        </w:rPr>
        <w:t>If you hold securities through a bank, broker or other financial institution, either in book -entry form because the securities are represented by one or more global securities or in street name, you should check with your own institution to find out:</w:t>
      </w:r>
    </w:p>
    <w:p>
      <w:pPr>
        <w:spacing w:after="0" w:line="50" w:lineRule="exact"/>
        <w:rPr>
          <w:sz w:val="20"/>
          <w:szCs w:val="20"/>
          <w:color w:val="auto"/>
        </w:rPr>
      </w:pPr>
    </w:p>
    <w:p>
      <w:pPr>
        <w:ind w:left="1660" w:hanging="161"/>
        <w:spacing w:after="0"/>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handles securities payments and notices;</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imposes fees or charges;</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handle a request for the holders’ consent, if ever required;</w:t>
      </w:r>
    </w:p>
    <w:p>
      <w:pPr>
        <w:spacing w:after="0" w:line="93" w:lineRule="exact"/>
        <w:rPr>
          <w:rFonts w:ascii="Times New Roman" w:cs="Times New Roman" w:eastAsia="Times New Roman" w:hAnsi="Times New Roman"/>
          <w:sz w:val="17"/>
          <w:szCs w:val="17"/>
          <w:color w:val="auto"/>
        </w:rPr>
      </w:pPr>
    </w:p>
    <w:p>
      <w:pPr>
        <w:ind w:left="1660" w:right="899" w:hanging="161"/>
        <w:spacing w:after="0" w:line="273" w:lineRule="auto"/>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how you can instruct it to send you securities registered in your own name so you can be a holder, if that is permitted in the future;</w:t>
      </w:r>
    </w:p>
    <w:p>
      <w:pPr>
        <w:spacing w:after="0" w:line="57" w:lineRule="exact"/>
        <w:rPr>
          <w:rFonts w:ascii="Times New Roman" w:cs="Times New Roman" w:eastAsia="Times New Roman" w:hAnsi="Times New Roman"/>
          <w:sz w:val="17"/>
          <w:szCs w:val="17"/>
          <w:color w:val="auto"/>
        </w:rPr>
      </w:pPr>
    </w:p>
    <w:p>
      <w:pPr>
        <w:ind w:left="1660" w:right="819" w:hanging="161"/>
        <w:spacing w:after="0" w:line="273" w:lineRule="auto"/>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it would exercise rights under the securities if there were a default or other event triggering the need for holders to act to protect their interests; and</w:t>
      </w:r>
    </w:p>
    <w:p>
      <w:pPr>
        <w:spacing w:after="0" w:line="45" w:lineRule="exact"/>
        <w:rPr>
          <w:rFonts w:ascii="Times New Roman" w:cs="Times New Roman" w:eastAsia="Times New Roman" w:hAnsi="Times New Roman"/>
          <w:sz w:val="17"/>
          <w:szCs w:val="17"/>
          <w:color w:val="auto"/>
        </w:rPr>
      </w:pPr>
    </w:p>
    <w:p>
      <w:pPr>
        <w:ind w:left="1660" w:right="899" w:hanging="161"/>
        <w:spacing w:after="0" w:line="273" w:lineRule="auto"/>
        <w:tabs>
          <w:tab w:leader="none" w:pos="1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in book-entry form, how the depositary’s rules and procedures will affect these matters.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48" w:lineRule="exact"/>
        <w:rPr>
          <w:sz w:val="20"/>
          <w:szCs w:val="20"/>
          <w:color w:val="auto"/>
        </w:rPr>
      </w:pPr>
    </w:p>
    <w:p>
      <w:pPr>
        <w:ind w:left="1160" w:right="719" w:firstLine="335"/>
        <w:spacing w:after="0" w:line="258" w:lineRule="auto"/>
        <w:rPr>
          <w:sz w:val="20"/>
          <w:szCs w:val="20"/>
          <w:color w:val="auto"/>
        </w:rPr>
      </w:pPr>
      <w:r>
        <w:rPr>
          <w:rFonts w:ascii="Times New Roman" w:cs="Times New Roman" w:eastAsia="Times New Roman" w:hAnsi="Times New Roman"/>
          <w:sz w:val="17"/>
          <w:szCs w:val="17"/>
          <w:color w:val="auto"/>
        </w:rPr>
        <w:t>A global security is a security that represents one or any other number of individual securities held by a depositary. Generally, all securities represented by the same global securities will have the same terms.</w:t>
      </w:r>
    </w:p>
    <w:p>
      <w:pPr>
        <w:spacing w:after="0" w:line="95" w:lineRule="exact"/>
        <w:rPr>
          <w:sz w:val="20"/>
          <w:szCs w:val="20"/>
          <w:color w:val="auto"/>
        </w:rPr>
      </w:pPr>
    </w:p>
    <w:p>
      <w:pPr>
        <w:ind w:left="1160" w:right="879" w:firstLine="335"/>
        <w:spacing w:after="0" w:line="245" w:lineRule="auto"/>
        <w:rPr>
          <w:sz w:val="20"/>
          <w:szCs w:val="20"/>
          <w:color w:val="auto"/>
        </w:rPr>
      </w:pPr>
      <w:r>
        <w:rPr>
          <w:rFonts w:ascii="Times New Roman" w:cs="Times New Roman" w:eastAsia="Times New Roman" w:hAnsi="Times New Roman"/>
          <w:sz w:val="17"/>
          <w:szCs w:val="17"/>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07" w:lineRule="exact"/>
        <w:rPr>
          <w:sz w:val="20"/>
          <w:szCs w:val="20"/>
          <w:color w:val="auto"/>
        </w:rPr>
      </w:pPr>
    </w:p>
    <w:p>
      <w:pPr>
        <w:ind w:left="1160" w:right="799" w:firstLine="335"/>
        <w:spacing w:after="0"/>
        <w:rPr>
          <w:sz w:val="20"/>
          <w:szCs w:val="20"/>
          <w:color w:val="auto"/>
        </w:rPr>
      </w:pPr>
      <w:r>
        <w:rPr>
          <w:rFonts w:ascii="Times New Roman" w:cs="Times New Roman" w:eastAsia="Times New Roman" w:hAnsi="Times New Roman"/>
          <w:sz w:val="17"/>
          <w:szCs w:val="17"/>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13" w:lineRule="exact"/>
        <w:rPr>
          <w:sz w:val="20"/>
          <w:szCs w:val="20"/>
          <w:color w:val="auto"/>
        </w:rPr>
      </w:pPr>
    </w:p>
    <w:p>
      <w:pPr>
        <w:ind w:left="1160" w:right="759" w:firstLine="335"/>
        <w:spacing w:after="0"/>
        <w:rPr>
          <w:sz w:val="20"/>
          <w:szCs w:val="20"/>
          <w:color w:val="auto"/>
        </w:rPr>
      </w:pPr>
      <w:r>
        <w:rPr>
          <w:rFonts w:ascii="Times New Roman" w:cs="Times New Roman" w:eastAsia="Times New Roman" w:hAnsi="Times New Roman"/>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Special Considerations for Global Securities</w:t>
      </w:r>
    </w:p>
    <w:p>
      <w:pPr>
        <w:spacing w:after="0" w:line="135" w:lineRule="exact"/>
        <w:rPr>
          <w:sz w:val="20"/>
          <w:szCs w:val="20"/>
          <w:color w:val="auto"/>
        </w:rPr>
      </w:pPr>
    </w:p>
    <w:p>
      <w:pPr>
        <w:ind w:left="1160" w:right="819" w:firstLine="335"/>
        <w:spacing w:after="0" w:line="245" w:lineRule="auto"/>
        <w:rPr>
          <w:sz w:val="20"/>
          <w:szCs w:val="20"/>
          <w:color w:val="auto"/>
        </w:rPr>
      </w:pPr>
      <w:r>
        <w:rPr>
          <w:rFonts w:ascii="Times New Roman" w:cs="Times New Roman" w:eastAsia="Times New Roman" w:hAnsi="Times New Roman"/>
          <w:sz w:val="17"/>
          <w:szCs w:val="17"/>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If securities are issued only as global securities, an investor should be aware of the following:</w:t>
      </w:r>
    </w:p>
    <w:p>
      <w:pPr>
        <w:spacing w:after="0" w:line="106" w:lineRule="exact"/>
        <w:rPr>
          <w:sz w:val="20"/>
          <w:szCs w:val="20"/>
          <w:color w:val="auto"/>
        </w:rPr>
      </w:pPr>
    </w:p>
    <w:p>
      <w:pPr>
        <w:ind w:left="1660" w:right="779" w:hanging="161"/>
        <w:spacing w:after="0" w:line="266" w:lineRule="auto"/>
        <w:tabs>
          <w:tab w:leader="none" w:pos="1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200" w:lineRule="exact"/>
        <w:rPr>
          <w:sz w:val="20"/>
          <w:szCs w:val="20"/>
          <w:color w:val="auto"/>
        </w:rPr>
      </w:pP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660" w:right="699" w:hanging="161"/>
        <w:spacing w:after="0" w:line="273"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will be an indirect holder and must look to his or her own bank or broker for payments on the securities and protection of his or her legal rights relating to the securities, as we describe above;</w:t>
      </w:r>
    </w:p>
    <w:p>
      <w:pPr>
        <w:spacing w:after="0" w:line="57" w:lineRule="exact"/>
        <w:rPr>
          <w:rFonts w:ascii="Times New Roman" w:cs="Times New Roman" w:eastAsia="Times New Roman" w:hAnsi="Times New Roman"/>
          <w:sz w:val="17"/>
          <w:szCs w:val="17"/>
          <w:color w:val="auto"/>
        </w:rPr>
      </w:pPr>
    </w:p>
    <w:p>
      <w:pPr>
        <w:ind w:left="1660" w:right="1059" w:hanging="161"/>
        <w:spacing w:after="0" w:line="273"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sell interests in the securities to some insurance companies and to other institutions that are required by law to own their securities in non-book-entry form;</w:t>
      </w:r>
    </w:p>
    <w:p>
      <w:pPr>
        <w:spacing w:after="0" w:line="57" w:lineRule="exact"/>
        <w:rPr>
          <w:rFonts w:ascii="Times New Roman" w:cs="Times New Roman" w:eastAsia="Times New Roman" w:hAnsi="Times New Roman"/>
          <w:sz w:val="17"/>
          <w:szCs w:val="17"/>
          <w:color w:val="auto"/>
        </w:rPr>
      </w:pPr>
    </w:p>
    <w:p>
      <w:pPr>
        <w:ind w:left="1660" w:right="719" w:hanging="161"/>
        <w:spacing w:after="0" w:line="260"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8" w:lineRule="exact"/>
        <w:rPr>
          <w:rFonts w:ascii="Times New Roman" w:cs="Times New Roman" w:eastAsia="Times New Roman" w:hAnsi="Times New Roman"/>
          <w:sz w:val="17"/>
          <w:szCs w:val="17"/>
          <w:color w:val="auto"/>
        </w:rPr>
      </w:pPr>
    </w:p>
    <w:p>
      <w:pPr>
        <w:ind w:left="1660" w:right="1099" w:hanging="161"/>
        <w:spacing w:after="0" w:line="273"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depositary’s policies, which may change from time to time, will govern payments, transfers, exchanges and other matters relating to an investor’s interest in the global security;</w:t>
      </w:r>
    </w:p>
    <w:p>
      <w:pPr>
        <w:spacing w:after="0" w:line="57" w:lineRule="exact"/>
        <w:rPr>
          <w:rFonts w:ascii="Times New Roman" w:cs="Times New Roman" w:eastAsia="Times New Roman" w:hAnsi="Times New Roman"/>
          <w:sz w:val="17"/>
          <w:szCs w:val="17"/>
          <w:color w:val="auto"/>
        </w:rPr>
      </w:pPr>
    </w:p>
    <w:p>
      <w:pPr>
        <w:ind w:left="1660" w:right="799" w:hanging="161"/>
        <w:spacing w:after="0" w:line="260"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8" w:lineRule="exact"/>
        <w:rPr>
          <w:rFonts w:ascii="Times New Roman" w:cs="Times New Roman" w:eastAsia="Times New Roman" w:hAnsi="Times New Roman"/>
          <w:sz w:val="17"/>
          <w:szCs w:val="17"/>
          <w:color w:val="auto"/>
        </w:rPr>
      </w:pPr>
    </w:p>
    <w:p>
      <w:pPr>
        <w:ind w:left="1660" w:right="1019" w:hanging="161"/>
        <w:spacing w:after="0" w:line="260"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8" w:lineRule="exact"/>
        <w:rPr>
          <w:rFonts w:ascii="Times New Roman" w:cs="Times New Roman" w:eastAsia="Times New Roman" w:hAnsi="Times New Roman"/>
          <w:sz w:val="17"/>
          <w:szCs w:val="17"/>
          <w:color w:val="auto"/>
        </w:rPr>
      </w:pPr>
    </w:p>
    <w:p>
      <w:pPr>
        <w:ind w:left="1660" w:right="719" w:hanging="161"/>
        <w:spacing w:after="0" w:line="260" w:lineRule="auto"/>
        <w:tabs>
          <w:tab w:leader="none" w:pos="1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06" w:lineRule="exact"/>
        <w:rPr>
          <w:sz w:val="20"/>
          <w:szCs w:val="20"/>
          <w:color w:val="auto"/>
        </w:rPr>
      </w:pPr>
    </w:p>
    <w:p>
      <w:pPr>
        <w:ind w:left="1160" w:right="959" w:firstLine="335"/>
        <w:spacing w:after="0" w:line="273" w:lineRule="auto"/>
        <w:rPr>
          <w:sz w:val="20"/>
          <w:szCs w:val="20"/>
          <w:color w:val="auto"/>
        </w:rPr>
      </w:pPr>
      <w:r>
        <w:rPr>
          <w:rFonts w:ascii="Times New Roman" w:cs="Times New Roman" w:eastAsia="Times New Roman" w:hAnsi="Times New Roman"/>
          <w:sz w:val="17"/>
          <w:szCs w:val="17"/>
          <w:color w:val="auto"/>
        </w:rPr>
        <w:t>There may be more than one financial intermediary in the chain of ownership for an investor. We do not monitor and are not responsible for the actions of any of those intermediaries.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Special Situations When a Global Security Will Be Terminated</w:t>
      </w:r>
    </w:p>
    <w:p>
      <w:pPr>
        <w:spacing w:after="0" w:line="148" w:lineRule="exact"/>
        <w:rPr>
          <w:sz w:val="20"/>
          <w:szCs w:val="20"/>
          <w:color w:val="auto"/>
        </w:rPr>
      </w:pPr>
    </w:p>
    <w:p>
      <w:pPr>
        <w:ind w:left="1160" w:right="839" w:firstLine="335"/>
        <w:spacing w:after="0" w:line="253" w:lineRule="auto"/>
        <w:rPr>
          <w:sz w:val="20"/>
          <w:szCs w:val="20"/>
          <w:color w:val="auto"/>
        </w:rPr>
      </w:pPr>
      <w:r>
        <w:rPr>
          <w:rFonts w:ascii="Times New Roman" w:cs="Times New Roman" w:eastAsia="Times New Roman" w:hAnsi="Times New Roman"/>
          <w:sz w:val="17"/>
          <w:szCs w:val="17"/>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01" w:lineRule="exact"/>
        <w:rPr>
          <w:sz w:val="20"/>
          <w:szCs w:val="20"/>
          <w:color w:val="auto"/>
        </w:rPr>
      </w:pPr>
    </w:p>
    <w:p>
      <w:pPr>
        <w:ind w:left="1160" w:right="839" w:firstLine="335"/>
        <w:spacing w:after="0" w:line="273"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a global security will terminate when the following special situations occur:</w:t>
      </w:r>
    </w:p>
    <w:p>
      <w:pPr>
        <w:spacing w:after="0" w:line="58" w:lineRule="exact"/>
        <w:rPr>
          <w:sz w:val="20"/>
          <w:szCs w:val="20"/>
          <w:color w:val="auto"/>
        </w:rPr>
      </w:pPr>
    </w:p>
    <w:p>
      <w:pPr>
        <w:ind w:left="1660" w:right="1119" w:hanging="161"/>
        <w:spacing w:after="0" w:line="260" w:lineRule="auto"/>
        <w:tabs>
          <w:tab w:leader="none" w:pos="1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6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notify any applicable trustee that we wish to terminate that global security; or</w:t>
      </w:r>
    </w:p>
    <w:p>
      <w:pPr>
        <w:spacing w:after="0" w:line="106"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with regard to securities represented by that global security and has not been cured or waived.</w:t>
      </w:r>
    </w:p>
    <w:p>
      <w:pPr>
        <w:spacing w:after="0" w:line="96" w:lineRule="exact"/>
        <w:rPr>
          <w:sz w:val="20"/>
          <w:szCs w:val="20"/>
          <w:color w:val="auto"/>
        </w:rPr>
      </w:pPr>
    </w:p>
    <w:p>
      <w:pPr>
        <w:ind w:left="1160" w:right="839" w:firstLine="335"/>
        <w:spacing w:after="0" w:line="255" w:lineRule="auto"/>
        <w:rPr>
          <w:sz w:val="20"/>
          <w:szCs w:val="20"/>
          <w:color w:val="auto"/>
        </w:rPr>
      </w:pPr>
      <w:r>
        <w:rPr>
          <w:rFonts w:ascii="Times New Roman" w:cs="Times New Roman" w:eastAsia="Times New Roman" w:hAnsi="Times New Roman"/>
          <w:sz w:val="17"/>
          <w:szCs w:val="17"/>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48" w:lineRule="exact"/>
        <w:rPr>
          <w:sz w:val="20"/>
          <w:szCs w:val="20"/>
          <w:color w:val="auto"/>
        </w:rPr>
      </w:pPr>
    </w:p>
    <w:p>
      <w:pPr>
        <w:ind w:left="1160" w:right="819" w:firstLine="335"/>
        <w:spacing w:after="0" w:line="255" w:lineRule="auto"/>
        <w:rPr>
          <w:sz w:val="20"/>
          <w:szCs w:val="20"/>
          <w:color w:val="auto"/>
        </w:rPr>
      </w:pPr>
      <w:r>
        <w:rPr>
          <w:rFonts w:ascii="Times New Roman" w:cs="Times New Roman" w:eastAsia="Times New Roman" w:hAnsi="Times New Roman"/>
          <w:sz w:val="17"/>
          <w:szCs w:val="17"/>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74" w:lineRule="exact"/>
        <w:rPr>
          <w:sz w:val="20"/>
          <w:szCs w:val="20"/>
          <w:color w:val="auto"/>
        </w:rPr>
      </w:pPr>
    </w:p>
    <w:p>
      <w:pPr>
        <w:ind w:left="1660" w:hanging="161"/>
        <w:spacing w:after="0"/>
        <w:tabs>
          <w:tab w:leader="none" w:pos="1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44" w:lineRule="exact"/>
        <w:rPr>
          <w:sz w:val="20"/>
          <w:szCs w:val="20"/>
          <w:color w:val="auto"/>
        </w:rPr>
      </w:pPr>
    </w:p>
    <w:p>
      <w:pPr>
        <w:ind w:left="1160" w:right="819" w:firstLine="335"/>
        <w:spacing w:after="0" w:line="252" w:lineRule="auto"/>
        <w:rPr>
          <w:sz w:val="20"/>
          <w:szCs w:val="20"/>
          <w:color w:val="auto"/>
        </w:rPr>
      </w:pPr>
      <w:r>
        <w:rPr>
          <w:rFonts w:ascii="Times New Roman" w:cs="Times New Roman" w:eastAsia="Times New Roman" w:hAnsi="Times New Roman"/>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13" w:lineRule="exact"/>
        <w:rPr>
          <w:sz w:val="20"/>
          <w:szCs w:val="20"/>
          <w:color w:val="auto"/>
        </w:rPr>
      </w:pPr>
    </w:p>
    <w:p>
      <w:pPr>
        <w:ind w:left="1160" w:right="979" w:firstLine="335"/>
        <w:spacing w:after="0" w:line="260" w:lineRule="auto"/>
        <w:rPr>
          <w:sz w:val="20"/>
          <w:szCs w:val="20"/>
          <w:color w:val="auto"/>
        </w:rPr>
      </w:pPr>
      <w:r>
        <w:rPr>
          <w:rFonts w:ascii="Times New Roman" w:cs="Times New Roman" w:eastAsia="Times New Roman" w:hAnsi="Times New Roman"/>
          <w:sz w:val="17"/>
          <w:szCs w:val="17"/>
          <w:color w:val="auto"/>
        </w:rPr>
        <w:t>A prospectus supplement or supplements (and any related free writing prospectus that we may authorize to be provided to you) will describe the terms of the offering of the securities, including, to the extent applicable:</w:t>
      </w:r>
    </w:p>
    <w:p>
      <w:pPr>
        <w:spacing w:after="0" w:line="68" w:lineRule="exact"/>
        <w:rPr>
          <w:sz w:val="20"/>
          <w:szCs w:val="20"/>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or names of any underwriters, dealers or agents, if any;</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of the securities and the proceeds we will receive from the sale;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over-allotment options under which underwriters may purchase additional securities from us;</w:t>
      </w:r>
    </w:p>
    <w:p>
      <w:pPr>
        <w:spacing w:after="0" w:line="106" w:lineRule="exact"/>
        <w:rPr>
          <w:rFonts w:ascii="Times New Roman" w:cs="Times New Roman" w:eastAsia="Times New Roman" w:hAnsi="Times New Roman"/>
          <w:sz w:val="17"/>
          <w:szCs w:val="17"/>
          <w:color w:val="auto"/>
        </w:rPr>
      </w:pPr>
    </w:p>
    <w:p>
      <w:pPr>
        <w:ind w:left="1660" w:right="1119" w:hanging="161"/>
        <w:spacing w:after="0" w:line="273" w:lineRule="auto"/>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agency fees or underwriting discounts and other items constituting agents’ or underwriters’ compensation;</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public offering price;</w:t>
      </w:r>
    </w:p>
    <w:p>
      <w:pPr>
        <w:spacing w:after="0" w:line="118"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paid to dealers; and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exchange or market on which the securities may be listed.</w:t>
      </w:r>
    </w:p>
    <w:p>
      <w:pPr>
        <w:spacing w:after="0" w:line="131" w:lineRule="exact"/>
        <w:rPr>
          <w:sz w:val="20"/>
          <w:szCs w:val="20"/>
          <w:color w:val="auto"/>
        </w:rPr>
      </w:pPr>
    </w:p>
    <w:p>
      <w:pPr>
        <w:ind w:left="1160" w:right="739" w:firstLine="335"/>
        <w:spacing w:after="0" w:line="273" w:lineRule="auto"/>
        <w:rPr>
          <w:sz w:val="20"/>
          <w:szCs w:val="20"/>
          <w:color w:val="auto"/>
        </w:rPr>
      </w:pPr>
      <w:r>
        <w:rPr>
          <w:rFonts w:ascii="Times New Roman" w:cs="Times New Roman" w:eastAsia="Times New Roman" w:hAnsi="Times New Roman"/>
          <w:sz w:val="17"/>
          <w:szCs w:val="17"/>
          <w:color w:val="auto"/>
        </w:rPr>
        <w:t>Only underwriters named in the prospectus supplement are underwriters of the securities offered by the prospectus supplement.</w:t>
      </w:r>
    </w:p>
    <w:p>
      <w:pPr>
        <w:spacing w:after="0" w:line="96"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1" w:lineRule="exact"/>
        <w:rPr>
          <w:sz w:val="20"/>
          <w:szCs w:val="20"/>
          <w:color w:val="auto"/>
        </w:rPr>
      </w:pPr>
    </w:p>
    <w:p>
      <w:pPr>
        <w:ind w:left="1160" w:right="819" w:firstLine="335"/>
        <w:spacing w:after="0" w:line="255" w:lineRule="auto"/>
        <w:rPr>
          <w:sz w:val="20"/>
          <w:szCs w:val="20"/>
          <w:color w:val="auto"/>
        </w:rPr>
      </w:pPr>
      <w:r>
        <w:rPr>
          <w:rFonts w:ascii="Times New Roman" w:cs="Times New Roman" w:eastAsia="Times New Roman" w:hAnsi="Times New Roman"/>
          <w:sz w:val="17"/>
          <w:szCs w:val="17"/>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99" w:lineRule="exact"/>
        <w:rPr>
          <w:sz w:val="20"/>
          <w:szCs w:val="20"/>
          <w:color w:val="auto"/>
        </w:rPr>
      </w:pPr>
    </w:p>
    <w:p>
      <w:pPr>
        <w:jc w:val="both"/>
        <w:ind w:left="1160" w:right="899" w:firstLine="335"/>
        <w:spacing w:after="0" w:line="260"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w:t>
      </w:r>
    </w:p>
    <w:p>
      <w:pPr>
        <w:spacing w:after="0" w:line="3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1319"/>
        <w:spacing w:after="0" w:line="273" w:lineRule="auto"/>
        <w:rPr>
          <w:sz w:val="20"/>
          <w:szCs w:val="20"/>
          <w:color w:val="auto"/>
        </w:rPr>
      </w:pPr>
      <w:r>
        <w:rPr>
          <w:rFonts w:ascii="Times New Roman" w:cs="Times New Roman" w:eastAsia="Times New Roman" w:hAnsi="Times New Roman"/>
          <w:sz w:val="17"/>
          <w:szCs w:val="17"/>
          <w:color w:val="auto"/>
        </w:rPr>
        <w:t>describe the conditions to these contracts and the commissions we must pay for solicitation of these contracts in the prospectus supplement.</w:t>
      </w:r>
    </w:p>
    <w:p>
      <w:pPr>
        <w:spacing w:after="0" w:line="96" w:lineRule="exact"/>
        <w:rPr>
          <w:sz w:val="20"/>
          <w:szCs w:val="20"/>
          <w:color w:val="auto"/>
        </w:rPr>
      </w:pPr>
    </w:p>
    <w:p>
      <w:pPr>
        <w:ind w:left="1160" w:right="939" w:firstLine="335"/>
        <w:spacing w:after="0" w:line="255" w:lineRule="auto"/>
        <w:rPr>
          <w:sz w:val="20"/>
          <w:szCs w:val="20"/>
          <w:color w:val="auto"/>
        </w:rPr>
      </w:pPr>
      <w:r>
        <w:rPr>
          <w:rFonts w:ascii="Times New Roman" w:cs="Times New Roman" w:eastAsia="Times New Roman" w:hAnsi="Times New Roman"/>
          <w:sz w:val="17"/>
          <w:szCs w:val="17"/>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12" w:lineRule="exact"/>
        <w:rPr>
          <w:sz w:val="20"/>
          <w:szCs w:val="20"/>
          <w:color w:val="auto"/>
        </w:rPr>
      </w:pPr>
    </w:p>
    <w:p>
      <w:pPr>
        <w:ind w:left="1160" w:right="759" w:firstLine="335"/>
        <w:spacing w:after="0" w:line="255" w:lineRule="auto"/>
        <w:rPr>
          <w:sz w:val="20"/>
          <w:szCs w:val="20"/>
          <w:color w:val="auto"/>
        </w:rPr>
      </w:pPr>
      <w:r>
        <w:rPr>
          <w:rFonts w:ascii="Times New Roman" w:cs="Times New Roman" w:eastAsia="Times New Roman" w:hAnsi="Times New Roman"/>
          <w:sz w:val="17"/>
          <w:szCs w:val="17"/>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99" w:lineRule="exact"/>
        <w:rPr>
          <w:sz w:val="20"/>
          <w:szCs w:val="20"/>
          <w:color w:val="auto"/>
        </w:rPr>
      </w:pPr>
    </w:p>
    <w:p>
      <w:pPr>
        <w:ind w:left="1160" w:right="719" w:firstLine="335"/>
        <w:spacing w:after="0" w:line="249" w:lineRule="auto"/>
        <w:rPr>
          <w:sz w:val="20"/>
          <w:szCs w:val="20"/>
          <w:color w:val="auto"/>
        </w:rPr>
      </w:pPr>
      <w:r>
        <w:rPr>
          <w:rFonts w:ascii="Times New Roman" w:cs="Times New Roman" w:eastAsia="Times New Roman" w:hAnsi="Times New Roman"/>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324"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8" w:lineRule="exact"/>
        <w:rPr>
          <w:sz w:val="20"/>
          <w:szCs w:val="20"/>
          <w:color w:val="auto"/>
        </w:rPr>
      </w:pPr>
    </w:p>
    <w:p>
      <w:pPr>
        <w:ind w:left="1160" w:right="739" w:firstLine="335"/>
        <w:spacing w:after="0" w:line="253"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Shumaker, Loop &amp; Kendrick, LLP, Tampa, Florida. Additional legal matters may be passed upon for us or any underwriters, dealers or agents, by counsel that we will name in the applicable prospectus supplement.</w:t>
      </w:r>
    </w:p>
    <w:p>
      <w:pPr>
        <w:spacing w:after="0" w:line="17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48" w:lineRule="exact"/>
        <w:rPr>
          <w:sz w:val="20"/>
          <w:szCs w:val="20"/>
          <w:color w:val="auto"/>
        </w:rPr>
      </w:pPr>
    </w:p>
    <w:p>
      <w:pPr>
        <w:ind w:left="1160" w:right="859" w:firstLine="335"/>
        <w:spacing w:after="0" w:line="254" w:lineRule="auto"/>
        <w:rPr>
          <w:sz w:val="20"/>
          <w:szCs w:val="20"/>
          <w:color w:val="auto"/>
        </w:rPr>
      </w:pPr>
      <w:r>
        <w:rPr>
          <w:rFonts w:ascii="Times New Roman" w:cs="Times New Roman" w:eastAsia="Times New Roman" w:hAnsi="Times New Roman"/>
          <w:sz w:val="17"/>
          <w:szCs w:val="17"/>
          <w:color w:val="auto"/>
        </w:rPr>
        <w:t>Marcum LLP, independent registered public accounting firm, has audited our consolidated financial statements as of and for the years ended December 31, 2023 and 2022, as set forth in its report included in our 2023 Annual Report on Form 10-K. Our 2023 and 2022 financial statements are incorporated by reference in reliance on Marcum LLP’s report, given on their authority as experts in accounting and auditing.</w:t>
      </w:r>
    </w:p>
    <w:p>
      <w:pPr>
        <w:spacing w:after="0" w:line="3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35"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24" w:lineRule="exact"/>
        <w:rPr>
          <w:sz w:val="20"/>
          <w:szCs w:val="20"/>
          <w:color w:val="auto"/>
        </w:rPr>
      </w:pPr>
    </w:p>
    <w:p>
      <w:pPr>
        <w:ind w:left="1160" w:right="759" w:firstLine="335"/>
        <w:spacing w:after="0" w:line="260"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that contains reports, proxy and information statements, and other information regarding issuers, such as us, that file electronically with the SEC.</w:t>
      </w:r>
    </w:p>
    <w:p>
      <w:pPr>
        <w:spacing w:after="0" w:line="106" w:lineRule="exact"/>
        <w:rPr>
          <w:sz w:val="20"/>
          <w:szCs w:val="20"/>
          <w:color w:val="auto"/>
        </w:rPr>
      </w:pPr>
    </w:p>
    <w:p>
      <w:pPr>
        <w:ind w:left="1160" w:right="719" w:firstLine="335"/>
        <w:spacing w:after="0" w:line="255" w:lineRule="auto"/>
        <w:rPr>
          <w:sz w:val="20"/>
          <w:szCs w:val="20"/>
          <w:color w:val="auto"/>
        </w:rPr>
      </w:pPr>
      <w:r>
        <w:rPr>
          <w:rFonts w:ascii="Times New Roman" w:cs="Times New Roman" w:eastAsia="Times New Roman" w:hAnsi="Times New Roman"/>
          <w:sz w:val="17"/>
          <w:szCs w:val="17"/>
          <w:color w:val="auto"/>
        </w:rPr>
        <w:t xml:space="preserve">Copies of certain information filed by us with the SEC are also available on our website at </w:t>
      </w:r>
      <w:r>
        <w:rPr>
          <w:rFonts w:ascii="Times New Roman" w:cs="Times New Roman" w:eastAsia="Times New Roman" w:hAnsi="Times New Roman"/>
          <w:sz w:val="17"/>
          <w:szCs w:val="17"/>
          <w:i w:val="1"/>
          <w:iCs w:val="1"/>
          <w:color w:val="auto"/>
        </w:rPr>
        <w:t>http://www.markertherapeutics.com</w:t>
      </w:r>
      <w:r>
        <w:rPr>
          <w:rFonts w:ascii="Times New Roman" w:cs="Times New Roman" w:eastAsia="Times New Roman" w:hAnsi="Times New Roman"/>
          <w:sz w:val="17"/>
          <w:szCs w:val="17"/>
          <w:color w:val="auto"/>
        </w:rPr>
        <w:t>. Information contained in or accessible through our website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48" w:lineRule="exact"/>
        <w:rPr>
          <w:sz w:val="20"/>
          <w:szCs w:val="20"/>
          <w:color w:val="auto"/>
        </w:rPr>
      </w:pPr>
    </w:p>
    <w:p>
      <w:pPr>
        <w:ind w:left="1160" w:right="719" w:firstLine="335"/>
        <w:spacing w:after="0" w:line="253"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following documents are incorporated by reference into this document:</w:t>
      </w:r>
    </w:p>
    <w:p>
      <w:pPr>
        <w:spacing w:after="0" w:line="106" w:lineRule="exact"/>
        <w:rPr>
          <w:sz w:val="20"/>
          <w:szCs w:val="20"/>
          <w:color w:val="auto"/>
        </w:rPr>
      </w:pPr>
    </w:p>
    <w:p>
      <w:pPr>
        <w:ind w:left="1660" w:right="699" w:hanging="161"/>
        <w:spacing w:after="0" w:line="273" w:lineRule="auto"/>
        <w:tabs>
          <w:tab w:leader="none" w:pos="1660" w:val="left"/>
        </w:tabs>
        <w:numPr>
          <w:ilvl w:val="0"/>
          <w:numId w:val="32"/>
        </w:numPr>
        <w:rPr>
          <w:rFonts w:ascii="Times New Roman" w:cs="Times New Roman" w:eastAsia="Times New Roman" w:hAnsi="Times New Roman"/>
          <w:sz w:val="17"/>
          <w:szCs w:val="17"/>
          <w:u w:val="single" w:color="auto"/>
          <w:color w:val="0000EE"/>
        </w:rPr>
      </w:pPr>
      <w:hyperlink r:id="rId66">
        <w:r>
          <w:rPr>
            <w:rFonts w:ascii="Times New Roman" w:cs="Times New Roman" w:eastAsia="Times New Roman" w:hAnsi="Times New Roman"/>
            <w:sz w:val="17"/>
            <w:szCs w:val="17"/>
            <w:u w:val="single" w:color="auto"/>
            <w:color w:val="0000EE"/>
          </w:rPr>
          <w:t>our Annual Report on Form 10-K for the fiscal year ended December 31, 2023, filed with the SEC on</w:t>
        </w:r>
      </w:hyperlink>
      <w:r>
        <w:rPr>
          <w:rFonts w:ascii="Times New Roman" w:cs="Times New Roman" w:eastAsia="Times New Roman" w:hAnsi="Times New Roman"/>
          <w:sz w:val="17"/>
          <w:szCs w:val="17"/>
          <w:u w:val="single" w:color="auto"/>
          <w:color w:val="0000EE"/>
        </w:rPr>
        <w:t xml:space="preserve"> </w:t>
      </w:r>
      <w:hyperlink r:id="rId66">
        <w:r>
          <w:rPr>
            <w:rFonts w:ascii="Times New Roman" w:cs="Times New Roman" w:eastAsia="Times New Roman" w:hAnsi="Times New Roman"/>
            <w:sz w:val="17"/>
            <w:szCs w:val="17"/>
            <w:u w:val="single" w:color="auto"/>
            <w:color w:val="0000EE"/>
          </w:rPr>
          <w:t>March 26, 2024;</w:t>
        </w:r>
      </w:hyperlink>
    </w:p>
    <w:p>
      <w:pPr>
        <w:spacing w:after="0" w:line="57" w:lineRule="exact"/>
        <w:rPr>
          <w:rFonts w:ascii="Times New Roman" w:cs="Times New Roman" w:eastAsia="Times New Roman" w:hAnsi="Times New Roman"/>
          <w:sz w:val="17"/>
          <w:szCs w:val="17"/>
          <w:u w:val="single" w:color="auto"/>
          <w:color w:val="0000EE"/>
        </w:rPr>
      </w:pPr>
    </w:p>
    <w:p>
      <w:pPr>
        <w:ind w:left="1660" w:right="739" w:hanging="161"/>
        <w:spacing w:after="0" w:line="260" w:lineRule="auto"/>
        <w:tabs>
          <w:tab w:leader="none" w:pos="1660" w:val="left"/>
        </w:tabs>
        <w:numPr>
          <w:ilvl w:val="0"/>
          <w:numId w:val="32"/>
        </w:numPr>
        <w:rPr>
          <w:rFonts w:ascii="Times New Roman" w:cs="Times New Roman" w:eastAsia="Times New Roman" w:hAnsi="Times New Roman"/>
          <w:sz w:val="17"/>
          <w:szCs w:val="17"/>
          <w:u w:val="single" w:color="auto"/>
          <w:color w:val="0000EE"/>
        </w:rPr>
      </w:pPr>
      <w:hyperlink r:id="rId66">
        <w:r>
          <w:rPr>
            <w:rFonts w:ascii="Times New Roman" w:cs="Times New Roman" w:eastAsia="Times New Roman" w:hAnsi="Times New Roman"/>
            <w:sz w:val="17"/>
            <w:szCs w:val="17"/>
            <w:color w:val="auto"/>
          </w:rPr>
          <w:t xml:space="preserve">the information specifically incorporated by reference into </w:t>
        </w:r>
        <w:r>
          <w:rPr>
            <w:rFonts w:ascii="Times New Roman" w:cs="Times New Roman" w:eastAsia="Times New Roman" w:hAnsi="Times New Roman"/>
            <w:sz w:val="17"/>
            <w:szCs w:val="17"/>
            <w:u w:val="single" w:color="auto"/>
            <w:color w:val="0000EE"/>
          </w:rPr>
          <w:t>our Annual Report on Form 10-K for the</w:t>
        </w:r>
      </w:hyperlink>
      <w:r>
        <w:rPr>
          <w:rFonts w:ascii="Times New Roman" w:cs="Times New Roman" w:eastAsia="Times New Roman" w:hAnsi="Times New Roman"/>
          <w:sz w:val="17"/>
          <w:szCs w:val="17"/>
          <w:color w:val="auto"/>
        </w:rPr>
        <w:t xml:space="preserve"> </w:t>
      </w:r>
      <w:hyperlink r:id="rId67">
        <w:r>
          <w:rPr>
            <w:rFonts w:ascii="Times New Roman" w:cs="Times New Roman" w:eastAsia="Times New Roman" w:hAnsi="Times New Roman"/>
            <w:sz w:val="17"/>
            <w:szCs w:val="17"/>
            <w:u w:val="single" w:color="auto"/>
            <w:color w:val="0000EE"/>
          </w:rPr>
          <w:t>year ended December 31,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from our Definitive Proxy Statement 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Schedule 14A, filed with the</w:t>
        </w:r>
      </w:hyperlink>
      <w:r>
        <w:rPr>
          <w:rFonts w:ascii="Times New Roman" w:cs="Times New Roman" w:eastAsia="Times New Roman" w:hAnsi="Times New Roman"/>
          <w:sz w:val="17"/>
          <w:szCs w:val="17"/>
          <w:color w:val="0000EE"/>
        </w:rPr>
        <w:t xml:space="preserve"> </w:t>
      </w:r>
      <w:hyperlink r:id="rId67">
        <w:r>
          <w:rPr>
            <w:rFonts w:ascii="Times New Roman" w:cs="Times New Roman" w:eastAsia="Times New Roman" w:hAnsi="Times New Roman"/>
            <w:sz w:val="17"/>
            <w:szCs w:val="17"/>
            <w:u w:val="single" w:color="auto"/>
            <w:color w:val="0000EE"/>
          </w:rPr>
          <w:t>SEC on April 26, 2024;</w:t>
        </w:r>
      </w:hyperlink>
    </w:p>
    <w:p>
      <w:pPr>
        <w:spacing w:after="0" w:line="68" w:lineRule="exact"/>
        <w:rPr>
          <w:rFonts w:ascii="Times New Roman" w:cs="Times New Roman" w:eastAsia="Times New Roman" w:hAnsi="Times New Roman"/>
          <w:sz w:val="17"/>
          <w:szCs w:val="17"/>
          <w:u w:val="single" w:color="auto"/>
          <w:color w:val="0000EE"/>
        </w:rPr>
      </w:pPr>
    </w:p>
    <w:p>
      <w:pPr>
        <w:ind w:left="1660" w:right="859" w:hanging="161"/>
        <w:spacing w:after="0" w:line="260" w:lineRule="auto"/>
        <w:tabs>
          <w:tab w:leader="none" w:pos="1660" w:val="left"/>
        </w:tabs>
        <w:numPr>
          <w:ilvl w:val="0"/>
          <w:numId w:val="32"/>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fiscal quarters ended March 31, 2024, June 30, 2024, </w:t>
      </w:r>
      <w:hyperlink r:id="rId68">
        <w:r>
          <w:rPr>
            <w:rFonts w:ascii="Times New Roman" w:cs="Times New Roman" w:eastAsia="Times New Roman" w:hAnsi="Times New Roman"/>
            <w:sz w:val="17"/>
            <w:szCs w:val="17"/>
            <w:color w:val="auto"/>
          </w:rPr>
          <w:t xml:space="preserve">and September 30, 2024, filed with the SEC on </w:t>
        </w:r>
        <w:r>
          <w:rPr>
            <w:rFonts w:ascii="Times New Roman" w:cs="Times New Roman" w:eastAsia="Times New Roman" w:hAnsi="Times New Roman"/>
            <w:sz w:val="17"/>
            <w:szCs w:val="17"/>
            <w:u w:val="single" w:color="auto"/>
            <w:color w:val="0000EE"/>
          </w:rPr>
          <w:t>May 15,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August 14, 2024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November 14,</w:t>
        </w:r>
      </w:hyperlink>
      <w:r>
        <w:rPr>
          <w:rFonts w:ascii="Times New Roman" w:cs="Times New Roman" w:eastAsia="Times New Roman" w:hAnsi="Times New Roman"/>
          <w:sz w:val="17"/>
          <w:szCs w:val="17"/>
          <w:color w:val="auto"/>
        </w:rPr>
        <w:t xml:space="preserve"> </w:t>
      </w:r>
      <w:hyperlink r:id="rId68">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00"/>
          </w:rPr>
          <w:t>, respectively;</w:t>
        </w:r>
      </w:hyperlink>
    </w:p>
    <w:p>
      <w:pPr>
        <w:spacing w:after="0" w:line="68" w:lineRule="exact"/>
        <w:rPr>
          <w:rFonts w:ascii="Times New Roman" w:cs="Times New Roman" w:eastAsia="Times New Roman" w:hAnsi="Times New Roman"/>
          <w:sz w:val="17"/>
          <w:szCs w:val="17"/>
          <w:color w:val="0000EE"/>
        </w:rPr>
      </w:pPr>
    </w:p>
    <w:p>
      <w:pPr>
        <w:ind w:left="1660" w:right="1139" w:hanging="161"/>
        <w:spacing w:after="0" w:line="260" w:lineRule="auto"/>
        <w:tabs>
          <w:tab w:leader="none" w:pos="1660" w:val="left"/>
        </w:tabs>
        <w:numPr>
          <w:ilvl w:val="0"/>
          <w:numId w:val="32"/>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69">
        <w:r>
          <w:rPr>
            <w:rFonts w:ascii="Times New Roman" w:cs="Times New Roman" w:eastAsia="Times New Roman" w:hAnsi="Times New Roman"/>
            <w:sz w:val="17"/>
            <w:szCs w:val="17"/>
            <w:u w:val="single" w:color="auto"/>
            <w:color w:val="0000EE"/>
          </w:rPr>
          <w:t>January 8, 2024</w:t>
        </w:r>
      </w:hyperlink>
      <w:r>
        <w:rPr>
          <w:rFonts w:ascii="Times New Roman" w:cs="Times New Roman" w:eastAsia="Times New Roman" w:hAnsi="Times New Roman"/>
          <w:sz w:val="17"/>
          <w:szCs w:val="17"/>
          <w:color w:val="auto"/>
        </w:rPr>
        <w:t xml:space="preserve">, </w:t>
      </w:r>
      <w:hyperlink r:id="rId70">
        <w:r>
          <w:rPr>
            <w:rFonts w:ascii="Times New Roman" w:cs="Times New Roman" w:eastAsia="Times New Roman" w:hAnsi="Times New Roman"/>
            <w:sz w:val="17"/>
            <w:szCs w:val="17"/>
            <w:u w:val="single" w:color="auto"/>
            <w:color w:val="0000EE"/>
          </w:rPr>
          <w:t>February 26, 2024</w:t>
        </w:r>
      </w:hyperlink>
      <w:r>
        <w:rPr>
          <w:rFonts w:ascii="Times New Roman" w:cs="Times New Roman" w:eastAsia="Times New Roman" w:hAnsi="Times New Roman"/>
          <w:sz w:val="17"/>
          <w:szCs w:val="17"/>
          <w:color w:val="auto"/>
        </w:rPr>
        <w:t xml:space="preserve">, </w:t>
      </w:r>
      <w:hyperlink r:id="rId71">
        <w:r>
          <w:rPr>
            <w:rFonts w:ascii="Times New Roman" w:cs="Times New Roman" w:eastAsia="Times New Roman" w:hAnsi="Times New Roman"/>
            <w:sz w:val="17"/>
            <w:szCs w:val="17"/>
            <w:u w:val="single" w:color="auto"/>
            <w:color w:val="0000EE"/>
          </w:rPr>
          <w:t>March 1,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2">
        <w:r>
          <w:rPr>
            <w:rFonts w:ascii="Times New Roman" w:cs="Times New Roman" w:eastAsia="Times New Roman" w:hAnsi="Times New Roman"/>
            <w:sz w:val="17"/>
            <w:szCs w:val="17"/>
            <w:u w:val="single" w:color="auto"/>
            <w:color w:val="0000EE"/>
          </w:rPr>
          <w:t>March 26,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3">
        <w:r>
          <w:rPr>
            <w:rFonts w:ascii="Times New Roman" w:cs="Times New Roman" w:eastAsia="Times New Roman" w:hAnsi="Times New Roman"/>
            <w:sz w:val="17"/>
            <w:szCs w:val="17"/>
            <w:u w:val="single" w:color="auto"/>
            <w:color w:val="0000EE"/>
          </w:rPr>
          <w:t>April 8,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4">
        <w:r>
          <w:rPr>
            <w:rFonts w:ascii="Times New Roman" w:cs="Times New Roman" w:eastAsia="Times New Roman" w:hAnsi="Times New Roman"/>
            <w:sz w:val="17"/>
            <w:szCs w:val="17"/>
            <w:u w:val="single" w:color="auto"/>
            <w:color w:val="0000EE"/>
          </w:rPr>
          <w:t>May 15,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5">
        <w:r>
          <w:rPr>
            <w:rFonts w:ascii="Times New Roman" w:cs="Times New Roman" w:eastAsia="Times New Roman" w:hAnsi="Times New Roman"/>
            <w:sz w:val="17"/>
            <w:szCs w:val="17"/>
            <w:u w:val="single" w:color="auto"/>
            <w:color w:val="0000EE"/>
          </w:rPr>
          <w:t>June 12,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6">
        <w:r>
          <w:rPr>
            <w:rFonts w:ascii="Times New Roman" w:cs="Times New Roman" w:eastAsia="Times New Roman" w:hAnsi="Times New Roman"/>
            <w:sz w:val="17"/>
            <w:szCs w:val="17"/>
            <w:u w:val="single" w:color="auto"/>
            <w:color w:val="0000EE"/>
          </w:rPr>
          <w:t>August 12,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7">
        <w:r>
          <w:rPr>
            <w:rFonts w:ascii="Times New Roman" w:cs="Times New Roman" w:eastAsia="Times New Roman" w:hAnsi="Times New Roman"/>
            <w:sz w:val="17"/>
            <w:szCs w:val="17"/>
            <w:u w:val="single" w:color="auto"/>
            <w:color w:val="0000EE"/>
          </w:rPr>
          <w:t>August 14, 2024</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78">
        <w:r>
          <w:rPr>
            <w:rFonts w:ascii="Times New Roman" w:cs="Times New Roman" w:eastAsia="Times New Roman" w:hAnsi="Times New Roman"/>
            <w:sz w:val="17"/>
            <w:szCs w:val="17"/>
            <w:u w:val="single" w:color="auto"/>
            <w:color w:val="0000EE"/>
          </w:rPr>
          <w:t>November 14,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68" w:lineRule="exact"/>
        <w:rPr>
          <w:rFonts w:ascii="Times New Roman" w:cs="Times New Roman" w:eastAsia="Times New Roman" w:hAnsi="Times New Roman"/>
          <w:sz w:val="17"/>
          <w:szCs w:val="17"/>
          <w:color w:val="0000EE"/>
        </w:rPr>
      </w:pPr>
    </w:p>
    <w:p>
      <w:pPr>
        <w:ind w:left="1660" w:right="799" w:hanging="161"/>
        <w:spacing w:after="0" w:line="255" w:lineRule="auto"/>
        <w:tabs>
          <w:tab w:leader="none" w:pos="1660" w:val="left"/>
        </w:tabs>
        <w:numPr>
          <w:ilvl w:val="0"/>
          <w:numId w:val="32"/>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our common stock set forth in the amendment to the registration statement on </w:t>
      </w:r>
      <w:hyperlink r:id="rId79">
        <w:r>
          <w:rPr>
            <w:rFonts w:ascii="Times New Roman" w:cs="Times New Roman" w:eastAsia="Times New Roman" w:hAnsi="Times New Roman"/>
            <w:sz w:val="17"/>
            <w:szCs w:val="17"/>
            <w:u w:val="single" w:color="auto"/>
            <w:color w:val="0000EE"/>
          </w:rPr>
          <w:t>Form 8-A12B registering our common stock under Section 12 of the Exchange Act, which was filed</w:t>
        </w:r>
      </w:hyperlink>
      <w:r>
        <w:rPr>
          <w:rFonts w:ascii="Times New Roman" w:cs="Times New Roman" w:eastAsia="Times New Roman" w:hAnsi="Times New Roman"/>
          <w:sz w:val="17"/>
          <w:szCs w:val="17"/>
          <w:u w:val="single" w:color="auto"/>
          <w:color w:val="0000EE"/>
        </w:rPr>
        <w:t xml:space="preserve"> </w:t>
      </w:r>
      <w:hyperlink r:id="rId79">
        <w:r>
          <w:rPr>
            <w:rFonts w:ascii="Times New Roman" w:cs="Times New Roman" w:eastAsia="Times New Roman" w:hAnsi="Times New Roman"/>
            <w:sz w:val="17"/>
            <w:szCs w:val="17"/>
            <w:u w:val="single" w:color="auto"/>
            <w:color w:val="0000EE"/>
          </w:rPr>
          <w:t>with the SEC on October 17, 2018</w:t>
        </w:r>
        <w:r>
          <w:rPr>
            <w:rFonts w:ascii="Times New Roman" w:cs="Times New Roman" w:eastAsia="Times New Roman" w:hAnsi="Times New Roman"/>
            <w:sz w:val="17"/>
            <w:szCs w:val="17"/>
            <w:color w:val="000000"/>
          </w:rPr>
          <w:t>, including any amendments or reports filed for purposes of</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updating such description.</w:t>
      </w:r>
    </w:p>
    <w:p>
      <w:pPr>
        <w:spacing w:after="0" w:line="99" w:lineRule="exact"/>
        <w:rPr>
          <w:rFonts w:ascii="Times New Roman" w:cs="Times New Roman" w:eastAsia="Times New Roman" w:hAnsi="Times New Roman"/>
          <w:sz w:val="17"/>
          <w:szCs w:val="17"/>
          <w:color w:val="auto"/>
        </w:rPr>
      </w:pPr>
    </w:p>
    <w:p>
      <w:pPr>
        <w:ind w:left="1160" w:right="799" w:firstLine="335"/>
        <w:spacing w:after="0" w:line="253" w:lineRule="auto"/>
        <w:rPr>
          <w:sz w:val="20"/>
          <w:szCs w:val="20"/>
          <w:color w:val="auto"/>
        </w:rPr>
      </w:pPr>
      <w:r>
        <w:rPr>
          <w:rFonts w:ascii="Times New Roman" w:cs="Times New Roman" w:eastAsia="Times New Roman" w:hAnsi="Times New Roman"/>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7"/>
          <w:szCs w:val="17"/>
          <w:color w:val="auto"/>
        </w:rPr>
      </w:pPr>
    </w:p>
    <w:p>
      <w:pPr>
        <w:ind w:left="1160" w:right="779" w:firstLine="4"/>
        <w:spacing w:after="0" w:line="249" w:lineRule="auto"/>
        <w:tabs>
          <w:tab w:leader="none" w:pos="137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15" w:lineRule="exact"/>
        <w:rPr>
          <w:rFonts w:ascii="Times New Roman" w:cs="Times New Roman" w:eastAsia="Times New Roman" w:hAnsi="Times New Roman"/>
          <w:sz w:val="17"/>
          <w:szCs w:val="17"/>
          <w:color w:val="auto"/>
        </w:rPr>
      </w:pPr>
    </w:p>
    <w:p>
      <w:pPr>
        <w:ind w:left="1160" w:right="719" w:firstLine="335"/>
        <w:spacing w:after="0" w:line="252"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13" w:lineRule="exact"/>
        <w:rPr>
          <w:rFonts w:ascii="Times New Roman" w:cs="Times New Roman" w:eastAsia="Times New Roman" w:hAnsi="Times New Roman"/>
          <w:sz w:val="17"/>
          <w:szCs w:val="17"/>
          <w:color w:val="auto"/>
        </w:rPr>
      </w:pPr>
    </w:p>
    <w:p>
      <w:pPr>
        <w:ind w:left="1160" w:right="919" w:firstLine="335"/>
        <w:spacing w:after="0" w:line="253" w:lineRule="auto"/>
        <w:rPr>
          <w:sz w:val="20"/>
          <w:szCs w:val="20"/>
          <w:color w:val="auto"/>
        </w:rPr>
      </w:pPr>
      <w:r>
        <w:rPr>
          <w:rFonts w:ascii="Times New Roman" w:cs="Times New Roman" w:eastAsia="Times New Roman" w:hAnsi="Times New Roman"/>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8" w:lineRule="exact"/>
        <w:rPr>
          <w:rFonts w:ascii="Times New Roman" w:cs="Times New Roman" w:eastAsia="Times New Roman" w:hAnsi="Times New Roman"/>
          <w:sz w:val="17"/>
          <w:szCs w:val="17"/>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-635</wp:posOffset>
            </wp:positionV>
            <wp:extent cx="485140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4851400" cy="1587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46355</wp:posOffset>
            </wp:positionV>
            <wp:extent cx="4851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4851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3"/>
          <w:szCs w:val="23"/>
          <w:b w:val="1"/>
          <w:b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3"/>
          <w:szCs w:val="23"/>
          <w:b w:val="1"/>
          <w:bCs w:val="1"/>
          <w:color w:val="auto"/>
        </w:rPr>
        <w:t>Preferred Stock</w:t>
      </w:r>
    </w:p>
    <w:p>
      <w:pPr>
        <w:ind w:left="4240"/>
        <w:spacing w:after="0"/>
        <w:rPr>
          <w:sz w:val="20"/>
          <w:szCs w:val="20"/>
          <w:color w:val="auto"/>
        </w:rPr>
      </w:pPr>
      <w:r>
        <w:rPr>
          <w:rFonts w:ascii="Times New Roman" w:cs="Times New Roman" w:eastAsia="Times New Roman" w:hAnsi="Times New Roman"/>
          <w:sz w:val="23"/>
          <w:szCs w:val="23"/>
          <w:b w:val="1"/>
          <w:bCs w:val="1"/>
          <w:color w:val="auto"/>
        </w:rPr>
        <w:t>Debt Securities</w:t>
      </w:r>
    </w:p>
    <w:p>
      <w:pPr>
        <w:ind w:left="4520"/>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914400</wp:posOffset>
            </wp:positionV>
            <wp:extent cx="2011045" cy="542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201104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20"/>
          <w:szCs w:val="20"/>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607060</wp:posOffset>
            </wp:positionV>
            <wp:extent cx="4851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4851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6350</wp:posOffset>
            </wp:positionV>
            <wp:extent cx="485140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4851400" cy="158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241300</wp:posOffset>
            </wp:positionV>
            <wp:extent cx="635317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3"/>
          <w:szCs w:val="13"/>
          <w:color w:val="003366"/>
        </w:rPr>
        <w:t>TABLE OF CONTENTS</w:t>
      </w:r>
    </w:p>
    <w:p>
      <w:pPr>
        <w:sectPr>
          <w:pgSz w:w="11900" w:h="16838" w:orient="portrait"/>
          <w:cols w:equalWidth="0" w:num="1">
            <w:col w:w="9499"/>
          </w:cols>
          <w:pgMar w:left="960" w:top="10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2573"/>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until the registration statement filed with</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these securities in any state where such</w:t>
            </w:r>
          </w:p>
        </w:tc>
        <w:tc>
          <w:tcPr>
            <w:tcW w:w="140" w:type="dxa"/>
            <w:vAlign w:val="bottom"/>
          </w:tcPr>
          <w:p>
            <w:pPr>
              <w:spacing w:after="0"/>
              <w:rPr>
                <w:sz w:val="24"/>
                <w:szCs w:val="24"/>
                <w:color w:val="auto"/>
              </w:rPr>
            </w:pPr>
          </w:p>
        </w:tc>
      </w:tr>
      <w:tr>
        <w:trPr>
          <w:trHeight w:val="147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to buy these securities</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soliciting offers to buy</w:t>
            </w:r>
          </w:p>
        </w:tc>
        <w:tc>
          <w:tcPr>
            <w:tcW w:w="140" w:type="dxa"/>
            <w:vAlign w:val="bottom"/>
          </w:tcPr>
          <w:p>
            <w:pPr>
              <w:spacing w:after="0"/>
              <w:rPr>
                <w:sz w:val="24"/>
                <w:szCs w:val="24"/>
                <w:color w:val="auto"/>
              </w:rPr>
            </w:pPr>
          </w:p>
        </w:tc>
      </w:tr>
      <w:tr>
        <w:trPr>
          <w:trHeight w:val="5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 offer</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it is not</w:t>
            </w:r>
          </w:p>
        </w:tc>
        <w:tc>
          <w:tcPr>
            <w:tcW w:w="140" w:type="dxa"/>
            <w:vAlign w:val="bottom"/>
          </w:tcPr>
          <w:p>
            <w:pPr>
              <w:spacing w:after="0"/>
              <w:rPr>
                <w:sz w:val="24"/>
                <w:szCs w:val="24"/>
                <w:color w:val="auto"/>
              </w:rPr>
            </w:pPr>
          </w:p>
        </w:tc>
      </w:tr>
      <w:tr>
        <w:trPr>
          <w:trHeight w:val="162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these securities or accept</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sell these securities, and</w:t>
            </w:r>
          </w:p>
        </w:tc>
        <w:tc>
          <w:tcPr>
            <w:tcW w:w="140" w:type="dxa"/>
            <w:vAlign w:val="bottom"/>
          </w:tcPr>
          <w:p>
            <w:pPr>
              <w:spacing w:after="0"/>
              <w:rPr>
                <w:sz w:val="24"/>
                <w:szCs w:val="24"/>
                <w:color w:val="auto"/>
              </w:rPr>
            </w:pPr>
          </w:p>
        </w:tc>
      </w:tr>
      <w:tr>
        <w:trPr>
          <w:trHeight w:val="50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not sell</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offer to</w:t>
            </w:r>
          </w:p>
        </w:tc>
        <w:tc>
          <w:tcPr>
            <w:tcW w:w="140" w:type="dxa"/>
            <w:vAlign w:val="bottom"/>
          </w:tcPr>
          <w:p>
            <w:pPr>
              <w:spacing w:after="0"/>
              <w:rPr>
                <w:sz w:val="24"/>
                <w:szCs w:val="24"/>
                <w:color w:val="auto"/>
              </w:rPr>
            </w:pPr>
          </w:p>
        </w:tc>
      </w:tr>
      <w:tr>
        <w:trPr>
          <w:trHeight w:val="1356"/>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be changed. We may</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prospectus is not an</w:t>
            </w:r>
          </w:p>
        </w:tc>
        <w:tc>
          <w:tcPr>
            <w:tcW w:w="140" w:type="dxa"/>
            <w:vAlign w:val="bottom"/>
          </w:tcPr>
          <w:p>
            <w:pPr>
              <w:spacing w:after="0"/>
              <w:rPr>
                <w:sz w:val="24"/>
                <w:szCs w:val="24"/>
                <w:color w:val="auto"/>
              </w:rPr>
            </w:pPr>
          </w:p>
        </w:tc>
      </w:tr>
      <w:tr>
        <w:trPr>
          <w:trHeight w:val="2607"/>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this prospectus is not complete and may</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Exchange Commission is effective. This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w w:val="98"/>
              </w:rPr>
              <w:t>permitted.</w:t>
            </w:r>
          </w:p>
        </w:tc>
      </w:tr>
      <w:tr>
        <w:trPr>
          <w:trHeight w:val="1170"/>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w:t>
            </w:r>
          </w:p>
        </w:tc>
        <w:tc>
          <w:tcPr>
            <w:tcW w:w="160" w:type="dxa"/>
            <w:vAlign w:val="bottom"/>
            <w:textDirection w:val="btLr"/>
          </w:tcPr>
          <w:p>
            <w:pPr>
              <w:ind w:left="11"/>
              <w:spacing w:after="0"/>
              <w:rPr>
                <w:sz w:val="20"/>
                <w:szCs w:val="20"/>
                <w:color w:val="auto"/>
              </w:rPr>
            </w:pPr>
            <w:r>
              <w:rPr>
                <w:rFonts w:ascii="Arial" w:cs="Arial" w:eastAsia="Arial" w:hAnsi="Arial"/>
                <w:sz w:val="13"/>
                <w:szCs w:val="13"/>
                <w:b w:val="1"/>
                <w:bCs w:val="1"/>
                <w:color w:val="FC0014"/>
              </w:rPr>
              <w:t>the Securities and</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offer or sale is not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FC0014"/>
        </w:rPr>
        <w:t>SUBJECT TO COMPLETION, DATED NOVEMBER 27,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64135</wp:posOffset>
            </wp:positionV>
            <wp:extent cx="2011045" cy="542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201104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$11,431,731</w:t>
      </w:r>
    </w:p>
    <w:p>
      <w:pPr>
        <w:spacing w:after="0" w:line="5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59" w:lineRule="exact"/>
        <w:rPr>
          <w:sz w:val="20"/>
          <w:szCs w:val="20"/>
          <w:color w:val="auto"/>
        </w:rPr>
      </w:pPr>
    </w:p>
    <w:p>
      <w:pPr>
        <w:ind w:right="459" w:firstLine="335"/>
        <w:spacing w:after="0" w:line="242" w:lineRule="auto"/>
        <w:rPr>
          <w:sz w:val="20"/>
          <w:szCs w:val="20"/>
          <w:color w:val="auto"/>
        </w:rPr>
      </w:pPr>
      <w:r>
        <w:rPr>
          <w:rFonts w:ascii="Times New Roman" w:cs="Times New Roman" w:eastAsia="Times New Roman" w:hAnsi="Times New Roman"/>
          <w:sz w:val="17"/>
          <w:szCs w:val="17"/>
          <w:color w:val="auto"/>
        </w:rPr>
        <w:t>This sales agreement prospectus and the accompanying base prospectus relates to the issuance and sale of shares of our common stock having an aggregate offering price of up to $11,431,713 from time to time through our sales agent, H.C. Wainwright &amp; Co., LLC, or the Sales Agent. These sales, if any, will be made pursuant to the terms of the At The Market Offering Agreement, or the Sales Agreement, between us and the Sales Agent, dated November 27, 2024, which is filed as an exhibit to the Registration Statement of which this prospectus is part.</w:t>
      </w:r>
    </w:p>
    <w:p>
      <w:pPr>
        <w:spacing w:after="0" w:line="24" w:lineRule="exact"/>
        <w:rPr>
          <w:sz w:val="20"/>
          <w:szCs w:val="20"/>
          <w:color w:val="auto"/>
        </w:rPr>
      </w:pPr>
    </w:p>
    <w:p>
      <w:pPr>
        <w:ind w:right="499" w:firstLine="335"/>
        <w:spacing w:after="0" w:line="241" w:lineRule="auto"/>
        <w:rPr>
          <w:sz w:val="20"/>
          <w:szCs w:val="20"/>
          <w:color w:val="auto"/>
        </w:rPr>
      </w:pPr>
      <w:r>
        <w:rPr>
          <w:rFonts w:ascii="Times New Roman" w:cs="Times New Roman" w:eastAsia="Times New Roman" w:hAnsi="Times New Roman"/>
          <w:sz w:val="17"/>
          <w:szCs w:val="17"/>
          <w:color w:val="auto"/>
        </w:rPr>
        <w:t>As of November 26, 2024, the aggregate market value of our outstanding common stock held by non-affiliates, or the public float, was approximately $34,295,194, which was calculated on 7,554,008 shares of our outstanding common stock held by non-affiliates and at a price of a price of $4.54 per share, the last reported sale price for our common stock on October 22, 2024. Pursuant to General Instruction I.B.6 of Form S-3, in no event will we sell our securities in a public primary offering with a value exceeding one-third of our public float in any 12-month period unless our public float subsequently rises to $75.0 million or more.</w:t>
      </w:r>
    </w:p>
    <w:p>
      <w:pPr>
        <w:spacing w:after="0" w:line="217" w:lineRule="exact"/>
        <w:rPr>
          <w:sz w:val="20"/>
          <w:szCs w:val="20"/>
          <w:color w:val="auto"/>
        </w:rPr>
      </w:pPr>
    </w:p>
    <w:p>
      <w:pPr>
        <w:ind w:right="1239" w:firstLine="335"/>
        <w:spacing w:after="0" w:line="258" w:lineRule="auto"/>
        <w:rPr>
          <w:sz w:val="20"/>
          <w:szCs w:val="20"/>
          <w:color w:val="auto"/>
        </w:rPr>
      </w:pPr>
      <w:r>
        <w:rPr>
          <w:rFonts w:ascii="Times New Roman" w:cs="Times New Roman" w:eastAsia="Times New Roman" w:hAnsi="Times New Roman"/>
          <w:sz w:val="17"/>
          <w:szCs w:val="17"/>
          <w:color w:val="auto"/>
        </w:rPr>
        <w:t>Our common stock is traded on The Nasdaq Capital Market under the symbol “MRKR.” On November 25, 2024, the last reported sale price of our common stock was $3.33 per share.</w:t>
      </w:r>
    </w:p>
    <w:p>
      <w:pPr>
        <w:spacing w:after="0" w:line="7" w:lineRule="exact"/>
        <w:rPr>
          <w:sz w:val="20"/>
          <w:szCs w:val="20"/>
          <w:color w:val="auto"/>
        </w:rPr>
      </w:pPr>
    </w:p>
    <w:p>
      <w:pPr>
        <w:ind w:right="399" w:firstLine="335"/>
        <w:spacing w:after="0" w:line="241" w:lineRule="auto"/>
        <w:rPr>
          <w:sz w:val="20"/>
          <w:szCs w:val="20"/>
          <w:color w:val="auto"/>
        </w:rPr>
      </w:pPr>
      <w:r>
        <w:rPr>
          <w:rFonts w:ascii="Times New Roman" w:cs="Times New Roman" w:eastAsia="Times New Roman" w:hAnsi="Times New Roman"/>
          <w:sz w:val="17"/>
          <w:szCs w:val="17"/>
          <w:color w:val="auto"/>
        </w:rPr>
        <w:t>Sales of shares of our common stock under this prospectus, if any, may be made by any method deemed to be an “at the market offering” as defined in Rule 415(a)(4) promulgated under the Securities Act of 1933, as amended, or the Securities Act, including, without limitation, sales made directly on The Nasdaq Capital Market or any other existing trading market for our common stock. The Sales Agent is not required to sell any specific number or dollar amount of shares of our common stock. The Sales Agent has agreed to use its commercially reasonable efforts consistent with its normal trading and sales practices to sell on our behalf all of the shares of common stock requested to be sold by us on mutually agreed terms between the Sales Agent and us. There is no arrangement for funds to be received in any escrow, trust or similar arrangement.</w:t>
      </w:r>
    </w:p>
    <w:p>
      <w:pPr>
        <w:spacing w:after="0" w:line="26" w:lineRule="exact"/>
        <w:rPr>
          <w:sz w:val="20"/>
          <w:szCs w:val="20"/>
          <w:color w:val="auto"/>
        </w:rPr>
      </w:pPr>
    </w:p>
    <w:p>
      <w:pPr>
        <w:ind w:right="399" w:firstLine="335"/>
        <w:spacing w:after="0" w:line="239" w:lineRule="auto"/>
        <w:rPr>
          <w:sz w:val="20"/>
          <w:szCs w:val="20"/>
          <w:color w:val="auto"/>
        </w:rPr>
      </w:pPr>
      <w:r>
        <w:rPr>
          <w:rFonts w:ascii="Times New Roman" w:cs="Times New Roman" w:eastAsia="Times New Roman" w:hAnsi="Times New Roman"/>
          <w:sz w:val="17"/>
          <w:szCs w:val="17"/>
          <w:color w:val="auto"/>
        </w:rPr>
        <w:t>The Sales Agent will be entitled to compensation under the terms of the Sales Agreement at a commission rate equal to 3.0% of the gross sales price per share sold. The net proceeds from any sales under this sales agreement prospectus and the accompanying base prospectus will be used as described under the section entitled “Use of Proceeds.” See “Plan of Distribution” for additional information regarding compensation to be paid to the Sales Agent. The proceeds we receive from sales of our common stock, if any, will depend on the number of shares actually sold and the offering price of such shares.</w:t>
      </w:r>
    </w:p>
    <w:p>
      <w:pPr>
        <w:spacing w:after="0" w:line="26" w:lineRule="exact"/>
        <w:rPr>
          <w:sz w:val="20"/>
          <w:szCs w:val="20"/>
          <w:color w:val="auto"/>
        </w:rPr>
      </w:pPr>
    </w:p>
    <w:p>
      <w:pPr>
        <w:ind w:right="639" w:firstLine="335"/>
        <w:spacing w:after="0" w:line="245" w:lineRule="auto"/>
        <w:rPr>
          <w:sz w:val="20"/>
          <w:szCs w:val="20"/>
          <w:color w:val="auto"/>
        </w:rPr>
      </w:pPr>
      <w:r>
        <w:rPr>
          <w:rFonts w:ascii="Times New Roman" w:cs="Times New Roman" w:eastAsia="Times New Roman" w:hAnsi="Times New Roman"/>
          <w:sz w:val="17"/>
          <w:szCs w:val="17"/>
          <w:color w:val="auto"/>
        </w:rPr>
        <w:t>In connection with the sale of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95250</wp:posOffset>
            </wp:positionV>
            <wp:extent cx="11493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22" w:lineRule="exact"/>
        <w:rPr>
          <w:sz w:val="20"/>
          <w:szCs w:val="20"/>
          <w:color w:val="auto"/>
        </w:rPr>
      </w:pPr>
    </w:p>
    <w:p>
      <w:pPr>
        <w:ind w:right="759" w:firstLine="335"/>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6"/>
          <w:szCs w:val="16"/>
          <w:b w:val="1"/>
          <w:bCs w:val="1"/>
          <w:i w:val="1"/>
          <w:iCs w:val="1"/>
          <w:u w:val="single" w:color="auto"/>
          <w:color w:val="0000EE"/>
        </w:rPr>
        <w:t>S-5</w:t>
      </w:r>
      <w:r>
        <w:rPr>
          <w:rFonts w:ascii="Times New Roman" w:cs="Times New Roman" w:eastAsia="Times New Roman" w:hAnsi="Times New Roman"/>
          <w:sz w:val="16"/>
          <w:szCs w:val="16"/>
          <w:b w:val="1"/>
          <w:bCs w:val="1"/>
          <w:i w:val="1"/>
          <w:iCs w:val="1"/>
          <w:color w:val="auto"/>
        </w:rPr>
        <w:t xml:space="preserve"> of this prospectus,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78105</wp:posOffset>
            </wp:positionV>
            <wp:extent cx="11493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08" w:lineRule="exact"/>
        <w:rPr>
          <w:sz w:val="20"/>
          <w:szCs w:val="20"/>
          <w:color w:val="auto"/>
        </w:rPr>
      </w:pPr>
    </w:p>
    <w:p>
      <w:pPr>
        <w:jc w:val="both"/>
        <w:ind w:right="559" w:firstLine="335"/>
        <w:spacing w:after="0" w:line="24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30"/>
          <w:szCs w:val="30"/>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132080</wp:posOffset>
            </wp:positionV>
            <wp:extent cx="1149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232410</wp:posOffset>
            </wp:positionV>
            <wp:extent cx="632777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327775" cy="41275"/>
                    </a:xfrm>
                    <a:prstGeom prst="rect">
                      <a:avLst/>
                    </a:prstGeom>
                    <a:noFill/>
                  </pic:spPr>
                </pic:pic>
              </a:graphicData>
            </a:graphic>
          </wp:anchor>
        </w:drawing>
      </w:r>
    </w:p>
    <w:p>
      <w:pPr>
        <w:sectPr>
          <w:pgSz w:w="11900" w:h="16838" w:orient="portrait"/>
          <w:cols w:equalWidth="0" w:num="2">
            <w:col w:w="1260" w:space="200"/>
            <w:col w:w="8039"/>
          </w:cols>
          <w:pgMar w:left="960" w:top="101"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ABOUT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-104775</wp:posOffset>
            </wp:positionV>
            <wp:extent cx="485521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4855210" cy="111760"/>
                    </a:xfrm>
                    <a:prstGeom prst="rect">
                      <a:avLst/>
                    </a:prstGeom>
                    <a:noFill/>
                  </pic:spPr>
                </pic:pic>
              </a:graphicData>
            </a:graphic>
          </wp:anchor>
        </w:drawing>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u w:val="single" w:color="auto"/>
          <w:color w:val="0000EE"/>
        </w:rPr>
        <w:t>SUMMARY</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855210" cy="159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4855210" cy="159385"/>
                    </a:xfrm>
                    <a:prstGeom prst="rect">
                      <a:avLst/>
                    </a:prstGeom>
                    <a:noFill/>
                  </pic:spPr>
                </pic:pic>
              </a:graphicData>
            </a:graphic>
          </wp:anchor>
        </w:drawing>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THE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OFFERING</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RISK</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right="1320"/>
        <w:spacing w:after="0" w:line="308" w:lineRule="auto"/>
        <w:rPr>
          <w:sz w:val="20"/>
          <w:szCs w:val="20"/>
          <w:color w:val="auto"/>
        </w:rPr>
      </w:pPr>
      <w:r>
        <w:rPr>
          <w:rFonts w:ascii="Times New Roman" w:cs="Times New Roman" w:eastAsia="Times New Roman" w:hAnsi="Times New Roman"/>
          <w:sz w:val="17"/>
          <w:szCs w:val="17"/>
          <w:color w:val="0000EE"/>
        </w:rPr>
        <w:t>SPECIAL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NOTE REGARDING FORWARD-LOOKING STATEMENTS USE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-44450</wp:posOffset>
            </wp:positionV>
            <wp:extent cx="4855210" cy="18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7"/>
          <w:szCs w:val="17"/>
          <w:u w:val="single" w:color="auto"/>
          <w:color w:val="0000EE"/>
        </w:rPr>
        <w:t>DILUTION</w:t>
      </w:r>
      <w:r>
        <w:rPr>
          <w:rFonts w:ascii="Times New Roman" w:cs="Times New Roman" w:eastAsia="Times New Roman" w:hAnsi="Times New Roman"/>
          <w:sz w:val="17"/>
          <w:szCs w:val="17"/>
          <w:color w:val="000000"/>
        </w:rPr>
        <w:t>​</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DESCRIPTION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PLAN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DISTRIBUTION</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LEGAL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u w:val="single" w:color="auto"/>
          <w:color w:val="0000EE"/>
        </w:rPr>
        <w:t>EXPERTS</w:t>
      </w:r>
      <w:r>
        <w:rPr>
          <w:rFonts w:ascii="Times New Roman" w:cs="Times New Roman" w:eastAsia="Times New Roman" w:hAnsi="Times New Roman"/>
          <w:sz w:val="17"/>
          <w:szCs w:val="17"/>
          <w:color w:val="000000"/>
        </w:rPr>
        <w:t>​</w:t>
      </w:r>
    </w:p>
    <w:p>
      <w:pPr>
        <w:spacing w:after="0" w:line="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WHERE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-9525</wp:posOffset>
            </wp:positionV>
            <wp:extent cx="4855210" cy="183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4855210" cy="183515"/>
                    </a:xfrm>
                    <a:prstGeom prst="rect">
                      <a:avLst/>
                    </a:prstGeom>
                    <a:noFill/>
                  </pic:spPr>
                </pic:pic>
              </a:graphicData>
            </a:graphic>
          </wp:anchor>
        </w:drawing>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0000EE"/>
        </w:rPr>
        <w:t>INCORPORATION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5331460</wp:posOffset>
            </wp:positionV>
            <wp:extent cx="635317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S-i</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S-1</w:t>
      </w:r>
      <w:r>
        <w:rPr>
          <w:rFonts w:ascii="Times New Roman" w:cs="Times New Roman" w:eastAsia="Times New Roman" w:hAnsi="Times New Roman"/>
          <w:sz w:val="17"/>
          <w:szCs w:val="17"/>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S-4</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S-5</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S-8</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S-10</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S-11</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S-12</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S-16</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S-17</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S-18</w:t>
      </w:r>
      <w:r>
        <w:rPr>
          <w:rFonts w:ascii="Times New Roman" w:cs="Times New Roman" w:eastAsia="Times New Roman" w:hAnsi="Times New Roman"/>
          <w:sz w:val="17"/>
          <w:szCs w:val="17"/>
          <w:color w:val="auto"/>
        </w:rPr>
        <w:t>​</w:t>
      </w:r>
    </w:p>
    <w:p>
      <w:pPr>
        <w:sectPr>
          <w:pgSz w:w="11900" w:h="16838" w:orient="portrait"/>
          <w:cols w:equalWidth="0" w:num="2">
            <w:col w:w="7600" w:space="720"/>
            <w:col w:w="1179"/>
          </w:cols>
          <w:pgMar w:left="960" w:top="101"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8" w:lineRule="exact"/>
        <w:rPr>
          <w:sz w:val="20"/>
          <w:szCs w:val="20"/>
          <w:color w:val="auto"/>
        </w:rPr>
      </w:pPr>
    </w:p>
    <w:p>
      <w:pPr>
        <w:ind w:left="1160" w:right="719" w:firstLine="335"/>
        <w:spacing w:after="0" w:line="250" w:lineRule="auto"/>
        <w:rPr>
          <w:sz w:val="20"/>
          <w:szCs w:val="20"/>
          <w:color w:val="auto"/>
        </w:rPr>
      </w:pPr>
      <w:r>
        <w:rPr>
          <w:rFonts w:ascii="Times New Roman" w:cs="Times New Roman" w:eastAsia="Times New Roman" w:hAnsi="Times New Roman"/>
          <w:sz w:val="17"/>
          <w:szCs w:val="17"/>
          <w:color w:val="auto"/>
        </w:rPr>
        <w:t>This prospectus relates to part of a registration statement on Form S-3 that we have filed with the Securities and Exchange Commission, or SEC, utilizing a “shelf” registration process. Under this shelf registration process, we may sell any combination of the securities described in our base prospectus included in the shelf registration statement in one or more offerings up to a total aggregate offering price of $300,000,000. The $11,431,731 of common stock that may be offered, issued and sold under this prospectus is included in the $300,000,000 of securities that may be offered, issued and sold by us pursuant to our shelf registration statement. In connection with such offers and when accompanied by the base prospectus included in the registration statement of which this prospectus forms a part, this prospectus will be deemed a prospectus supplement to such base prospectus.</w:t>
      </w:r>
    </w:p>
    <w:p>
      <w:pPr>
        <w:spacing w:after="0" w:line="115" w:lineRule="exact"/>
        <w:rPr>
          <w:sz w:val="20"/>
          <w:szCs w:val="20"/>
          <w:color w:val="auto"/>
        </w:rPr>
      </w:pPr>
    </w:p>
    <w:p>
      <w:pPr>
        <w:ind w:left="1160" w:right="739" w:firstLine="335"/>
        <w:spacing w:after="0" w:line="253" w:lineRule="auto"/>
        <w:rPr>
          <w:sz w:val="20"/>
          <w:szCs w:val="20"/>
          <w:color w:val="auto"/>
        </w:rPr>
      </w:pPr>
      <w:r>
        <w:rPr>
          <w:rFonts w:ascii="Times New Roman" w:cs="Times New Roman" w:eastAsia="Times New Roman" w:hAnsi="Times New Roman"/>
          <w:sz w:val="17"/>
          <w:szCs w:val="17"/>
          <w:color w:val="auto"/>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w:t>
      </w:r>
    </w:p>
    <w:p>
      <w:pPr>
        <w:spacing w:after="0" w:line="101" w:lineRule="exact"/>
        <w:rPr>
          <w:sz w:val="20"/>
          <w:szCs w:val="20"/>
          <w:color w:val="auto"/>
        </w:rPr>
      </w:pPr>
    </w:p>
    <w:p>
      <w:pPr>
        <w:ind w:left="1160" w:right="719" w:firstLine="335"/>
        <w:spacing w:after="0" w:line="250" w:lineRule="auto"/>
        <w:rPr>
          <w:sz w:val="20"/>
          <w:szCs w:val="20"/>
          <w:color w:val="auto"/>
        </w:rPr>
      </w:pPr>
      <w:r>
        <w:rPr>
          <w:rFonts w:ascii="Times New Roman" w:cs="Times New Roman" w:eastAsia="Times New Roman" w:hAnsi="Times New Roman"/>
          <w:sz w:val="17"/>
          <w:szCs w:val="17"/>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118" w:lineRule="exact"/>
        <w:rPr>
          <w:sz w:val="20"/>
          <w:szCs w:val="20"/>
          <w:color w:val="auto"/>
        </w:rPr>
      </w:pPr>
    </w:p>
    <w:p>
      <w:pPr>
        <w:ind w:left="1160" w:right="739" w:firstLine="335"/>
        <w:spacing w:after="0" w:line="249"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 this prospectus and in any free writing prospectus that we have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spacing w:after="0" w:line="320" w:lineRule="exact"/>
        <w:rPr>
          <w:sz w:val="20"/>
          <w:szCs w:val="20"/>
          <w:color w:val="auto"/>
        </w:rPr>
      </w:pPr>
    </w:p>
    <w:p>
      <w:pPr>
        <w:ind w:left="1160" w:right="719" w:firstLine="335"/>
        <w:spacing w:after="0" w:line="251" w:lineRule="auto"/>
        <w:rPr>
          <w:sz w:val="20"/>
          <w:szCs w:val="20"/>
          <w:color w:val="auto"/>
        </w:rPr>
      </w:pPr>
      <w:r>
        <w:rPr>
          <w:rFonts w:ascii="Times New Roman" w:cs="Times New Roman" w:eastAsia="Times New Roman" w:hAnsi="Times New Roman"/>
          <w:sz w:val="17"/>
          <w:szCs w:val="17"/>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553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5127625" cy="755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48" w:lineRule="exact"/>
        <w:rPr>
          <w:sz w:val="20"/>
          <w:szCs w:val="20"/>
          <w:color w:val="auto"/>
        </w:rPr>
      </w:pPr>
    </w:p>
    <w:p>
      <w:pPr>
        <w:ind w:left="1180" w:right="739" w:firstLine="335"/>
        <w:spacing w:after="0" w:line="250" w:lineRule="auto"/>
        <w:rPr>
          <w:sz w:val="20"/>
          <w:szCs w:val="20"/>
          <w:color w:val="auto"/>
        </w:rPr>
      </w:pPr>
      <w:r>
        <w:rPr>
          <w:rFonts w:ascii="Times New Roman" w:cs="Times New Roman" w:eastAsia="Times New Roman" w:hAnsi="Times New Roman"/>
          <w:sz w:val="17"/>
          <w:szCs w:val="17"/>
          <w:color w:val="auto"/>
        </w:rPr>
        <w:t xml:space="preserve">This following summary highlights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under the heading “Risk Factors” in this prospectus on page </w:t>
      </w:r>
      <w:r>
        <w:rPr>
          <w:rFonts w:ascii="Times New Roman" w:cs="Times New Roman" w:eastAsia="Times New Roman" w:hAnsi="Times New Roman"/>
          <w:sz w:val="17"/>
          <w:szCs w:val="17"/>
          <w:u w:val="single" w:color="auto"/>
          <w:color w:val="0000EE"/>
        </w:rPr>
        <w:t>S-5</w:t>
      </w:r>
      <w:r>
        <w:rPr>
          <w:rFonts w:ascii="Times New Roman" w:cs="Times New Roman" w:eastAsia="Times New Roman" w:hAnsi="Times New Roman"/>
          <w:sz w:val="17"/>
          <w:szCs w:val="17"/>
          <w:color w:val="auto"/>
        </w:rPr>
        <w:t xml:space="preserve"> and in the documents incorporated by reference into this prospectus.</w:t>
      </w:r>
    </w:p>
    <w:p>
      <w:pPr>
        <w:spacing w:after="0" w:line="319" w:lineRule="exact"/>
        <w:rPr>
          <w:sz w:val="20"/>
          <w:szCs w:val="20"/>
          <w:color w:val="auto"/>
        </w:rPr>
      </w:pPr>
    </w:p>
    <w:p>
      <w:pPr>
        <w:ind w:left="1180" w:right="759" w:firstLine="335"/>
        <w:spacing w:after="0"/>
        <w:rPr>
          <w:sz w:val="20"/>
          <w:szCs w:val="20"/>
          <w:color w:val="auto"/>
        </w:rPr>
      </w:pPr>
      <w:r>
        <w:rPr>
          <w:rFonts w:ascii="Times New Roman" w:cs="Times New Roman" w:eastAsia="Times New Roman" w:hAnsi="Times New Roman"/>
          <w:sz w:val="17"/>
          <w:szCs w:val="17"/>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 but such references should not be construed as any indication that their respective owners will not assert, to the fullest extent under applicable law, their rights thereto.</w:t>
      </w:r>
    </w:p>
    <w:p>
      <w:pPr>
        <w:spacing w:after="0" w:line="3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35" w:lineRule="exact"/>
        <w:rPr>
          <w:sz w:val="20"/>
          <w:szCs w:val="20"/>
          <w:color w:val="auto"/>
        </w:rPr>
      </w:pPr>
    </w:p>
    <w:p>
      <w:pPr>
        <w:ind w:left="1180" w:right="719" w:firstLine="335"/>
        <w:spacing w:after="0" w:line="249" w:lineRule="auto"/>
        <w:rPr>
          <w:sz w:val="20"/>
          <w:szCs w:val="20"/>
          <w:color w:val="auto"/>
        </w:rPr>
      </w:pPr>
      <w:r>
        <w:rPr>
          <w:rFonts w:ascii="Times New Roman" w:cs="Times New Roman" w:eastAsia="Times New Roman" w:hAnsi="Times New Roman"/>
          <w:sz w:val="17"/>
          <w:szCs w:val="17"/>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spacing w:after="0" w:line="115" w:lineRule="exact"/>
        <w:rPr>
          <w:sz w:val="20"/>
          <w:szCs w:val="20"/>
          <w:color w:val="auto"/>
        </w:rPr>
      </w:pPr>
    </w:p>
    <w:p>
      <w:pPr>
        <w:ind w:left="1180" w:right="939" w:firstLine="335"/>
        <w:spacing w:after="0" w:line="252" w:lineRule="auto"/>
        <w:rPr>
          <w:sz w:val="20"/>
          <w:szCs w:val="20"/>
          <w:color w:val="auto"/>
        </w:rPr>
      </w:pPr>
      <w:r>
        <w:rPr>
          <w:rFonts w:ascii="Times New Roman" w:cs="Times New Roman" w:eastAsia="Times New Roman" w:hAnsi="Times New Roman"/>
          <w:sz w:val="17"/>
          <w:szCs w:val="17"/>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We are advancing two product candidates for 3 clinical indications as part of our multiTAA-specific</w:t>
      </w: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 cell program for:</w:t>
      </w:r>
    </w:p>
    <w:p>
      <w:pPr>
        <w:spacing w:after="0" w:line="90" w:lineRule="exact"/>
        <w:rPr>
          <w:sz w:val="20"/>
          <w:szCs w:val="20"/>
          <w:color w:val="auto"/>
        </w:rPr>
      </w:pPr>
    </w:p>
    <w:p>
      <w:pPr>
        <w:ind w:left="1680" w:hanging="164"/>
        <w:spacing w:after="0"/>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Autologous multiTAA product for the treatment of lymphoma and pancreatic cancer (MT-601)</w:t>
      </w:r>
    </w:p>
    <w:p>
      <w:pPr>
        <w:spacing w:after="0" w:line="106" w:lineRule="exact"/>
        <w:rPr>
          <w:rFonts w:ascii="Times New Roman" w:cs="Times New Roman" w:eastAsia="Times New Roman" w:hAnsi="Times New Roman"/>
          <w:sz w:val="17"/>
          <w:szCs w:val="17"/>
          <w:color w:val="auto"/>
        </w:rPr>
      </w:pPr>
    </w:p>
    <w:p>
      <w:pPr>
        <w:ind w:left="1680" w:hanging="164"/>
        <w:spacing w:after="0"/>
        <w:tabs>
          <w:tab w:leader="none" w:pos="16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Off-the-Shelf (OTS) product in various indications (e.g., MT-401-OTS)</w:t>
      </w:r>
    </w:p>
    <w:p>
      <w:pPr>
        <w:spacing w:after="0" w:line="144" w:lineRule="exact"/>
        <w:rPr>
          <w:sz w:val="20"/>
          <w:szCs w:val="20"/>
          <w:color w:val="auto"/>
        </w:rPr>
      </w:pPr>
    </w:p>
    <w:p>
      <w:pPr>
        <w:jc w:val="both"/>
        <w:ind w:left="1180" w:right="719" w:firstLine="335"/>
        <w:spacing w:after="0" w:line="260" w:lineRule="auto"/>
        <w:rPr>
          <w:sz w:val="20"/>
          <w:szCs w:val="20"/>
          <w:color w:val="auto"/>
        </w:rPr>
      </w:pPr>
      <w:r>
        <w:rPr>
          <w:rFonts w:ascii="Times New Roman" w:cs="Times New Roman" w:eastAsia="Times New Roman" w:hAnsi="Times New Roman"/>
          <w:sz w:val="17"/>
          <w:szCs w:val="17"/>
          <w:color w:val="auto"/>
        </w:rPr>
        <w:t>We do not genetically engineer our multiTAA-specific T cell therapies and we believe that our product candidates are superior to T cells engineered with chimeric antigen receptors, or CAR-T, for several reasons including:</w:t>
      </w:r>
    </w:p>
    <w:p>
      <w:pPr>
        <w:spacing w:after="0" w:line="68" w:lineRule="exact"/>
        <w:rPr>
          <w:sz w:val="20"/>
          <w:szCs w:val="20"/>
          <w:color w:val="auto"/>
        </w:rPr>
      </w:pPr>
    </w:p>
    <w:p>
      <w:pPr>
        <w:ind w:left="1680" w:hanging="164"/>
        <w:spacing w:after="0"/>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targets → enhanced tumoricidal effect → minimized tumor immune escape</w:t>
      </w:r>
    </w:p>
    <w:p>
      <w:pPr>
        <w:spacing w:after="0" w:line="106" w:lineRule="exact"/>
        <w:rPr>
          <w:rFonts w:ascii="Times New Roman" w:cs="Times New Roman" w:eastAsia="Times New Roman" w:hAnsi="Times New Roman"/>
          <w:sz w:val="17"/>
          <w:szCs w:val="17"/>
          <w:color w:val="auto"/>
        </w:rPr>
      </w:pPr>
    </w:p>
    <w:p>
      <w:pPr>
        <w:ind w:left="1680" w:right="859" w:hanging="164"/>
        <w:spacing w:after="0" w:line="260" w:lineRule="auto"/>
        <w:tabs>
          <w:tab w:leader="none" w:pos="1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safety → no treatment-related side effects, including immune effector cell-associated neurotoxicity syndrome (ICANS) or other severe adverse effects (SAEs), were attributed to the use of multiTAA-specific T cell therapies to date</w:t>
      </w:r>
    </w:p>
    <w:p>
      <w:pPr>
        <w:spacing w:after="0" w:line="3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5533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5127625" cy="755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80" w:right="859" w:hanging="164"/>
        <w:spacing w:after="0" w:line="260" w:lineRule="auto"/>
        <w:tabs>
          <w:tab w:leader="none" w:pos="1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80" w:right="799" w:firstLine="335"/>
        <w:spacing w:after="0" w:line="273" w:lineRule="auto"/>
        <w:rPr>
          <w:sz w:val="20"/>
          <w:szCs w:val="20"/>
          <w:color w:val="auto"/>
        </w:rPr>
      </w:pPr>
      <w:r>
        <w:rPr>
          <w:rFonts w:ascii="Times New Roman" w:cs="Times New Roman" w:eastAsia="Times New Roman" w:hAnsi="Times New Roman"/>
          <w:sz w:val="17"/>
          <w:szCs w:val="17"/>
          <w:color w:val="auto"/>
        </w:rPr>
        <w:t>For these reasons, we believe our endogenous T cell receptor-based therapies may provide meaningful clinical benefit and safety to patients with both hematological and solid tumors.</w:t>
      </w:r>
    </w:p>
    <w:p>
      <w:pPr>
        <w:spacing w:after="0" w:line="83" w:lineRule="exact"/>
        <w:rPr>
          <w:sz w:val="20"/>
          <w:szCs w:val="20"/>
          <w:color w:val="auto"/>
        </w:rPr>
      </w:pPr>
    </w:p>
    <w:p>
      <w:pPr>
        <w:ind w:left="1180" w:right="799" w:firstLine="335"/>
        <w:spacing w:after="0" w:line="244" w:lineRule="auto"/>
        <w:rPr>
          <w:sz w:val="20"/>
          <w:szCs w:val="20"/>
          <w:color w:val="auto"/>
        </w:rPr>
      </w:pPr>
      <w:r>
        <w:rPr>
          <w:rFonts w:ascii="Times New Roman" w:cs="Times New Roman" w:eastAsia="Times New Roman" w:hAnsi="Times New Roman"/>
          <w:sz w:val="17"/>
          <w:szCs w:val="17"/>
          <w:color w:val="auto"/>
        </w:rPr>
        <w:t>We believe that the simplicity of our manufacturing process allows additional modifications to expand multiTAA- specific T cell recognition of cancer targets. For example, we are assessing the potential of combining multiTAA-specific T cell products with other products.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Pipeline</w:t>
      </w:r>
    </w:p>
    <w:p>
      <w:pPr>
        <w:spacing w:after="0" w:line="1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35" w:lineRule="exact"/>
        <w:rPr>
          <w:sz w:val="20"/>
          <w:szCs w:val="20"/>
          <w:color w:val="auto"/>
        </w:rPr>
      </w:pPr>
    </w:p>
    <w:p>
      <w:pPr>
        <w:ind w:left="1180" w:right="699" w:firstLine="335"/>
        <w:spacing w:after="0"/>
        <w:rPr>
          <w:sz w:val="20"/>
          <w:szCs w:val="20"/>
          <w:color w:val="auto"/>
        </w:rPr>
      </w:pPr>
      <w:r>
        <w:rPr>
          <w:rFonts w:ascii="Times New Roman" w:cs="Times New Roman" w:eastAsia="Times New Roman" w:hAnsi="Times New Roman"/>
          <w:sz w:val="17"/>
          <w:szCs w:val="17"/>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 Suite BCM-A, MS: BCM251, Houston, Texas 77021, and our telephone number is (713) 400-6400. Our website is located at </w:t>
      </w:r>
      <w:r>
        <w:rPr>
          <w:rFonts w:ascii="Times New Roman" w:cs="Times New Roman" w:eastAsia="Times New Roman" w:hAnsi="Times New Roman"/>
          <w:sz w:val="17"/>
          <w:szCs w:val="17"/>
          <w:i w:val="1"/>
          <w:iCs w:val="1"/>
          <w:color w:val="auto"/>
        </w:rPr>
        <w:t>http://www.markertherapeutics.com</w:t>
      </w:r>
      <w:r>
        <w:rPr>
          <w:rFonts w:ascii="Times New Roman" w:cs="Times New Roman" w:eastAsia="Times New Roman" w:hAnsi="Times New Roman"/>
          <w:sz w:val="17"/>
          <w:szCs w:val="17"/>
          <w:color w:val="auto"/>
        </w:rPr>
        <w:t>. We do not incorporate by reference into this</w:t>
      </w:r>
    </w:p>
    <w:p>
      <w:pPr>
        <w:spacing w:after="0" w:line="200" w:lineRule="exact"/>
        <w:rPr>
          <w:sz w:val="20"/>
          <w:szCs w:val="20"/>
          <w:color w:val="auto"/>
        </w:rPr>
      </w:pP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409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right="819"/>
        <w:spacing w:after="0" w:line="273" w:lineRule="auto"/>
        <w:rPr>
          <w:sz w:val="20"/>
          <w:szCs w:val="20"/>
          <w:color w:val="auto"/>
        </w:rPr>
      </w:pPr>
      <w:r>
        <w:rPr>
          <w:rFonts w:ascii="Times New Roman" w:cs="Times New Roman" w:eastAsia="Times New Roman" w:hAnsi="Times New Roman"/>
          <w:sz w:val="17"/>
          <w:szCs w:val="17"/>
          <w:color w:val="auto"/>
        </w:rPr>
        <w:t>prospectus the information on, or accessible through, our website, and you should not consider it as part of this prospectus. We have included our website address as an inactive textual reference only.</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148" w:lineRule="exact"/>
        <w:rPr>
          <w:sz w:val="20"/>
          <w:szCs w:val="20"/>
          <w:color w:val="auto"/>
        </w:rPr>
      </w:pPr>
    </w:p>
    <w:p>
      <w:pPr>
        <w:ind w:left="1180" w:right="699" w:firstLine="335"/>
        <w:spacing w:after="0" w:line="252" w:lineRule="auto"/>
        <w:rPr>
          <w:sz w:val="20"/>
          <w:szCs w:val="20"/>
          <w:color w:val="auto"/>
        </w:rPr>
      </w:pPr>
      <w:r>
        <w:rPr>
          <w:rFonts w:ascii="Times New Roman" w:cs="Times New Roman" w:eastAsia="Times New Roman" w:hAnsi="Times New Roman"/>
          <w:sz w:val="17"/>
          <w:szCs w:val="17"/>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5" w:lineRule="exact"/>
        <w:rPr>
          <w:sz w:val="20"/>
          <w:szCs w:val="20"/>
          <w:color w:val="auto"/>
        </w:rPr>
      </w:pPr>
    </w:p>
    <w:p>
      <w:pPr>
        <w:jc w:val="both"/>
        <w:ind w:left="1680" w:right="679" w:hanging="164"/>
        <w:spacing w:after="0" w:line="260"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8" w:lineRule="exact"/>
        <w:rPr>
          <w:rFonts w:ascii="Times New Roman" w:cs="Times New Roman" w:eastAsia="Times New Roman" w:hAnsi="Times New Roman"/>
          <w:sz w:val="17"/>
          <w:szCs w:val="17"/>
          <w:color w:val="auto"/>
        </w:rPr>
      </w:pPr>
    </w:p>
    <w:p>
      <w:pPr>
        <w:ind w:left="1680" w:right="1159" w:hanging="164"/>
        <w:spacing w:after="0" w:line="273"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in the assessment of our internal control over financial reporting; and</w:t>
      </w:r>
    </w:p>
    <w:p>
      <w:pPr>
        <w:spacing w:after="0" w:line="57" w:lineRule="exact"/>
        <w:rPr>
          <w:rFonts w:ascii="Times New Roman" w:cs="Times New Roman" w:eastAsia="Times New Roman" w:hAnsi="Times New Roman"/>
          <w:sz w:val="17"/>
          <w:szCs w:val="17"/>
          <w:color w:val="auto"/>
        </w:rPr>
      </w:pPr>
    </w:p>
    <w:p>
      <w:pPr>
        <w:ind w:left="1680" w:right="1119" w:hanging="164"/>
        <w:spacing w:after="0" w:line="273" w:lineRule="auto"/>
        <w:tabs>
          <w:tab w:leader="none" w:pos="1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proxy statements and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304800</wp:posOffset>
            </wp:positionV>
            <wp:extent cx="5127625" cy="7409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5127625" cy="740981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Common stock offered by us</w:t>
      </w:r>
    </w:p>
    <w:p>
      <w:pPr>
        <w:spacing w:after="0" w:line="319" w:lineRule="exact"/>
        <w:rPr>
          <w:sz w:val="20"/>
          <w:szCs w:val="20"/>
          <w:color w:val="auto"/>
        </w:rPr>
      </w:pPr>
    </w:p>
    <w:p>
      <w:pPr>
        <w:ind w:left="1340" w:hanging="167"/>
        <w:spacing w:after="0" w:line="278" w:lineRule="auto"/>
        <w:rPr>
          <w:sz w:val="20"/>
          <w:szCs w:val="20"/>
          <w:color w:val="auto"/>
        </w:rPr>
      </w:pPr>
      <w:r>
        <w:rPr>
          <w:rFonts w:ascii="Times New Roman" w:cs="Times New Roman" w:eastAsia="Times New Roman" w:hAnsi="Times New Roman"/>
          <w:sz w:val="17"/>
          <w:szCs w:val="17"/>
          <w:b w:val="1"/>
          <w:bCs w:val="1"/>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Manner of offering</w:t>
      </w:r>
    </w:p>
    <w:p>
      <w:pPr>
        <w:spacing w:after="0" w:line="200" w:lineRule="exact"/>
        <w:rPr>
          <w:sz w:val="20"/>
          <w:szCs w:val="20"/>
          <w:color w:val="auto"/>
        </w:rPr>
      </w:pPr>
    </w:p>
    <w:p>
      <w:pPr>
        <w:spacing w:after="0" w:line="3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10" w:lineRule="exact"/>
        <w:rPr>
          <w:sz w:val="20"/>
          <w:szCs w:val="20"/>
          <w:color w:val="auto"/>
        </w:rPr>
      </w:pPr>
    </w:p>
    <w:p>
      <w:pPr>
        <w:ind w:left="20" w:right="1039"/>
        <w:spacing w:after="0" w:line="273" w:lineRule="auto"/>
        <w:rPr>
          <w:sz w:val="20"/>
          <w:szCs w:val="20"/>
          <w:color w:val="auto"/>
        </w:rPr>
      </w:pPr>
      <w:r>
        <w:rPr>
          <w:rFonts w:ascii="Times New Roman" w:cs="Times New Roman" w:eastAsia="Times New Roman" w:hAnsi="Times New Roman"/>
          <w:sz w:val="17"/>
          <w:szCs w:val="17"/>
          <w:color w:val="auto"/>
        </w:rPr>
        <w:t>Shares of our common stock having an aggregate offering price of up to $11,431,731.</w:t>
      </w:r>
    </w:p>
    <w:p>
      <w:pPr>
        <w:spacing w:after="0" w:line="259" w:lineRule="exact"/>
        <w:rPr>
          <w:sz w:val="20"/>
          <w:szCs w:val="20"/>
          <w:color w:val="auto"/>
        </w:rPr>
      </w:pPr>
    </w:p>
    <w:p>
      <w:pPr>
        <w:ind w:left="20" w:right="699"/>
        <w:spacing w:after="0" w:line="252" w:lineRule="auto"/>
        <w:rPr>
          <w:sz w:val="20"/>
          <w:szCs w:val="20"/>
          <w:color w:val="auto"/>
        </w:rPr>
      </w:pPr>
      <w:r>
        <w:rPr>
          <w:rFonts w:ascii="Times New Roman" w:cs="Times New Roman" w:eastAsia="Times New Roman" w:hAnsi="Times New Roman"/>
          <w:sz w:val="17"/>
          <w:szCs w:val="17"/>
          <w:color w:val="auto"/>
        </w:rPr>
        <w:t>Up to 12,356,442 shares, assuming sales of $11,431,731 shares of our common stock in this offering at an assumed offering price of $3.33 per share, the last reported sale price of our common stock on The Nasdaq Capital Market on November 25, 2024. The actual number of shares issued will vary depending on the sales price under this offering.</w:t>
      </w:r>
    </w:p>
    <w:p>
      <w:pPr>
        <w:spacing w:after="0" w:line="75" w:lineRule="exact"/>
        <w:rPr>
          <w:sz w:val="20"/>
          <w:szCs w:val="20"/>
          <w:color w:val="auto"/>
        </w:rPr>
      </w:pPr>
    </w:p>
    <w:p>
      <w:pPr>
        <w:ind w:left="20" w:right="819"/>
        <w:spacing w:after="0" w:line="260" w:lineRule="auto"/>
        <w:rPr>
          <w:sz w:val="20"/>
          <w:szCs w:val="20"/>
          <w:color w:val="auto"/>
        </w:rPr>
      </w:pPr>
      <w:r>
        <w:rPr>
          <w:rFonts w:ascii="Times New Roman" w:cs="Times New Roman" w:eastAsia="Times New Roman" w:hAnsi="Times New Roman"/>
          <w:sz w:val="17"/>
          <w:szCs w:val="17"/>
          <w:color w:val="auto"/>
        </w:rPr>
        <w:t xml:space="preserve">“At the market offering” that may be made from time to time through our Sales Agent. See “Plan of Distribution” on page </w:t>
      </w:r>
      <w:r>
        <w:rPr>
          <w:rFonts w:ascii="Times New Roman" w:cs="Times New Roman" w:eastAsia="Times New Roman" w:hAnsi="Times New Roman"/>
          <w:sz w:val="17"/>
          <w:szCs w:val="17"/>
          <w:u w:val="single" w:color="auto"/>
          <w:color w:val="0000EE"/>
        </w:rPr>
        <w:t>S-16</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left="20" w:right="679"/>
        <w:spacing w:after="0" w:line="250"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See “Use of Proceeds.”</w:t>
      </w:r>
    </w:p>
    <w:p>
      <w:pPr>
        <w:spacing w:after="0" w:line="77" w:lineRule="exact"/>
        <w:rPr>
          <w:sz w:val="20"/>
          <w:szCs w:val="20"/>
          <w:color w:val="auto"/>
        </w:rPr>
      </w:pPr>
    </w:p>
    <w:p>
      <w:pPr>
        <w:ind w:left="20" w:right="799"/>
        <w:spacing w:after="0" w:line="255" w:lineRule="auto"/>
        <w:rPr>
          <w:sz w:val="20"/>
          <w:szCs w:val="20"/>
          <w:color w:val="auto"/>
        </w:rPr>
      </w:pPr>
      <w:r>
        <w:rPr>
          <w:rFonts w:ascii="Times New Roman" w:cs="Times New Roman" w:eastAsia="Times New Roman" w:hAnsi="Times New Roman"/>
          <w:sz w:val="17"/>
          <w:szCs w:val="17"/>
          <w:color w:val="auto"/>
        </w:rPr>
        <w:t>You should read the “Risk Factors” section of this prospectus and in the documents incorporated by reference herein for a discussion of factors to consider carefully before deciding to invest in shares of our common stock.</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“MRKR”</w:t>
      </w:r>
    </w:p>
    <w:p>
      <w:pPr>
        <w:spacing w:after="0" w:line="144" w:lineRule="exact"/>
        <w:rPr>
          <w:sz w:val="20"/>
          <w:szCs w:val="20"/>
          <w:color w:val="auto"/>
        </w:rPr>
      </w:pPr>
    </w:p>
    <w:p>
      <w:pPr>
        <w:sectPr>
          <w:pgSz w:w="11900" w:h="16838" w:orient="portrait"/>
          <w:cols w:equalWidth="0" w:num="2">
            <w:col w:w="3800" w:space="580"/>
            <w:col w:w="5119"/>
          </w:cols>
          <w:pgMar w:left="960" w:top="101" w:right="1440" w:bottom="1440" w:gutter="0" w:footer="0" w:header="0"/>
          <w:type w:val="continuous"/>
        </w:sectPr>
      </w:pPr>
    </w:p>
    <w:p>
      <w:pPr>
        <w:ind w:left="1180" w:right="1119" w:firstLine="335"/>
        <w:spacing w:after="0" w:line="273" w:lineRule="auto"/>
        <w:rPr>
          <w:sz w:val="20"/>
          <w:szCs w:val="20"/>
          <w:color w:val="auto"/>
        </w:rPr>
      </w:pPr>
      <w:r>
        <w:rPr>
          <w:rFonts w:ascii="Times New Roman" w:cs="Times New Roman" w:eastAsia="Times New Roman" w:hAnsi="Times New Roman"/>
          <w:sz w:val="17"/>
          <w:szCs w:val="17"/>
          <w:color w:val="auto"/>
        </w:rPr>
        <w:t>The number of shares of our common stock that will be outstanding after this offering is based on 8,923,490 shares of our common stock outstanding as of September 30, 2024, and excludes:</w:t>
      </w:r>
    </w:p>
    <w:p>
      <w:pPr>
        <w:spacing w:after="0" w:line="58" w:lineRule="exact"/>
        <w:rPr>
          <w:sz w:val="20"/>
          <w:szCs w:val="20"/>
          <w:color w:val="auto"/>
        </w:rPr>
      </w:pPr>
    </w:p>
    <w:p>
      <w:pPr>
        <w:ind w:left="1680" w:right="939" w:hanging="164"/>
        <w:spacing w:after="0" w:line="273" w:lineRule="auto"/>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596,333 shares of our common stock issuable upon the exercise of stock options outstanding as of September 30, 2024, at a weighted-average exercise price of $ 22.80 per share;</w:t>
      </w:r>
    </w:p>
    <w:p>
      <w:pPr>
        <w:spacing w:after="0" w:line="57" w:lineRule="exact"/>
        <w:rPr>
          <w:rFonts w:ascii="Times New Roman" w:cs="Times New Roman" w:eastAsia="Times New Roman" w:hAnsi="Times New Roman"/>
          <w:sz w:val="17"/>
          <w:szCs w:val="17"/>
          <w:color w:val="auto"/>
        </w:rPr>
      </w:pPr>
    </w:p>
    <w:p>
      <w:pPr>
        <w:ind w:left="1680" w:right="779" w:hanging="164"/>
        <w:spacing w:after="0" w:line="273" w:lineRule="auto"/>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1,227,421 shares of our common stock reserved for future issuance under our 2020 Equity Incentive Plan.</w:t>
      </w:r>
    </w:p>
    <w:p>
      <w:pPr>
        <w:spacing w:after="0" w:line="96" w:lineRule="exact"/>
        <w:rPr>
          <w:sz w:val="20"/>
          <w:szCs w:val="20"/>
          <w:color w:val="auto"/>
        </w:rPr>
      </w:pPr>
    </w:p>
    <w:p>
      <w:pPr>
        <w:jc w:val="both"/>
        <w:ind w:left="1180" w:right="799" w:firstLine="335"/>
        <w:spacing w:after="0" w:line="260" w:lineRule="auto"/>
        <w:rPr>
          <w:sz w:val="20"/>
          <w:szCs w:val="20"/>
          <w:color w:val="auto"/>
        </w:rPr>
      </w:pPr>
      <w:r>
        <w:rPr>
          <w:rFonts w:ascii="Times New Roman" w:cs="Times New Roman" w:eastAsia="Times New Roman" w:hAnsi="Times New Roman"/>
          <w:sz w:val="17"/>
          <w:szCs w:val="17"/>
          <w:color w:val="auto"/>
        </w:rPr>
        <w:t>Unless otherwise indicated, all information in this prospectus assumes no exercise of the outstanding options and warrants described above, and reflects an assumed public offering price of $3.33 per share, the last reported sale price of our common stock on The Nasdaq Capital Market on November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4" w:lineRule="exact"/>
        <w:rPr>
          <w:sz w:val="20"/>
          <w:szCs w:val="20"/>
          <w:color w:val="auto"/>
        </w:rPr>
      </w:pPr>
    </w:p>
    <w:p>
      <w:pPr>
        <w:ind w:left="1160" w:right="759" w:firstLine="335"/>
        <w:spacing w:after="0"/>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and in our filings with the SEC that we have incorporated by reference into this prospectus. See the sections of this prospectus entitled “Where You Can Find More Information” and “Incorporation of Certain Information by Reference.”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303" w:lineRule="exact"/>
        <w:rPr>
          <w:sz w:val="20"/>
          <w:szCs w:val="20"/>
          <w:color w:val="auto"/>
        </w:rPr>
      </w:pPr>
    </w:p>
    <w:p>
      <w:pPr>
        <w:ind w:left="1160" w:right="699" w:firstLine="335"/>
        <w:spacing w:after="0"/>
        <w:rPr>
          <w:sz w:val="20"/>
          <w:szCs w:val="20"/>
          <w:color w:val="auto"/>
        </w:rPr>
      </w:pPr>
      <w:r>
        <w:rPr>
          <w:rFonts w:ascii="Times New Roman" w:cs="Times New Roman" w:eastAsia="Times New Roman" w:hAnsi="Times New Roman"/>
          <w:sz w:val="17"/>
          <w:szCs w:val="17"/>
          <w:i w:val="1"/>
          <w:iCs w:val="1"/>
          <w:color w:val="auto"/>
        </w:rPr>
        <w:t>The risks and uncertainties described below and in our most recent Annual Report on Form 10-K, as revised or supplemented by our subsequent Quarterly Reports on Form 10-Q, are not the only risks and uncertainties we face. Additional risks and uncertainties not presently known to us or that we currently deem immaterial may also impair our business operations. If any of the risks described below or in our most recent Annual Report on Form 10-K, as revised or supplemented by our subsequent Quarterly Reports on Form 10-Q, actually occur, our business, financial condition and results of operations could suffer. As a result, the trading price of our stock could decline, perhaps significantly, and you could lose all or part of your investment. The risks discussed below and in most recent Annual Report on Form 10-K, as revised or supplemented by our subsequent Quarterly Reports on Form 10-Q, also include forward-looking statements and our actual results may differ substantially from those discussed in these forward-looking statements. See the section entitled “Special Note Regarding Forward-Looking Statements.”</w:t>
      </w:r>
    </w:p>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Additional Risks Related to This Offering</w:t>
      </w:r>
    </w:p>
    <w:p>
      <w:pPr>
        <w:spacing w:after="0" w:line="207" w:lineRule="exact"/>
        <w:rPr>
          <w:sz w:val="20"/>
          <w:szCs w:val="20"/>
          <w:color w:val="auto"/>
        </w:rPr>
      </w:pPr>
    </w:p>
    <w:p>
      <w:pPr>
        <w:ind w:left="1160" w:right="97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91" w:lineRule="exact"/>
        <w:rPr>
          <w:sz w:val="20"/>
          <w:szCs w:val="20"/>
          <w:color w:val="auto"/>
        </w:rPr>
      </w:pPr>
    </w:p>
    <w:p>
      <w:pPr>
        <w:ind w:left="1160" w:right="799" w:firstLine="335"/>
        <w:spacing w:after="0" w:line="241" w:lineRule="auto"/>
        <w:rPr>
          <w:sz w:val="20"/>
          <w:szCs w:val="20"/>
          <w:color w:val="auto"/>
        </w:rPr>
      </w:pPr>
      <w:r>
        <w:rPr>
          <w:rFonts w:ascii="Times New Roman" w:cs="Times New Roman" w:eastAsia="Times New Roman" w:hAnsi="Times New Roman"/>
          <w:sz w:val="17"/>
          <w:szCs w:val="17"/>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“Use of Proceeds.”</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you purchase shares of our common stock in this offering, you may suffer immediate dilution of your investment.</w:t>
      </w:r>
    </w:p>
    <w:p>
      <w:pPr>
        <w:spacing w:after="0" w:line="147" w:lineRule="exact"/>
        <w:rPr>
          <w:sz w:val="20"/>
          <w:szCs w:val="20"/>
          <w:color w:val="auto"/>
        </w:rPr>
      </w:pPr>
    </w:p>
    <w:p>
      <w:pPr>
        <w:ind w:left="1160" w:right="699" w:firstLine="335"/>
        <w:spacing w:after="0" w:line="239" w:lineRule="auto"/>
        <w:rPr>
          <w:sz w:val="20"/>
          <w:szCs w:val="20"/>
          <w:color w:val="auto"/>
        </w:rPr>
      </w:pPr>
      <w:r>
        <w:rPr>
          <w:rFonts w:ascii="Times New Roman" w:cs="Times New Roman" w:eastAsia="Times New Roman" w:hAnsi="Times New Roman"/>
          <w:sz w:val="17"/>
          <w:szCs w:val="17"/>
          <w:color w:val="auto"/>
        </w:rPr>
        <w:t>The offering price per share in this offering may exceed the net tangible book value per share of our common stock outstanding prior to this offering. Assuming that an aggregate of 3,432,952 shares of our common stock are sold at a price of $3.33 per share, the last reported sale price of our common stock on The Nasdaq Capital Market on November 25, 2024, for aggregate gross proceeds of $11,431,731, and after deducting commissions and estimated aggregate offering expenses payable by us, you would experience immediate dilution of $1.85 per share, representing the difference between our as adjusted net tangible book value per share as of September 30, 2024 after giving effect to this offering and the assumed offering price. See the section titled “Dilution” below for a more detailed illustration of the dilution you would incur if you participate in this offering. Because the sales of the shares offered hereby will be made in an at the market offering,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i w:val="1"/>
          <w:iCs w:val="1"/>
          <w:color w:val="auto"/>
        </w:rPr>
        <w:t>Investors in this offering may experience future dilution.</w:t>
      </w:r>
    </w:p>
    <w:p>
      <w:pPr>
        <w:spacing w:after="0" w:line="148" w:lineRule="exact"/>
        <w:rPr>
          <w:sz w:val="20"/>
          <w:szCs w:val="20"/>
          <w:color w:val="auto"/>
        </w:rPr>
      </w:pPr>
    </w:p>
    <w:p>
      <w:pPr>
        <w:ind w:left="1160" w:right="739" w:firstLine="335"/>
        <w:spacing w:after="0" w:line="241" w:lineRule="auto"/>
        <w:rPr>
          <w:sz w:val="20"/>
          <w:szCs w:val="20"/>
          <w:color w:val="auto"/>
        </w:rPr>
      </w:pPr>
      <w:r>
        <w:rPr>
          <w:rFonts w:ascii="Times New Roman" w:cs="Times New Roman" w:eastAsia="Times New Roman" w:hAnsi="Times New Roman"/>
          <w:sz w:val="17"/>
          <w:szCs w:val="17"/>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w:t>
      </w:r>
    </w:p>
    <w:p>
      <w:pPr>
        <w:spacing w:after="0" w:line="3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spacing w:after="0" w:line="273" w:lineRule="auto"/>
        <w:rPr>
          <w:sz w:val="20"/>
          <w:szCs w:val="20"/>
          <w:color w:val="auto"/>
        </w:rPr>
      </w:pPr>
      <w:r>
        <w:rPr>
          <w:rFonts w:ascii="Times New Roman" w:cs="Times New Roman" w:eastAsia="Times New Roman" w:hAnsi="Times New Roman"/>
          <w:sz w:val="17"/>
          <w:szCs w:val="17"/>
          <w:color w:val="auto"/>
        </w:rPr>
        <w:t>shares of our common stock or related securities in future transactions is less than the price per share in this offering, investors who purchase our common stock in this offering will suffer dilution in their investment.</w:t>
      </w:r>
    </w:p>
    <w:p>
      <w:pPr>
        <w:spacing w:after="0" w:line="83" w:lineRule="exact"/>
        <w:rPr>
          <w:sz w:val="20"/>
          <w:szCs w:val="20"/>
          <w:color w:val="auto"/>
        </w:rPr>
      </w:pPr>
    </w:p>
    <w:p>
      <w:pPr>
        <w:ind w:left="1160" w:right="799" w:firstLine="335"/>
        <w:spacing w:after="0" w:line="239" w:lineRule="auto"/>
        <w:rPr>
          <w:sz w:val="20"/>
          <w:szCs w:val="20"/>
          <w:color w:val="auto"/>
        </w:rPr>
      </w:pPr>
      <w:r>
        <w:rPr>
          <w:rFonts w:ascii="Times New Roman" w:cs="Times New Roman" w:eastAsia="Times New Roman" w:hAnsi="Times New Roman"/>
          <w:sz w:val="17"/>
          <w:szCs w:val="17"/>
          <w:color w:val="auto"/>
        </w:rPr>
        <w:t>In addition, we have a significant number of stock options and warrants exercisable for shares of our common stock outstanding. To the extent that outstanding stock options or warrants have been or may be exercised, investors purchasing our common stock in this offering may experience further dilution in the future. Furthermore, a significant portion of our total outstanding shares are eligible to be sold into the market, which could cause the market price of our common stock to drop significantly, even if our business is doing well.</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 following this offering.</w:t>
      </w:r>
    </w:p>
    <w:p>
      <w:pPr>
        <w:spacing w:after="0" w:line="135" w:lineRule="exact"/>
        <w:rPr>
          <w:sz w:val="20"/>
          <w:szCs w:val="20"/>
          <w:color w:val="auto"/>
        </w:rPr>
      </w:pPr>
    </w:p>
    <w:p>
      <w:pPr>
        <w:ind w:left="1160" w:right="719" w:firstLine="335"/>
        <w:spacing w:after="0" w:line="242" w:lineRule="auto"/>
        <w:rPr>
          <w:sz w:val="20"/>
          <w:szCs w:val="20"/>
          <w:color w:val="auto"/>
        </w:rPr>
      </w:pPr>
      <w:r>
        <w:rPr>
          <w:rFonts w:ascii="Times New Roman" w:cs="Times New Roman" w:eastAsia="Times New Roman" w:hAnsi="Times New Roman"/>
          <w:sz w:val="17"/>
          <w:szCs w:val="17"/>
          <w:color w:val="auto"/>
        </w:rPr>
        <w:t>Although our common stock is listed on The Nasdaq Capital Market,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1" w:lineRule="exact"/>
        <w:rPr>
          <w:sz w:val="20"/>
          <w:szCs w:val="20"/>
          <w:color w:val="auto"/>
        </w:rPr>
      </w:pPr>
    </w:p>
    <w:p>
      <w:pPr>
        <w:ind w:left="1160" w:right="12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common stock offered hereby will be sold in “at the market offerings,” and investors who buy shares at different times will likely pay different prices.</w:t>
      </w:r>
    </w:p>
    <w:p>
      <w:pPr>
        <w:spacing w:after="0" w:line="79" w:lineRule="exact"/>
        <w:rPr>
          <w:sz w:val="20"/>
          <w:szCs w:val="20"/>
          <w:color w:val="auto"/>
        </w:rPr>
      </w:pPr>
    </w:p>
    <w:p>
      <w:pPr>
        <w:ind w:left="1160" w:right="719" w:firstLine="335"/>
        <w:spacing w:after="0" w:line="241" w:lineRule="auto"/>
        <w:rPr>
          <w:sz w:val="20"/>
          <w:szCs w:val="20"/>
          <w:color w:val="auto"/>
        </w:rPr>
      </w:pPr>
      <w:r>
        <w:rPr>
          <w:rFonts w:ascii="Times New Roman" w:cs="Times New Roman" w:eastAsia="Times New Roman" w:hAnsi="Times New Roman"/>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1" w:lineRule="exact"/>
        <w:rPr>
          <w:sz w:val="20"/>
          <w:szCs w:val="20"/>
          <w:color w:val="auto"/>
        </w:rPr>
      </w:pPr>
    </w:p>
    <w:p>
      <w:pPr>
        <w:ind w:left="1160" w:right="7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we will sell under the sales agreement, or the gross proceeds resulting from those sales.</w:t>
      </w:r>
    </w:p>
    <w:p>
      <w:pPr>
        <w:spacing w:after="0" w:line="66" w:lineRule="exact"/>
        <w:rPr>
          <w:sz w:val="20"/>
          <w:szCs w:val="20"/>
          <w:color w:val="auto"/>
        </w:rPr>
      </w:pPr>
    </w:p>
    <w:p>
      <w:pPr>
        <w:ind w:left="1160" w:right="719" w:firstLine="335"/>
        <w:spacing w:after="0" w:line="241"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the sales agent at any time throughout the term of the sales agreement. The number of shares that are sold through the sales agent after delivering a placement notice will fluctuate based on a number of factors, including the market price of the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w:t>
      </w:r>
    </w:p>
    <w:p>
      <w:pPr>
        <w:spacing w:after="0" w:line="172" w:lineRule="exact"/>
        <w:rPr>
          <w:sz w:val="20"/>
          <w:szCs w:val="20"/>
          <w:color w:val="auto"/>
        </w:rPr>
      </w:pPr>
    </w:p>
    <w:p>
      <w:pPr>
        <w:ind w:left="1160" w:right="1019"/>
        <w:spacing w:after="0" w:line="330" w:lineRule="auto"/>
        <w:rPr>
          <w:sz w:val="20"/>
          <w:szCs w:val="20"/>
          <w:color w:val="auto"/>
        </w:rPr>
      </w:pPr>
      <w:r>
        <w:rPr>
          <w:rFonts w:ascii="Times New Roman" w:cs="Times New Roman" w:eastAsia="Times New Roman" w:hAnsi="Times New Roman"/>
          <w:sz w:val="15"/>
          <w:szCs w:val="15"/>
          <w:b w:val="1"/>
          <w:bCs w:val="1"/>
          <w:i w:val="1"/>
          <w:iCs w:val="1"/>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45" w:lineRule="exact"/>
        <w:rPr>
          <w:sz w:val="20"/>
          <w:szCs w:val="20"/>
          <w:color w:val="auto"/>
        </w:rPr>
      </w:pPr>
    </w:p>
    <w:p>
      <w:pPr>
        <w:ind w:left="1160" w:right="719" w:firstLine="335"/>
        <w:spacing w:after="0" w:line="245" w:lineRule="auto"/>
        <w:rPr>
          <w:sz w:val="20"/>
          <w:szCs w:val="20"/>
          <w:color w:val="auto"/>
        </w:rPr>
      </w:pPr>
      <w:r>
        <w:rPr>
          <w:rFonts w:ascii="Times New Roman" w:cs="Times New Roman" w:eastAsia="Times New Roman" w:hAnsi="Times New Roman"/>
          <w:sz w:val="17"/>
          <w:szCs w:val="17"/>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08" w:lineRule="exact"/>
        <w:rPr>
          <w:sz w:val="20"/>
          <w:szCs w:val="20"/>
          <w:color w:val="auto"/>
        </w:rPr>
      </w:pPr>
    </w:p>
    <w:p>
      <w:pPr>
        <w:ind w:left="1160" w:right="859" w:firstLine="335"/>
        <w:spacing w:after="0"/>
        <w:rPr>
          <w:sz w:val="20"/>
          <w:szCs w:val="20"/>
          <w:color w:val="auto"/>
        </w:rPr>
      </w:pPr>
      <w:r>
        <w:rPr>
          <w:rFonts w:ascii="Times New Roman" w:cs="Times New Roman" w:eastAsia="Times New Roman" w:hAnsi="Times New Roman"/>
          <w:sz w:val="17"/>
          <w:szCs w:val="17"/>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w:t>
      </w:r>
    </w:p>
    <w:p>
      <w:pPr>
        <w:spacing w:after="0" w:line="200" w:lineRule="exact"/>
        <w:rPr>
          <w:sz w:val="20"/>
          <w:szCs w:val="20"/>
          <w:color w:val="auto"/>
        </w:rPr>
      </w:pPr>
    </w:p>
    <w:p>
      <w:pPr>
        <w:spacing w:after="0" w:line="3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and volatility in the capital markets and the economy in general could also increase our costs of borrowing.</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Such additional financing may not be available on favorable terms, or at all.</w:t>
      </w:r>
    </w:p>
    <w:p>
      <w:pPr>
        <w:spacing w:after="0" w:line="128" w:lineRule="exact"/>
        <w:rPr>
          <w:sz w:val="20"/>
          <w:szCs w:val="20"/>
          <w:color w:val="auto"/>
        </w:rPr>
      </w:pPr>
    </w:p>
    <w:p>
      <w:pPr>
        <w:ind w:left="1160" w:right="719" w:firstLine="335"/>
        <w:spacing w:after="0" w:line="249" w:lineRule="auto"/>
        <w:rPr>
          <w:sz w:val="20"/>
          <w:szCs w:val="20"/>
          <w:color w:val="auto"/>
        </w:rPr>
      </w:pPr>
      <w:r>
        <w:rPr>
          <w:rFonts w:ascii="Times New Roman" w:cs="Times New Roman" w:eastAsia="Times New Roman" w:hAnsi="Times New Roman"/>
          <w:sz w:val="17"/>
          <w:szCs w:val="17"/>
          <w:color w:val="auto"/>
        </w:rPr>
        <w:t>We have sustained losses from operations in each fiscal year since our inception, and we expect losses to continue for the indefinite future due to the substantial investment in research and development. Based on the Company’s clinical and research and development plans and its timing expectations related to the progress of its programs, the Company anticipates that its cash and cash equivalents as of September 30, 2024, including drawdowns of available grant funds, will enable the Company to fund its operating expenses and capital expenditure requirements into October 2025.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15" w:lineRule="exact"/>
        <w:rPr>
          <w:sz w:val="20"/>
          <w:szCs w:val="20"/>
          <w:color w:val="auto"/>
        </w:rPr>
      </w:pPr>
    </w:p>
    <w:p>
      <w:pPr>
        <w:ind w:left="1160" w:right="699" w:firstLine="335"/>
        <w:spacing w:after="0" w:line="250" w:lineRule="auto"/>
        <w:rPr>
          <w:sz w:val="20"/>
          <w:szCs w:val="20"/>
          <w:color w:val="auto"/>
        </w:rPr>
      </w:pPr>
      <w:r>
        <w:rPr>
          <w:rFonts w:ascii="Times New Roman" w:cs="Times New Roman" w:eastAsia="Times New Roman" w:hAnsi="Times New Roman"/>
          <w:sz w:val="17"/>
          <w:szCs w:val="17"/>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48" w:lineRule="exact"/>
        <w:rPr>
          <w:sz w:val="20"/>
          <w:szCs w:val="20"/>
          <w:color w:val="auto"/>
        </w:rPr>
      </w:pPr>
    </w:p>
    <w:p>
      <w:pPr>
        <w:ind w:left="1160" w:right="699" w:firstLine="335"/>
        <w:spacing w:after="0" w:line="242"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 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12" w:lineRule="exact"/>
        <w:rPr>
          <w:sz w:val="20"/>
          <w:szCs w:val="20"/>
          <w:color w:val="auto"/>
        </w:rPr>
      </w:pPr>
    </w:p>
    <w:p>
      <w:pPr>
        <w:ind w:left="1160" w:right="819" w:firstLine="335"/>
        <w:spacing w:after="0" w:line="245" w:lineRule="auto"/>
        <w:rPr>
          <w:sz w:val="20"/>
          <w:szCs w:val="20"/>
          <w:color w:val="auto"/>
        </w:rPr>
      </w:pPr>
      <w:r>
        <w:rPr>
          <w:rFonts w:ascii="Times New Roman" w:cs="Times New Roman" w:eastAsia="Times New Roman" w:hAnsi="Times New Roman"/>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69" w:lineRule="exact"/>
        <w:rPr>
          <w:sz w:val="20"/>
          <w:szCs w:val="20"/>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93" w:lineRule="exact"/>
        <w:rPr>
          <w:rFonts w:ascii="Times New Roman" w:cs="Times New Roman" w:eastAsia="Times New Roman" w:hAnsi="Times New Roman"/>
          <w:sz w:val="17"/>
          <w:szCs w:val="17"/>
          <w:color w:val="auto"/>
        </w:rPr>
      </w:pPr>
    </w:p>
    <w:p>
      <w:pPr>
        <w:ind w:left="1660" w:right="699" w:hanging="161"/>
        <w:spacing w:after="0" w:line="255"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3" w:lineRule="exact"/>
        <w:rPr>
          <w:rFonts w:ascii="Times New Roman" w:cs="Times New Roman" w:eastAsia="Times New Roman" w:hAnsi="Times New Roman"/>
          <w:sz w:val="17"/>
          <w:szCs w:val="17"/>
          <w:color w:val="auto"/>
        </w:rPr>
      </w:pPr>
    </w:p>
    <w:p>
      <w:pPr>
        <w:ind w:left="1660" w:right="79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submission of filings for regulatory approval of product candidates and our ability to obtain and maintain regulatory approvals for product candidates for any indication;</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our product candidates;</w:t>
      </w:r>
    </w:p>
    <w:p>
      <w:pPr>
        <w:spacing w:after="0" w:line="106" w:lineRule="exact"/>
        <w:rPr>
          <w:rFonts w:ascii="Times New Roman" w:cs="Times New Roman" w:eastAsia="Times New Roman" w:hAnsi="Times New Roman"/>
          <w:sz w:val="17"/>
          <w:szCs w:val="17"/>
          <w:color w:val="auto"/>
        </w:rPr>
      </w:pPr>
    </w:p>
    <w:p>
      <w:pPr>
        <w:ind w:left="1660" w:right="101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benefits, activity, effectiveness and safety of our product candidates;</w:t>
      </w:r>
    </w:p>
    <w:p>
      <w:pPr>
        <w:spacing w:after="0" w:line="45" w:lineRule="exact"/>
        <w:rPr>
          <w:rFonts w:ascii="Times New Roman" w:cs="Times New Roman" w:eastAsia="Times New Roman" w:hAnsi="Times New Roman"/>
          <w:sz w:val="17"/>
          <w:szCs w:val="17"/>
          <w:color w:val="auto"/>
        </w:rPr>
      </w:pPr>
    </w:p>
    <w:p>
      <w:pPr>
        <w:ind w:left="1660" w:right="73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size of the patient populations, market acceptance and opportunity for and clinical utility of product candidates, if approved for commercial use;</w:t>
      </w:r>
    </w:p>
    <w:p>
      <w:pPr>
        <w:spacing w:after="0" w:line="57" w:lineRule="exact"/>
        <w:rPr>
          <w:rFonts w:ascii="Times New Roman" w:cs="Times New Roman" w:eastAsia="Times New Roman" w:hAnsi="Times New Roman"/>
          <w:sz w:val="17"/>
          <w:szCs w:val="17"/>
          <w:color w:val="auto"/>
        </w:rPr>
      </w:pPr>
    </w:p>
    <w:p>
      <w:pPr>
        <w:ind w:left="1660" w:right="77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 including the, ease, scalability and commercial viability of our manufacturing methods and processes;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scope of any approved indications for product candidates;</w:t>
      </w:r>
    </w:p>
    <w:p>
      <w:pPr>
        <w:spacing w:after="0" w:line="93" w:lineRule="exact"/>
        <w:rPr>
          <w:rFonts w:ascii="Times New Roman" w:cs="Times New Roman" w:eastAsia="Times New Roman" w:hAnsi="Times New Roman"/>
          <w:sz w:val="17"/>
          <w:szCs w:val="17"/>
          <w:color w:val="auto"/>
        </w:rPr>
      </w:pPr>
    </w:p>
    <w:p>
      <w:pPr>
        <w:ind w:left="1660" w:right="89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and our ability to maintain our relationships and collaborations with BCM and other potential collaboration or strategic relationships;</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the MultiTAA-specific T cell platform to develop future product candidates;</w:t>
      </w:r>
    </w:p>
    <w:p>
      <w:pPr>
        <w:spacing w:after="0" w:line="93" w:lineRule="exact"/>
        <w:rPr>
          <w:rFonts w:ascii="Times New Roman" w:cs="Times New Roman" w:eastAsia="Times New Roman" w:hAnsi="Times New Roman"/>
          <w:sz w:val="17"/>
          <w:szCs w:val="17"/>
          <w:color w:val="auto"/>
        </w:rPr>
      </w:pPr>
    </w:p>
    <w:p>
      <w:pPr>
        <w:ind w:left="1660" w:right="105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of our expenses, ongoing losses, future revenue (including grant revenues), capital requirements and our needs for or ability to obtain additional funding;</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recruit and retain key personnel;</w:t>
      </w:r>
    </w:p>
    <w:p>
      <w:pPr>
        <w:spacing w:after="0" w:line="106"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position for our product candidates, and the scope of such protection;</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use of proceeds from this offering;</w:t>
      </w:r>
    </w:p>
    <w:p>
      <w:pPr>
        <w:spacing w:after="0" w:line="93" w:lineRule="exact"/>
        <w:rPr>
          <w:rFonts w:ascii="Times New Roman" w:cs="Times New Roman" w:eastAsia="Times New Roman" w:hAnsi="Times New Roman"/>
          <w:sz w:val="17"/>
          <w:szCs w:val="17"/>
          <w:color w:val="auto"/>
        </w:rPr>
      </w:pPr>
    </w:p>
    <w:p>
      <w:pPr>
        <w:ind w:left="1660" w:right="919" w:hanging="161"/>
        <w:spacing w:after="0" w:line="273" w:lineRule="auto"/>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the development of and projections relating to our competitors or our industry; and</w:t>
      </w:r>
    </w:p>
    <w:p>
      <w:pPr>
        <w:spacing w:after="0" w:line="57"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and regulations.</w:t>
      </w:r>
    </w:p>
    <w:p>
      <w:pPr>
        <w:spacing w:after="0" w:line="144" w:lineRule="exact"/>
        <w:rPr>
          <w:sz w:val="20"/>
          <w:szCs w:val="20"/>
          <w:color w:val="auto"/>
        </w:rPr>
      </w:pPr>
    </w:p>
    <w:p>
      <w:pPr>
        <w:ind w:left="1160" w:right="739" w:firstLine="335"/>
        <w:spacing w:after="0"/>
        <w:rPr>
          <w:sz w:val="20"/>
          <w:szCs w:val="20"/>
          <w:color w:val="auto"/>
        </w:rPr>
      </w:pPr>
      <w:r>
        <w:rPr>
          <w:rFonts w:ascii="Times New Roman" w:cs="Times New Roman" w:eastAsia="Times New Roman" w:hAnsi="Times New Roman"/>
          <w:sz w:val="17"/>
          <w:szCs w:val="17"/>
          <w:color w:val="auto"/>
        </w:rPr>
        <w:t>In some cases, you can identify forward -looking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200" w:lineRule="exact"/>
        <w:rPr>
          <w:sz w:val="20"/>
          <w:szCs w:val="20"/>
          <w:color w:val="auto"/>
        </w:rPr>
      </w:pPr>
    </w:p>
    <w:p>
      <w:pPr>
        <w:spacing w:after="0" w:line="3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firstLine="335"/>
        <w:spacing w:after="0" w:line="249" w:lineRule="auto"/>
        <w:rPr>
          <w:sz w:val="20"/>
          <w:szCs w:val="20"/>
          <w:color w:val="auto"/>
        </w:rPr>
      </w:pPr>
      <w:r>
        <w:rPr>
          <w:rFonts w:ascii="Times New Roman" w:cs="Times New Roman" w:eastAsia="Times New Roman" w:hAnsi="Times New Roman"/>
          <w:sz w:val="17"/>
          <w:szCs w:val="17"/>
          <w:color w:val="auto"/>
        </w:rPr>
        <w:t>You should refer to the “Risk Factors” section contained in this prospectus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1" w:lineRule="exact"/>
        <w:rPr>
          <w:sz w:val="20"/>
          <w:szCs w:val="20"/>
          <w:color w:val="auto"/>
        </w:rPr>
      </w:pPr>
    </w:p>
    <w:p>
      <w:pPr>
        <w:ind w:left="1160" w:right="879" w:firstLine="335"/>
        <w:spacing w:after="0" w:line="260" w:lineRule="auto"/>
        <w:rPr>
          <w:sz w:val="20"/>
          <w:szCs w:val="20"/>
          <w:color w:val="auto"/>
        </w:rPr>
      </w:pPr>
      <w:r>
        <w:rPr>
          <w:rFonts w:ascii="Times New Roman" w:cs="Times New Roman" w:eastAsia="Times New Roman" w:hAnsi="Times New Roman"/>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We may issue and sell shares of our common stock having aggregate sales proceeds of up to</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$11,431,731 from time to time. Because there is no minimum offering amount required as a condition of this</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offering, the actual total public offering amount, commissions and proceeds to us, if any, are not</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determinable at this time. There can be no assurance that we will sell any shares under or fully utilize the</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Sales Agreement as a source of financing.</w:t>
      </w:r>
    </w:p>
    <w:p>
      <w:pPr>
        <w:spacing w:after="0" w:line="128" w:lineRule="exact"/>
        <w:rPr>
          <w:sz w:val="20"/>
          <w:szCs w:val="20"/>
          <w:color w:val="auto"/>
        </w:rPr>
      </w:pPr>
    </w:p>
    <w:p>
      <w:pPr>
        <w:ind w:left="1160" w:right="759" w:firstLine="335"/>
        <w:spacing w:after="0" w:line="252"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98" w:lineRule="exact"/>
        <w:rPr>
          <w:sz w:val="20"/>
          <w:szCs w:val="20"/>
          <w:color w:val="auto"/>
        </w:rPr>
      </w:pPr>
    </w:p>
    <w:p>
      <w:pPr>
        <w:ind w:left="1160" w:right="759" w:firstLine="335"/>
        <w:spacing w:after="0" w:line="252"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w:t>
      </w:r>
    </w:p>
    <w:p>
      <w:pPr>
        <w:spacing w:after="0" w:line="50" w:lineRule="exact"/>
        <w:rPr>
          <w:sz w:val="20"/>
          <w:szCs w:val="20"/>
          <w:color w:val="auto"/>
        </w:rPr>
      </w:pPr>
    </w:p>
    <w:p>
      <w:pPr>
        <w:ind w:left="1160" w:right="739" w:firstLine="335"/>
        <w:spacing w:after="0" w:line="246" w:lineRule="auto"/>
        <w:rPr>
          <w:sz w:val="20"/>
          <w:szCs w:val="20"/>
          <w:color w:val="auto"/>
        </w:rPr>
      </w:pPr>
      <w:r>
        <w:rPr>
          <w:rFonts w:ascii="Times New Roman" w:cs="Times New Roman" w:eastAsia="Times New Roman" w:hAnsi="Times New Roman"/>
          <w:sz w:val="17"/>
          <w:szCs w:val="17"/>
          <w:color w:val="auto"/>
        </w:rPr>
        <w:t>Our historical net tangible book value as of September 30, 2024 was $7.5 million, or $0.83 per share of common stock. Historical net tangible book value per share represents the amount of our total tangible assets less total liabilities, divided by the 8,923,490 shares of our common stock outstanding on September 30, 2024.</w:t>
      </w:r>
    </w:p>
    <w:p>
      <w:pPr>
        <w:spacing w:after="0" w:line="2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After giving effect to the issuance and sale of our common stock in the aggregate amount of</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$11,431,731 in this offering at an assumed offering price of $3.33 per share, the last reported sale price of</w:t>
      </w:r>
    </w:p>
    <w:p>
      <w:pPr>
        <w:ind w:left="1160"/>
        <w:spacing w:after="0"/>
        <w:rPr>
          <w:sz w:val="20"/>
          <w:szCs w:val="20"/>
          <w:color w:val="auto"/>
        </w:rPr>
      </w:pPr>
      <w:r>
        <w:rPr>
          <w:rFonts w:ascii="Times New Roman" w:cs="Times New Roman" w:eastAsia="Times New Roman" w:hAnsi="Times New Roman"/>
          <w:sz w:val="17"/>
          <w:szCs w:val="17"/>
          <w:color w:val="auto"/>
        </w:rPr>
        <w:t>our common stock on The Nasdaq Capital Market on November 25, 2024, and after deducting commissions</w:t>
      </w:r>
    </w:p>
    <w:p>
      <w:pPr>
        <w:ind w:left="1160"/>
        <w:spacing w:after="0" w:line="238" w:lineRule="auto"/>
        <w:rPr>
          <w:sz w:val="20"/>
          <w:szCs w:val="20"/>
          <w:color w:val="auto"/>
        </w:rPr>
      </w:pPr>
      <w:r>
        <w:rPr>
          <w:rFonts w:ascii="Times New Roman" w:cs="Times New Roman" w:eastAsia="Times New Roman" w:hAnsi="Times New Roman"/>
          <w:sz w:val="17"/>
          <w:szCs w:val="17"/>
          <w:color w:val="auto"/>
        </w:rPr>
        <w:t>and estimated aggregate offering expenses payable by us, our as adjusted net tangible book value as of</w:t>
      </w:r>
    </w:p>
    <w:p>
      <w:pPr>
        <w:ind w:left="1160"/>
        <w:spacing w:after="0" w:line="231" w:lineRule="auto"/>
        <w:rPr>
          <w:sz w:val="20"/>
          <w:szCs w:val="20"/>
          <w:color w:val="auto"/>
        </w:rPr>
      </w:pPr>
      <w:r>
        <w:rPr>
          <w:rFonts w:ascii="Times New Roman" w:cs="Times New Roman" w:eastAsia="Times New Roman" w:hAnsi="Times New Roman"/>
          <w:sz w:val="17"/>
          <w:szCs w:val="17"/>
          <w:color w:val="auto"/>
        </w:rPr>
        <w:t>September 30, 2024 would have been $18.2 million, or $1.48 per share. This represents an immediate</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increase of $0.65 in the as adjusted net tangible book value per share to existing stockholders and immediate</w:t>
      </w:r>
    </w:p>
    <w:p>
      <w:pPr>
        <w:ind w:left="1160"/>
        <w:spacing w:after="0" w:line="238" w:lineRule="auto"/>
        <w:rPr>
          <w:sz w:val="20"/>
          <w:szCs w:val="20"/>
          <w:color w:val="auto"/>
        </w:rPr>
      </w:pPr>
      <w:r>
        <w:rPr>
          <w:rFonts w:ascii="Times New Roman" w:cs="Times New Roman" w:eastAsia="Times New Roman" w:hAnsi="Times New Roman"/>
          <w:sz w:val="17"/>
          <w:szCs w:val="17"/>
          <w:color w:val="auto"/>
        </w:rPr>
        <w:t>dilution of $1.85 in the as adjusted net tangible book value per share to new investors purchasing common</w:t>
      </w:r>
    </w:p>
    <w:p>
      <w:pPr>
        <w:ind w:left="1160"/>
        <w:spacing w:after="0" w:line="231" w:lineRule="auto"/>
        <w:rPr>
          <w:sz w:val="20"/>
          <w:szCs w:val="20"/>
          <w:color w:val="auto"/>
        </w:rPr>
      </w:pPr>
      <w:r>
        <w:rPr>
          <w:rFonts w:ascii="Times New Roman" w:cs="Times New Roman" w:eastAsia="Times New Roman" w:hAnsi="Times New Roman"/>
          <w:sz w:val="17"/>
          <w:szCs w:val="17"/>
          <w:color w:val="auto"/>
        </w:rPr>
        <w:t>stock in this offering. Dilution per share to new investors is determined by subtracting as adjusted net</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tangible book value per share after this offering from the assumed public offering price of $3.33 per share.</w:t>
      </w:r>
    </w:p>
    <w:p>
      <w:pPr>
        <w:ind w:left="1160"/>
        <w:spacing w:after="0" w:line="238" w:lineRule="auto"/>
        <w:rPr>
          <w:sz w:val="20"/>
          <w:szCs w:val="20"/>
          <w:color w:val="auto"/>
        </w:rPr>
      </w:pPr>
      <w:r>
        <w:rPr>
          <w:rFonts w:ascii="Times New Roman" w:cs="Times New Roman" w:eastAsia="Times New Roman" w:hAnsi="Times New Roman"/>
          <w:sz w:val="17"/>
          <w:szCs w:val="17"/>
          <w:color w:val="auto"/>
        </w:rPr>
        <w:t>The following table illustrates this per share dilution to the new investors purchasing shares of our common</w:t>
      </w:r>
    </w:p>
    <w:p>
      <w:pPr>
        <w:ind w:left="1160"/>
        <w:spacing w:after="0"/>
        <w:rPr>
          <w:sz w:val="20"/>
          <w:szCs w:val="20"/>
          <w:color w:val="auto"/>
        </w:rPr>
      </w:pPr>
      <w:r>
        <w:rPr>
          <w:rFonts w:ascii="Times New Roman" w:cs="Times New Roman" w:eastAsia="Times New Roman" w:hAnsi="Times New Roman"/>
          <w:sz w:val="17"/>
          <w:szCs w:val="17"/>
          <w:color w:val="auto"/>
        </w:rPr>
        <w:t>stock in this offering:</w:t>
      </w:r>
    </w:p>
    <w:p>
      <w:pPr>
        <w:spacing w:after="0" w:line="72"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w:t>
            </w:r>
          </w:p>
        </w:tc>
        <w:tc>
          <w:tcPr>
            <w:tcW w:w="7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Historical net tangible book value per share as of September 30, 2024</w:t>
            </w:r>
          </w:p>
        </w:tc>
        <w:tc>
          <w:tcPr>
            <w:tcW w:w="12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 ​​$0.83​​ ​​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Increase in as adjusted net tangible book value per share attributable to this offering</w:t>
            </w:r>
          </w:p>
        </w:tc>
        <w:tc>
          <w:tcPr>
            <w:tcW w:w="1200" w:type="dxa"/>
            <w:vAlign w:val="bottom"/>
            <w:tcBorders>
              <w:right w:val="single" w:sz="8" w:color="CCEEFF"/>
            </w:tcBorders>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​0.65​​ ​​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60" w:type="dxa"/>
            <w:vAlign w:val="bottom"/>
            <w:gridSpan w:val="2"/>
          </w:tcPr>
          <w:p>
            <w:pPr>
              <w:spacing w:after="0" w:line="168" w:lineRule="exact"/>
              <w:rPr>
                <w:sz w:val="20"/>
                <w:szCs w:val="20"/>
                <w:color w:val="auto"/>
              </w:rPr>
            </w:pPr>
            <w:r>
              <w:rPr>
                <w:rFonts w:ascii="Times New Roman" w:cs="Times New Roman" w:eastAsia="Times New Roman" w:hAnsi="Times New Roman"/>
                <w:sz w:val="17"/>
                <w:szCs w:val="17"/>
                <w:color w:val="auto"/>
              </w:rPr>
              <w:t>As adjusted net tangible book value per share after this offering</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 ​​ ​</w:t>
            </w:r>
          </w:p>
        </w:tc>
        <w:tc>
          <w:tcPr>
            <w:tcW w:w="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tcPr>
          <w:p>
            <w:pPr>
              <w:jc w:val="right"/>
              <w:spacing w:after="0" w:line="168" w:lineRule="exact"/>
              <w:rPr>
                <w:sz w:val="20"/>
                <w:szCs w:val="20"/>
                <w:color w:val="auto"/>
              </w:rPr>
            </w:pPr>
            <w:r>
              <w:rPr>
                <w:rFonts w:ascii="Times New Roman" w:cs="Times New Roman" w:eastAsia="Times New Roman" w:hAnsi="Times New Roman"/>
                <w:sz w:val="17"/>
                <w:szCs w:val="17"/>
                <w:color w:val="auto"/>
              </w:rPr>
              <w:t>​1.48</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0"/>
        </w:trPr>
        <w:tc>
          <w:tcPr>
            <w:tcW w:w="6460" w:type="dxa"/>
            <w:vAlign w:val="bottom"/>
            <w:gridSpan w:val="2"/>
          </w:tcPr>
          <w:p>
            <w:pPr>
              <w:jc w:val="right"/>
              <w:ind w:right="6356"/>
              <w:spacing w:after="0" w:line="51" w:lineRule="exact"/>
              <w:rPr>
                <w:sz w:val="20"/>
                <w:szCs w:val="20"/>
                <w:color w:val="auto"/>
              </w:rPr>
            </w:pPr>
            <w:r>
              <w:rPr>
                <w:rFonts w:ascii="Times New Roman" w:cs="Times New Roman" w:eastAsia="Times New Roman" w:hAnsi="Times New Roman"/>
                <w:sz w:val="5"/>
                <w:szCs w:val="5"/>
                <w:color w:val="auto"/>
              </w:rPr>
              <w:t>​</w:t>
            </w:r>
          </w:p>
        </w:tc>
        <w:tc>
          <w:tcPr>
            <w:tcW w:w="460" w:type="dxa"/>
            <w:vAlign w:val="bottom"/>
            <w:gridSpan w:val="2"/>
            <w:vMerge w:val="continue"/>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Dilution per share to new investors in this offering</w:t>
            </w:r>
          </w:p>
        </w:tc>
        <w:tc>
          <w:tcPr>
            <w:tcW w:w="2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gridSpan w:val="4"/>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440" w:type="dxa"/>
            <w:vAlign w:val="bottom"/>
            <w:shd w:val="clear" w:color="auto" w:fill="CCEEFF"/>
          </w:tcPr>
          <w:p>
            <w:pPr>
              <w:jc w:val="right"/>
              <w:ind w:right="6356"/>
              <w:spacing w:after="0"/>
              <w:rPr>
                <w:sz w:val="20"/>
                <w:szCs w:val="20"/>
                <w:color w:val="auto"/>
              </w:rPr>
            </w:pPr>
            <w:r>
              <w:rPr>
                <w:rFonts w:ascii="Times New Roman" w:cs="Times New Roman" w:eastAsia="Times New Roman" w:hAnsi="Times New Roman"/>
                <w:sz w:val="1"/>
                <w:szCs w:val="1"/>
                <w:color w:val="auto"/>
                <w:w w:val="4294942296"/>
              </w:rPr>
              <w:t>​</w:t>
            </w:r>
          </w:p>
        </w:tc>
        <w:tc>
          <w:tcPr>
            <w:tcW w:w="260" w:type="dxa"/>
            <w:vAlign w:val="bottom"/>
            <w:tcBorders>
              <w:right w:val="single" w:sz="8" w:color="CCEEFF"/>
            </w:tcBorders>
            <w:shd w:val="clear" w:color="auto" w:fill="CCEEFF"/>
          </w:tcPr>
          <w:p>
            <w:pPr>
              <w:ind w:left="60"/>
              <w:spacing w:after="0" w:line="31" w:lineRule="exact"/>
              <w:rPr>
                <w:sz w:val="20"/>
                <w:szCs w:val="20"/>
                <w:color w:val="auto"/>
              </w:rPr>
            </w:pPr>
            <w:r>
              <w:rPr>
                <w:rFonts w:ascii="Times New Roman" w:cs="Times New Roman" w:eastAsia="Times New Roman" w:hAnsi="Times New Roman"/>
                <w:sz w:val="3"/>
                <w:szCs w:val="3"/>
                <w:color w:val="auto"/>
              </w:rPr>
              <w:t>​ ​​</w:t>
            </w:r>
          </w:p>
        </w:tc>
        <w:tc>
          <w:tcPr>
            <w:tcW w:w="200" w:type="dxa"/>
            <w:vAlign w:val="bottom"/>
            <w:shd w:val="clear" w:color="auto" w:fill="CCEEFF"/>
          </w:tcPr>
          <w:p>
            <w:pPr>
              <w:spacing w:after="0"/>
              <w:rPr>
                <w:sz w:val="5"/>
                <w:szCs w:val="5"/>
                <w:color w:val="auto"/>
              </w:rPr>
            </w:pPr>
          </w:p>
        </w:tc>
        <w:tc>
          <w:tcPr>
            <w:tcW w:w="400" w:type="dxa"/>
            <w:vAlign w:val="bottom"/>
            <w:gridSpan w:val="3"/>
            <w:shd w:val="clear" w:color="auto" w:fill="CCEEFF"/>
          </w:tcPr>
          <w:p>
            <w:pPr>
              <w:ind w:left="140"/>
              <w:spacing w:after="0" w:line="31" w:lineRule="exact"/>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340" w:type="dxa"/>
            <w:vAlign w:val="bottom"/>
            <w:tcBorders>
              <w:right w:val="single" w:sz="8" w:color="CCEEFF"/>
            </w:tcBorders>
            <w:shd w:val="clear" w:color="auto" w:fill="CCEEFF"/>
          </w:tcPr>
          <w:p>
            <w:pPr>
              <w:spacing w:after="0"/>
              <w:rPr>
                <w:sz w:val="5"/>
                <w:szCs w:val="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-182880</wp:posOffset>
            </wp:positionV>
            <wp:extent cx="46043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4604385" cy="8255"/>
                    </a:xfrm>
                    <a:prstGeom prst="rect">
                      <a:avLst/>
                    </a:prstGeom>
                    <a:noFill/>
                  </pic:spPr>
                </pic:pic>
              </a:graphicData>
            </a:graphic>
          </wp:anchor>
        </w:drawing>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information discussed above is based on 8,923,490 shares of our common stock outstanding as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September 30, 2024 and excludes:</w:t>
      </w:r>
    </w:p>
    <w:p>
      <w:pPr>
        <w:spacing w:after="0" w:line="76" w:lineRule="exact"/>
        <w:rPr>
          <w:sz w:val="20"/>
          <w:szCs w:val="20"/>
          <w:color w:val="auto"/>
        </w:rPr>
      </w:pPr>
    </w:p>
    <w:p>
      <w:pPr>
        <w:ind w:left="1660" w:right="939" w:hanging="161"/>
        <w:spacing w:after="0" w:line="273" w:lineRule="auto"/>
        <w:tabs>
          <w:tab w:leader="none" w:pos="1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596,333 shares of our common stock issuable upon the exercise of stock options outstanding as of September 30, 2024, at a weighted-average exercise price of $ 22.80 per share;</w:t>
      </w:r>
    </w:p>
    <w:p>
      <w:pPr>
        <w:spacing w:after="0" w:line="57" w:lineRule="exact"/>
        <w:rPr>
          <w:rFonts w:ascii="Times New Roman" w:cs="Times New Roman" w:eastAsia="Times New Roman" w:hAnsi="Times New Roman"/>
          <w:sz w:val="17"/>
          <w:szCs w:val="17"/>
          <w:color w:val="auto"/>
        </w:rPr>
      </w:pPr>
    </w:p>
    <w:p>
      <w:pPr>
        <w:ind w:left="1660" w:right="799" w:hanging="161"/>
        <w:spacing w:after="0" w:line="273" w:lineRule="auto"/>
        <w:tabs>
          <w:tab w:leader="none" w:pos="1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1,227,421 shares of our common stock reserved for future issuance under our 2020 Equity Incentive Plan.</w:t>
      </w:r>
    </w:p>
    <w:p>
      <w:pPr>
        <w:spacing w:after="0" w:line="33" w:lineRule="exact"/>
        <w:rPr>
          <w:sz w:val="20"/>
          <w:szCs w:val="20"/>
          <w:color w:val="auto"/>
        </w:rPr>
      </w:pPr>
    </w:p>
    <w:p>
      <w:pPr>
        <w:ind w:left="1160" w:right="719" w:firstLine="335"/>
        <w:spacing w:after="0" w:line="238" w:lineRule="auto"/>
        <w:rPr>
          <w:sz w:val="20"/>
          <w:szCs w:val="20"/>
          <w:color w:val="auto"/>
        </w:rPr>
      </w:pPr>
      <w:r>
        <w:rPr>
          <w:rFonts w:ascii="Times New Roman" w:cs="Times New Roman" w:eastAsia="Times New Roman" w:hAnsi="Times New Roman"/>
          <w:sz w:val="17"/>
          <w:szCs w:val="17"/>
          <w:color w:val="auto"/>
        </w:rPr>
        <w:t>The table above assumes for illustrative purposes that an aggregate of 3,432,952 shares of our common stock are sold during the term of the Sales Agreement at a price of $3.33 per share, the last reported sale price of our common stock on The Nasdaq Capital Market on November 25, 2024, for aggregate gross proceeds of $11.4 million. The shares subject to the Sales Agreement are being sold from time to time at various prices. An increase of $1.00 per share in the price at which the shares are sold from the assumed offering price of $ 3.33 per share shown in the table above, assuming all of our common stock in the aggregate amount of $11.4 million during the term of the Sales Agreement is sold at that price, would increase our adjusted net tangible book value per share after the offering to $1.58 per share and would increase the dilution in net tangible book value per share to new investors in this offering to $2.75 per share, after deducting commissions and estimated aggregate offering expenses payable by us. A decrease of $1.00 per share in the price at which the shares are sold from the assumed offering price of $3.33 per share shown in the table above, assuming all of our common stock in the aggregate amount of $11.4 million during the term of the Sales Agreement is sold at that price, would decrease our adjusted net tangible book value per share after the offering to $1.32 per share and would decrease the dilution in net tangible book value per share to new investors in this offering to $1.01 per share, after deducting commissions and estimated offering expenses payable by us. This information is supplied for illustrative purposes only.</w:t>
      </w:r>
    </w:p>
    <w:p>
      <w:pPr>
        <w:spacing w:after="0" w:line="65" w:lineRule="exact"/>
        <w:rPr>
          <w:sz w:val="20"/>
          <w:szCs w:val="20"/>
          <w:color w:val="auto"/>
        </w:rPr>
      </w:pPr>
    </w:p>
    <w:p>
      <w:pPr>
        <w:ind w:left="1160" w:right="699" w:firstLine="335"/>
        <w:spacing w:after="0" w:line="242" w:lineRule="auto"/>
        <w:rPr>
          <w:sz w:val="20"/>
          <w:szCs w:val="20"/>
          <w:color w:val="auto"/>
        </w:rPr>
      </w:pPr>
      <w:r>
        <w:rPr>
          <w:rFonts w:ascii="Times New Roman" w:cs="Times New Roman" w:eastAsia="Times New Roman" w:hAnsi="Times New Roman"/>
          <w:sz w:val="17"/>
          <w:szCs w:val="17"/>
          <w:color w:val="auto"/>
        </w:rPr>
        <w:t>To the extent that outstanding options or warrants are exercised or we issue additional options, warrants or shares of our common stock in the future, there will be further dilution to investors purchasing common stock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1160" w:right="919" w:firstLine="335"/>
        <w:spacing w:after="0" w:line="254" w:lineRule="auto"/>
        <w:rPr>
          <w:sz w:val="20"/>
          <w:szCs w:val="20"/>
          <w:color w:val="auto"/>
        </w:rPr>
      </w:pPr>
      <w:r>
        <w:rPr>
          <w:rFonts w:ascii="Times New Roman" w:cs="Times New Roman" w:eastAsia="Times New Roman" w:hAnsi="Times New Roman"/>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8" w:lineRule="exact"/>
        <w:rPr>
          <w:sz w:val="20"/>
          <w:szCs w:val="20"/>
          <w:color w:val="auto"/>
        </w:rPr>
      </w:pPr>
    </w:p>
    <w:p>
      <w:pPr>
        <w:ind w:left="1160" w:right="699" w:firstLine="335"/>
        <w:spacing w:after="0" w:line="242" w:lineRule="auto"/>
        <w:rPr>
          <w:sz w:val="20"/>
          <w:szCs w:val="20"/>
          <w:color w:val="auto"/>
        </w:rPr>
      </w:pPr>
      <w:r>
        <w:rPr>
          <w:rFonts w:ascii="Times New Roman" w:cs="Times New Roman" w:eastAsia="Times New Roman" w:hAnsi="Times New Roman"/>
          <w:sz w:val="17"/>
          <w:szCs w:val="17"/>
          <w:color w:val="auto"/>
        </w:rPr>
        <w:t>Our certificate of incorporation authorizes us to issue up to 30,000,000 shares of common stock, $0.001 par value per share, and 5,000,000 shares of preferred stock, $0.001 par value per share. Our board of directors may establish the rights and preferences of the preferred stock from time to time. As of September 30, 2024, we had outstanding 8,923,490 shares of common stock and no shares of preferred stock outstanding.</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48" w:lineRule="exact"/>
        <w:rPr>
          <w:sz w:val="20"/>
          <w:szCs w:val="20"/>
          <w:color w:val="auto"/>
        </w:rPr>
      </w:pPr>
    </w:p>
    <w:p>
      <w:pPr>
        <w:ind w:left="1160" w:right="719" w:firstLine="335"/>
        <w:spacing w:after="0" w:line="243"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48" w:lineRule="exact"/>
        <w:rPr>
          <w:sz w:val="20"/>
          <w:szCs w:val="20"/>
          <w:color w:val="auto"/>
        </w:rPr>
      </w:pPr>
    </w:p>
    <w:p>
      <w:pPr>
        <w:ind w:left="1160" w:right="739" w:firstLine="335"/>
        <w:spacing w:after="0" w:line="244" w:lineRule="auto"/>
        <w:rPr>
          <w:sz w:val="20"/>
          <w:szCs w:val="20"/>
          <w:color w:val="auto"/>
        </w:rPr>
      </w:pPr>
      <w:r>
        <w:rPr>
          <w:rFonts w:ascii="Times New Roman" w:cs="Times New Roman" w:eastAsia="Times New Roman" w:hAnsi="Times New Roman"/>
          <w:sz w:val="17"/>
          <w:szCs w:val="17"/>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135" w:lineRule="exact"/>
        <w:rPr>
          <w:sz w:val="20"/>
          <w:szCs w:val="20"/>
          <w:color w:val="auto"/>
        </w:rPr>
      </w:pPr>
    </w:p>
    <w:p>
      <w:pPr>
        <w:ind w:left="1160" w:right="859" w:firstLine="335"/>
        <w:spacing w:after="0" w:line="252"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Rights and Preferences</w:t>
      </w:r>
    </w:p>
    <w:p>
      <w:pPr>
        <w:spacing w:after="0" w:line="148" w:lineRule="exact"/>
        <w:rPr>
          <w:sz w:val="20"/>
          <w:szCs w:val="20"/>
          <w:color w:val="auto"/>
        </w:rPr>
      </w:pPr>
    </w:p>
    <w:p>
      <w:pPr>
        <w:ind w:left="1160" w:right="719" w:firstLine="335"/>
        <w:spacing w:after="0" w:line="242" w:lineRule="auto"/>
        <w:rPr>
          <w:sz w:val="20"/>
          <w:szCs w:val="20"/>
          <w:color w:val="auto"/>
        </w:rPr>
      </w:pPr>
      <w:r>
        <w:rPr>
          <w:rFonts w:ascii="Times New Roman" w:cs="Times New Roman" w:eastAsia="Times New Roman" w:hAnsi="Times New Roman"/>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8"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pacing w:after="0" w:line="3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240665</wp:posOffset>
            </wp:positionV>
            <wp:extent cx="635317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99"/>
        <w:spacing w:after="0" w:line="273" w:lineRule="auto"/>
        <w:rPr>
          <w:sz w:val="20"/>
          <w:szCs w:val="20"/>
          <w:color w:val="auto"/>
        </w:rPr>
      </w:pPr>
      <w:r>
        <w:rPr>
          <w:rFonts w:ascii="Times New Roman" w:cs="Times New Roman" w:eastAsia="Times New Roman" w:hAnsi="Times New Roman"/>
          <w:sz w:val="17"/>
          <w:szCs w:val="17"/>
          <w:color w:val="auto"/>
        </w:rPr>
        <w:t>directors, without stockholder approval, we may issue shares of preferred stock with voting and conversion rights which could adversely affect the holders of shares of our common stock.</w:t>
      </w:r>
    </w:p>
    <w:p>
      <w:pPr>
        <w:spacing w:after="0" w:line="83" w:lineRule="exact"/>
        <w:rPr>
          <w:sz w:val="20"/>
          <w:szCs w:val="20"/>
          <w:color w:val="auto"/>
        </w:rPr>
      </w:pPr>
    </w:p>
    <w:p>
      <w:pPr>
        <w:ind w:left="1160" w:right="719" w:firstLine="335"/>
        <w:spacing w:after="0" w:line="241" w:lineRule="auto"/>
        <w:rPr>
          <w:sz w:val="20"/>
          <w:szCs w:val="20"/>
          <w:color w:val="auto"/>
        </w:rPr>
      </w:pPr>
      <w:r>
        <w:rPr>
          <w:rFonts w:ascii="Times New Roman" w:cs="Times New Roman" w:eastAsia="Times New Roman" w:hAnsi="Times New Roman"/>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we are offering;</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preference per share;</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per share;</w:t>
      </w:r>
    </w:p>
    <w:p>
      <w:pPr>
        <w:spacing w:after="0" w:line="93" w:lineRule="exact"/>
        <w:rPr>
          <w:rFonts w:ascii="Times New Roman" w:cs="Times New Roman" w:eastAsia="Times New Roman" w:hAnsi="Times New Roman"/>
          <w:sz w:val="17"/>
          <w:szCs w:val="17"/>
          <w:color w:val="auto"/>
        </w:rPr>
      </w:pPr>
    </w:p>
    <w:p>
      <w:pPr>
        <w:ind w:left="1660" w:right="129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per share, dividend period and payment dates and method of calculation for dividends;</w:t>
      </w:r>
    </w:p>
    <w:p>
      <w:pPr>
        <w:spacing w:after="0" w:line="45" w:lineRule="exact"/>
        <w:rPr>
          <w:rFonts w:ascii="Times New Roman" w:cs="Times New Roman" w:eastAsia="Times New Roman" w:hAnsi="Times New Roman"/>
          <w:sz w:val="17"/>
          <w:szCs w:val="17"/>
          <w:color w:val="auto"/>
        </w:rPr>
      </w:pPr>
    </w:p>
    <w:p>
      <w:pPr>
        <w:ind w:left="1660" w:right="103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will be cumulative or non-cumulative and, if cumulative, the date from which dividends will accumulate;</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dividends and the maximum length of any such deferral period;</w:t>
      </w:r>
    </w:p>
    <w:p>
      <w:pPr>
        <w:spacing w:after="0" w:line="106"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any auction and remarketing,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93" w:lineRule="exact"/>
        <w:rPr>
          <w:rFonts w:ascii="Times New Roman" w:cs="Times New Roman" w:eastAsia="Times New Roman" w:hAnsi="Times New Roman"/>
          <w:sz w:val="17"/>
          <w:szCs w:val="17"/>
          <w:color w:val="auto"/>
        </w:rPr>
      </w:pPr>
    </w:p>
    <w:p>
      <w:pPr>
        <w:ind w:left="1660" w:right="113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redemption or repurchase, if applicable, and any restrictions on our ability to exercise those redemption and repurchase rights;</w:t>
      </w:r>
    </w:p>
    <w:p>
      <w:pPr>
        <w:spacing w:after="0" w:line="4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93" w:lineRule="exact"/>
        <w:rPr>
          <w:rFonts w:ascii="Times New Roman" w:cs="Times New Roman" w:eastAsia="Times New Roman" w:hAnsi="Times New Roman"/>
          <w:sz w:val="17"/>
          <w:szCs w:val="17"/>
          <w:color w:val="auto"/>
        </w:rPr>
      </w:pPr>
    </w:p>
    <w:p>
      <w:pPr>
        <w:ind w:left="1660" w:right="919" w:hanging="161"/>
        <w:spacing w:after="0" w:line="260"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8" w:lineRule="exact"/>
        <w:rPr>
          <w:rFonts w:ascii="Times New Roman" w:cs="Times New Roman" w:eastAsia="Times New Roman" w:hAnsi="Times New Roman"/>
          <w:sz w:val="17"/>
          <w:szCs w:val="17"/>
          <w:color w:val="auto"/>
        </w:rPr>
      </w:pPr>
    </w:p>
    <w:p>
      <w:pPr>
        <w:ind w:left="1660" w:right="919" w:hanging="161"/>
        <w:spacing w:after="0" w:line="260"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into debt securities, and, if applicable, the exchange period, the exchange price, or how it will be calculated, and under what circumstances it may be adjusted;</w:t>
      </w:r>
    </w:p>
    <w:p>
      <w:pPr>
        <w:spacing w:after="0" w:line="55"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preemption rights,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transfer, sale or other assignment, if any;</w:t>
      </w:r>
    </w:p>
    <w:p>
      <w:pPr>
        <w:spacing w:after="0" w:line="93" w:lineRule="exact"/>
        <w:rPr>
          <w:rFonts w:ascii="Times New Roman" w:cs="Times New Roman" w:eastAsia="Times New Roman" w:hAnsi="Times New Roman"/>
          <w:sz w:val="17"/>
          <w:szCs w:val="17"/>
          <w:color w:val="auto"/>
        </w:rPr>
      </w:pPr>
    </w:p>
    <w:p>
      <w:pPr>
        <w:ind w:left="1660" w:hanging="161"/>
        <w:spacing w:after="0"/>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interests in the preferred stock will be represented by depositary shares;</w:t>
      </w:r>
    </w:p>
    <w:p>
      <w:pPr>
        <w:spacing w:after="0" w:line="106" w:lineRule="exact"/>
        <w:rPr>
          <w:rFonts w:ascii="Times New Roman" w:cs="Times New Roman" w:eastAsia="Times New Roman" w:hAnsi="Times New Roman"/>
          <w:sz w:val="17"/>
          <w:szCs w:val="17"/>
          <w:color w:val="auto"/>
        </w:rPr>
      </w:pPr>
    </w:p>
    <w:p>
      <w:pPr>
        <w:ind w:left="1660" w:right="117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or special U.S. federal income tax considerations applicable to the preferred stock;</w:t>
      </w:r>
    </w:p>
    <w:p>
      <w:pPr>
        <w:spacing w:after="0" w:line="45" w:lineRule="exact"/>
        <w:rPr>
          <w:rFonts w:ascii="Times New Roman" w:cs="Times New Roman" w:eastAsia="Times New Roman" w:hAnsi="Times New Roman"/>
          <w:sz w:val="17"/>
          <w:szCs w:val="17"/>
          <w:color w:val="auto"/>
        </w:rPr>
      </w:pPr>
    </w:p>
    <w:p>
      <w:pPr>
        <w:ind w:left="1660" w:right="113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if we liquidate, dissolve or wind up our affairs;</w:t>
      </w:r>
    </w:p>
    <w:p>
      <w:pPr>
        <w:spacing w:after="0" w:line="45" w:lineRule="exact"/>
        <w:rPr>
          <w:rFonts w:ascii="Times New Roman" w:cs="Times New Roman" w:eastAsia="Times New Roman" w:hAnsi="Times New Roman"/>
          <w:sz w:val="17"/>
          <w:szCs w:val="17"/>
          <w:color w:val="auto"/>
        </w:rPr>
      </w:pPr>
    </w:p>
    <w:p>
      <w:pPr>
        <w:ind w:left="1660" w:right="819" w:hanging="161"/>
        <w:spacing w:after="0" w:line="260"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5" w:lineRule="exact"/>
        <w:rPr>
          <w:rFonts w:ascii="Times New Roman" w:cs="Times New Roman" w:eastAsia="Times New Roman" w:hAnsi="Times New Roman"/>
          <w:sz w:val="17"/>
          <w:szCs w:val="17"/>
          <w:color w:val="auto"/>
        </w:rPr>
      </w:pPr>
    </w:p>
    <w:p>
      <w:pPr>
        <w:ind w:left="1660" w:right="759" w:hanging="161"/>
        <w:spacing w:after="0" w:line="273" w:lineRule="auto"/>
        <w:tabs>
          <w:tab w:leader="none" w:pos="1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preferences, privileges, qualifications or restrictions of the preferred stock.</w:t>
      </w:r>
    </w:p>
    <w:p>
      <w:pPr>
        <w:spacing w:after="0" w:line="96" w:lineRule="exact"/>
        <w:rPr>
          <w:sz w:val="20"/>
          <w:szCs w:val="20"/>
          <w:color w:val="auto"/>
        </w:rPr>
      </w:pPr>
    </w:p>
    <w:p>
      <w:pPr>
        <w:ind w:left="1160" w:right="1099" w:firstLine="335"/>
        <w:spacing w:after="0" w:line="258" w:lineRule="auto"/>
        <w:rPr>
          <w:sz w:val="20"/>
          <w:szCs w:val="20"/>
          <w:color w:val="auto"/>
        </w:rPr>
      </w:pPr>
      <w:r>
        <w:rPr>
          <w:rFonts w:ascii="Times New Roman" w:cs="Times New Roman" w:eastAsia="Times New Roman" w:hAnsi="Times New Roman"/>
          <w:sz w:val="17"/>
          <w:szCs w:val="17"/>
          <w:color w:val="auto"/>
        </w:rPr>
        <w:t>The General Corporation Law of the State of Delaware, or DGCL, the state of our incorporation, provides that the holders of preferred stock will have the right to vote separately as a class (or, in some</w:t>
      </w: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spacing w:after="0" w:line="245" w:lineRule="auto"/>
        <w:rPr>
          <w:sz w:val="20"/>
          <w:szCs w:val="20"/>
          <w:color w:val="auto"/>
        </w:rPr>
      </w:pPr>
      <w:r>
        <w:rPr>
          <w:rFonts w:ascii="Times New Roman" w:cs="Times New Roman" w:eastAsia="Times New Roman" w:hAnsi="Times New Roman"/>
          <w:sz w:val="17"/>
          <w:szCs w:val="17"/>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08" w:lineRule="exact"/>
        <w:rPr>
          <w:sz w:val="20"/>
          <w:szCs w:val="20"/>
          <w:color w:val="auto"/>
        </w:rPr>
      </w:pPr>
    </w:p>
    <w:p>
      <w:pPr>
        <w:ind w:left="1160" w:right="959" w:firstLine="335"/>
        <w:spacing w:after="0" w:line="241" w:lineRule="auto"/>
        <w:rPr>
          <w:sz w:val="20"/>
          <w:szCs w:val="20"/>
          <w:color w:val="auto"/>
        </w:rPr>
      </w:pPr>
      <w:r>
        <w:rPr>
          <w:rFonts w:ascii="Times New Roman" w:cs="Times New Roman" w:eastAsia="Times New Roman" w:hAnsi="Times New Roman"/>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Section 203 of the DGCL</w:t>
      </w:r>
    </w:p>
    <w:p>
      <w:pPr>
        <w:spacing w:after="0" w:line="148" w:lineRule="exact"/>
        <w:rPr>
          <w:sz w:val="20"/>
          <w:szCs w:val="20"/>
          <w:color w:val="auto"/>
        </w:rPr>
      </w:pPr>
    </w:p>
    <w:p>
      <w:pPr>
        <w:ind w:left="1160" w:right="799" w:firstLine="335"/>
        <w:spacing w:after="0" w:line="252" w:lineRule="auto"/>
        <w:rPr>
          <w:sz w:val="20"/>
          <w:szCs w:val="20"/>
          <w:color w:val="auto"/>
        </w:rPr>
      </w:pPr>
      <w:r>
        <w:rPr>
          <w:rFonts w:ascii="Times New Roman" w:cs="Times New Roman" w:eastAsia="Times New Roman" w:hAnsi="Times New Roman"/>
          <w:sz w:val="17"/>
          <w:szCs w:val="17"/>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50" w:lineRule="exact"/>
        <w:rPr>
          <w:sz w:val="20"/>
          <w:szCs w:val="20"/>
          <w:color w:val="auto"/>
        </w:rPr>
      </w:pPr>
    </w:p>
    <w:p>
      <w:pPr>
        <w:ind w:left="1660" w:right="819" w:hanging="161"/>
        <w:spacing w:after="0" w:line="273" w:lineRule="auto"/>
        <w:tabs>
          <w:tab w:leader="none" w:pos="1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such date, the board of directors of the corporation approved either the business combination or the transaction that resulted in the stockholder becoming an interested stockholder;</w:t>
      </w:r>
    </w:p>
    <w:p>
      <w:pPr>
        <w:spacing w:after="0" w:line="57" w:lineRule="exact"/>
        <w:rPr>
          <w:rFonts w:ascii="Times New Roman" w:cs="Times New Roman" w:eastAsia="Times New Roman" w:hAnsi="Times New Roman"/>
          <w:sz w:val="17"/>
          <w:szCs w:val="17"/>
          <w:color w:val="auto"/>
        </w:rPr>
      </w:pPr>
    </w:p>
    <w:p>
      <w:pPr>
        <w:ind w:left="1660" w:right="739" w:hanging="161"/>
        <w:spacing w:after="0" w:line="251" w:lineRule="auto"/>
        <w:tabs>
          <w:tab w:leader="none" w:pos="1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6" w:lineRule="exact"/>
        <w:rPr>
          <w:rFonts w:ascii="Times New Roman" w:cs="Times New Roman" w:eastAsia="Times New Roman" w:hAnsi="Times New Roman"/>
          <w:sz w:val="17"/>
          <w:szCs w:val="17"/>
          <w:color w:val="auto"/>
        </w:rPr>
      </w:pPr>
    </w:p>
    <w:p>
      <w:pPr>
        <w:ind w:left="1660" w:right="819" w:hanging="161"/>
        <w:spacing w:after="0" w:line="257" w:lineRule="auto"/>
        <w:tabs>
          <w:tab w:leader="none" w:pos="1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3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In general, Section 203 defines a “business combination” to include the following:</w:t>
      </w:r>
    </w:p>
    <w:p>
      <w:pPr>
        <w:spacing w:after="0" w:line="106" w:lineRule="exact"/>
        <w:rPr>
          <w:sz w:val="20"/>
          <w:szCs w:val="20"/>
          <w:color w:val="auto"/>
        </w:rPr>
      </w:pPr>
    </w:p>
    <w:p>
      <w:pPr>
        <w:ind w:left="1660" w:hanging="161"/>
        <w:spacing w:after="0"/>
        <w:tabs>
          <w:tab w:leader="none" w:pos="1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106" w:lineRule="exact"/>
        <w:rPr>
          <w:rFonts w:ascii="Times New Roman" w:cs="Times New Roman" w:eastAsia="Times New Roman" w:hAnsi="Times New Roman"/>
          <w:sz w:val="17"/>
          <w:szCs w:val="17"/>
          <w:color w:val="auto"/>
        </w:rPr>
      </w:pPr>
    </w:p>
    <w:p>
      <w:pPr>
        <w:ind w:left="1660" w:right="1319" w:hanging="161"/>
        <w:spacing w:after="0" w:line="273" w:lineRule="auto"/>
        <w:tabs>
          <w:tab w:leader="none" w:pos="1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corporation involving the interested stockholder;</w:t>
      </w:r>
    </w:p>
    <w:p>
      <w:pPr>
        <w:spacing w:after="0" w:line="45" w:lineRule="exact"/>
        <w:rPr>
          <w:rFonts w:ascii="Times New Roman" w:cs="Times New Roman" w:eastAsia="Times New Roman" w:hAnsi="Times New Roman"/>
          <w:sz w:val="17"/>
          <w:szCs w:val="17"/>
          <w:color w:val="auto"/>
        </w:rPr>
      </w:pPr>
    </w:p>
    <w:p>
      <w:pPr>
        <w:ind w:left="1660" w:right="1519" w:hanging="161"/>
        <w:spacing w:after="0" w:line="273" w:lineRule="auto"/>
        <w:tabs>
          <w:tab w:leader="none" w:pos="1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57" w:lineRule="exact"/>
        <w:rPr>
          <w:rFonts w:ascii="Times New Roman" w:cs="Times New Roman" w:eastAsia="Times New Roman" w:hAnsi="Times New Roman"/>
          <w:sz w:val="17"/>
          <w:szCs w:val="17"/>
          <w:color w:val="auto"/>
        </w:rPr>
      </w:pPr>
    </w:p>
    <w:p>
      <w:pPr>
        <w:jc w:val="both"/>
        <w:ind w:left="1660" w:right="819" w:hanging="161"/>
        <w:spacing w:after="0" w:line="266" w:lineRule="auto"/>
        <w:tabs>
          <w:tab w:leader="none" w:pos="1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270" w:lineRule="exact"/>
        <w:rPr>
          <w:rFonts w:ascii="Times New Roman" w:cs="Times New Roman" w:eastAsia="Times New Roman" w:hAnsi="Times New Roman"/>
          <w:sz w:val="17"/>
          <w:szCs w:val="17"/>
          <w:color w:val="auto"/>
        </w:rPr>
      </w:pPr>
    </w:p>
    <w:p>
      <w:pPr>
        <w:ind w:left="1660" w:right="739" w:hanging="161"/>
        <w:spacing w:after="0" w:line="273" w:lineRule="auto"/>
        <w:tabs>
          <w:tab w:leader="none" w:pos="1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by or through the corporation.</w:t>
      </w:r>
    </w:p>
    <w:p>
      <w:pPr>
        <w:spacing w:after="0" w:line="83" w:lineRule="exact"/>
        <w:rPr>
          <w:sz w:val="20"/>
          <w:szCs w:val="20"/>
          <w:color w:val="auto"/>
        </w:rPr>
      </w:pPr>
    </w:p>
    <w:p>
      <w:pPr>
        <w:ind w:left="1160" w:right="839" w:firstLine="335"/>
        <w:spacing w:after="0" w:line="246"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i w:val="1"/>
          <w:iCs w:val="1"/>
          <w:color w:val="auto"/>
        </w:rPr>
        <w:t>Certificate of Incorporation and Bylaws</w:t>
      </w:r>
    </w:p>
    <w:p>
      <w:pPr>
        <w:spacing w:after="0" w:line="135" w:lineRule="exact"/>
        <w:rPr>
          <w:sz w:val="20"/>
          <w:szCs w:val="20"/>
          <w:color w:val="auto"/>
        </w:rPr>
      </w:pPr>
    </w:p>
    <w:p>
      <w:pPr>
        <w:ind w:left="1160" w:right="799" w:firstLine="335"/>
        <w:spacing w:after="0" w:line="245" w:lineRule="auto"/>
        <w:rPr>
          <w:sz w:val="20"/>
          <w:szCs w:val="20"/>
          <w:color w:val="auto"/>
        </w:rPr>
      </w:pPr>
      <w:r>
        <w:rPr>
          <w:rFonts w:ascii="Times New Roman" w:cs="Times New Roman" w:eastAsia="Times New Roman" w:hAnsi="Times New Roman"/>
          <w:sz w:val="17"/>
          <w:szCs w:val="17"/>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pacing w:after="0" w:line="3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759"/>
        <w:spacing w:after="0" w:line="253" w:lineRule="auto"/>
        <w:rPr>
          <w:sz w:val="20"/>
          <w:szCs w:val="20"/>
          <w:color w:val="auto"/>
        </w:rPr>
      </w:pPr>
      <w:r>
        <w:rPr>
          <w:rFonts w:ascii="Times New Roman" w:cs="Times New Roman" w:eastAsia="Times New Roman" w:hAnsi="Times New Roman"/>
          <w:sz w:val="17"/>
          <w:szCs w:val="17"/>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3" w:lineRule="exact"/>
        <w:rPr>
          <w:sz w:val="20"/>
          <w:szCs w:val="20"/>
          <w:color w:val="auto"/>
        </w:rPr>
      </w:pPr>
    </w:p>
    <w:p>
      <w:pPr>
        <w:ind w:left="1160" w:right="939" w:firstLine="335"/>
        <w:spacing w:after="0" w:line="253" w:lineRule="auto"/>
        <w:rPr>
          <w:sz w:val="20"/>
          <w:szCs w:val="20"/>
          <w:color w:val="auto"/>
        </w:rPr>
      </w:pPr>
      <w:r>
        <w:rPr>
          <w:rFonts w:ascii="Times New Roman" w:cs="Times New Roman" w:eastAsia="Times New Roman" w:hAnsi="Times New Roman"/>
          <w:sz w:val="17"/>
          <w:szCs w:val="17"/>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13" w:lineRule="exact"/>
        <w:rPr>
          <w:sz w:val="20"/>
          <w:szCs w:val="20"/>
          <w:color w:val="auto"/>
        </w:rPr>
      </w:pPr>
    </w:p>
    <w:p>
      <w:pPr>
        <w:ind w:left="1160" w:right="719" w:firstLine="335"/>
        <w:spacing w:after="0" w:line="251" w:lineRule="auto"/>
        <w:rPr>
          <w:sz w:val="20"/>
          <w:szCs w:val="20"/>
          <w:color w:val="auto"/>
        </w:rPr>
      </w:pPr>
      <w:r>
        <w:rPr>
          <w:rFonts w:ascii="Times New Roman" w:cs="Times New Roman" w:eastAsia="Times New Roman" w:hAnsi="Times New Roman"/>
          <w:sz w:val="17"/>
          <w:szCs w:val="17"/>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02"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48" w:lineRule="exact"/>
        <w:rPr>
          <w:sz w:val="20"/>
          <w:szCs w:val="20"/>
          <w:color w:val="auto"/>
        </w:rPr>
      </w:pPr>
    </w:p>
    <w:p>
      <w:pPr>
        <w:jc w:val="both"/>
        <w:ind w:left="1160" w:right="759" w:firstLine="335"/>
        <w:spacing w:after="0" w:line="260" w:lineRule="auto"/>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 with offices at 48 Wall Street, 23rd floor. New York NY 10043. The transfer agent for any series of preferred stock that we may offer under this prospectus will be named and described in the prospectus supplement for that series.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Listing on Nasdaq</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48" w:lineRule="exact"/>
        <w:rPr>
          <w:sz w:val="20"/>
          <w:szCs w:val="20"/>
          <w:color w:val="auto"/>
        </w:rPr>
      </w:pPr>
    </w:p>
    <w:p>
      <w:pPr>
        <w:ind w:left="1160" w:right="819" w:firstLine="335"/>
        <w:spacing w:after="0" w:line="252" w:lineRule="auto"/>
        <w:rPr>
          <w:sz w:val="20"/>
          <w:szCs w:val="20"/>
          <w:color w:val="auto"/>
        </w:rPr>
      </w:pPr>
      <w:r>
        <w:rPr>
          <w:rFonts w:ascii="Times New Roman" w:cs="Times New Roman" w:eastAsia="Times New Roman" w:hAnsi="Times New Roman"/>
          <w:sz w:val="17"/>
          <w:szCs w:val="17"/>
          <w:color w:val="auto"/>
        </w:rPr>
        <w:t>We have entered into an At The Market Offering Agreement, or the sales agreement, with the Sales Agent, under which we may offer and sell up to $11,431,731 of shares of our common stock from time to time through the Sales Agent, acting as agent. Sales of the shares of common stock, if any, may be made at market prices by any method deemed to be an “at the market” offering as defined in Rule 415(a)(4) under the Securities Act, including, without limitation, sales made directly on The Nasdaq Capital Market or any other existing trading market for our common stock.</w:t>
      </w:r>
    </w:p>
    <w:p>
      <w:pPr>
        <w:spacing w:after="0" w:line="113" w:lineRule="exact"/>
        <w:rPr>
          <w:sz w:val="20"/>
          <w:szCs w:val="20"/>
          <w:color w:val="auto"/>
        </w:rPr>
      </w:pPr>
    </w:p>
    <w:p>
      <w:pPr>
        <w:ind w:left="1160" w:right="999" w:firstLine="335"/>
        <w:spacing w:after="0" w:line="260" w:lineRule="auto"/>
        <w:rPr>
          <w:sz w:val="20"/>
          <w:szCs w:val="20"/>
          <w:color w:val="auto"/>
        </w:rPr>
      </w:pPr>
      <w:r>
        <w:rPr>
          <w:rFonts w:ascii="Times New Roman" w:cs="Times New Roman" w:eastAsia="Times New Roman" w:hAnsi="Times New Roman"/>
          <w:sz w:val="17"/>
          <w:szCs w:val="17"/>
          <w:color w:val="auto"/>
        </w:rPr>
        <w:t>We may instruct the Sales Agent not to sell our common stock if the sales cannot be effected at or above the price designated by us from time to time. We or the Sales Agent may suspend or terminate the offering of our common stock upon notice and subject to other conditions.</w:t>
      </w:r>
    </w:p>
    <w:p>
      <w:pPr>
        <w:spacing w:after="0" w:line="94" w:lineRule="exact"/>
        <w:rPr>
          <w:sz w:val="20"/>
          <w:szCs w:val="20"/>
          <w:color w:val="auto"/>
        </w:rPr>
      </w:pPr>
    </w:p>
    <w:p>
      <w:pPr>
        <w:ind w:left="1160" w:right="779" w:firstLine="335"/>
        <w:spacing w:after="0" w:line="250" w:lineRule="auto"/>
        <w:rPr>
          <w:sz w:val="20"/>
          <w:szCs w:val="20"/>
          <w:color w:val="auto"/>
        </w:rPr>
      </w:pPr>
      <w:r>
        <w:rPr>
          <w:rFonts w:ascii="Times New Roman" w:cs="Times New Roman" w:eastAsia="Times New Roman" w:hAnsi="Times New Roman"/>
          <w:sz w:val="17"/>
          <w:szCs w:val="17"/>
          <w:color w:val="auto"/>
        </w:rPr>
        <w:t>We will pay the Sales Agent commissions, in cash, for its services for acting as Sales Agent in the sale of our common stock. The aggregate compensation payable to the Sales Agent will be 3.0% of the gross sales price of shares sold pursuant to the Sales Agreement. We will also reimburse the Sales Agent up to $75,000 for their fees and expenses incurred in connection with the establishment of this offering program and $2,500 on each “Representation Date” as set forth in the Sales Agreement. We estimate that the total expenses for the offering, excluding commissions and expense reimbursement payable to the Sales Agent under the terms of the sales agreement, will be approximately $250,000. Because there is no minimum offering amount required as a condition to this offering, the actual total public offering amount, commissions and proceeds to us, if any, are not determinable at this time.</w:t>
      </w:r>
    </w:p>
    <w:p>
      <w:pPr>
        <w:spacing w:after="0" w:line="115" w:lineRule="exact"/>
        <w:rPr>
          <w:sz w:val="20"/>
          <w:szCs w:val="20"/>
          <w:color w:val="auto"/>
        </w:rPr>
      </w:pPr>
    </w:p>
    <w:p>
      <w:pPr>
        <w:ind w:left="1160" w:right="739" w:firstLine="335"/>
        <w:spacing w:after="0" w:line="252" w:lineRule="auto"/>
        <w:rPr>
          <w:sz w:val="20"/>
          <w:szCs w:val="20"/>
          <w:color w:val="auto"/>
        </w:rPr>
      </w:pPr>
      <w:r>
        <w:rPr>
          <w:rFonts w:ascii="Times New Roman" w:cs="Times New Roman" w:eastAsia="Times New Roman" w:hAnsi="Times New Roman"/>
          <w:sz w:val="17"/>
          <w:szCs w:val="17"/>
          <w:color w:val="auto"/>
        </w:rPr>
        <w:t>Settlement for sales of shares of our common stock will occur on the first trading day following the date on which any sales are made (or such shorter settlement cycle as may be in effect under Exchange Act Rule 15c6-1 from time to time), in return for payment of the net proceeds to us. Sales of our common stock as contemplated in this prospectus will be settled through the facilities of The Depository Trust Company or by such other means as we and the Sales Agent may agree upon. There is no arrangement for funds to be received in an escrow, trust or similar arrangement.</w:t>
      </w:r>
    </w:p>
    <w:p>
      <w:pPr>
        <w:spacing w:after="0" w:line="113" w:lineRule="exact"/>
        <w:rPr>
          <w:sz w:val="20"/>
          <w:szCs w:val="20"/>
          <w:color w:val="auto"/>
        </w:rPr>
      </w:pPr>
    </w:p>
    <w:p>
      <w:pPr>
        <w:ind w:left="1160" w:right="799" w:firstLine="335"/>
        <w:spacing w:after="0" w:line="251" w:lineRule="auto"/>
        <w:rPr>
          <w:sz w:val="20"/>
          <w:szCs w:val="20"/>
          <w:color w:val="auto"/>
        </w:rPr>
      </w:pPr>
      <w:r>
        <w:rPr>
          <w:rFonts w:ascii="Times New Roman" w:cs="Times New Roman" w:eastAsia="Times New Roman" w:hAnsi="Times New Roman"/>
          <w:sz w:val="17"/>
          <w:szCs w:val="17"/>
          <w:color w:val="auto"/>
        </w:rPr>
        <w:t>The Sales Agent will use its commercially reasonable efforts, consistent with their sales and trading practices, to solicit offers to purchase shares of our common stock under the terms and subject to the conditions set forth in the sales agreement. In connection with the sale of shares of our common stock on our behalf, the Sales Agent will be deemed to be an “underwriter” within the meaning of the Securities Act and the compensation of the Sales Agent may be deemed to be underwriting commissions or discounts. We have agreed to provide indemnification and contribution to the Sales Agent against certain civil liabilities, including liabilities under the Securities Act.</w:t>
      </w:r>
    </w:p>
    <w:p>
      <w:pPr>
        <w:spacing w:after="0" w:line="102" w:lineRule="exact"/>
        <w:rPr>
          <w:sz w:val="20"/>
          <w:szCs w:val="20"/>
          <w:color w:val="auto"/>
        </w:rPr>
      </w:pPr>
    </w:p>
    <w:p>
      <w:pPr>
        <w:ind w:left="1160" w:right="779" w:firstLine="335"/>
        <w:spacing w:after="0" w:line="255" w:lineRule="auto"/>
        <w:rPr>
          <w:sz w:val="20"/>
          <w:szCs w:val="20"/>
          <w:color w:val="auto"/>
        </w:rPr>
      </w:pPr>
      <w:r>
        <w:rPr>
          <w:rFonts w:ascii="Times New Roman" w:cs="Times New Roman" w:eastAsia="Times New Roman" w:hAnsi="Times New Roman"/>
          <w:sz w:val="17"/>
          <w:szCs w:val="17"/>
          <w:color w:val="auto"/>
        </w:rPr>
        <w:t>The offering pursuant to the sales agreement will terminate upon the earlier of (1) the sale of all shares of our common stock subject to the sales agreement or (2) the termination of the sales agreement as permitted therein. We and the Sales Agent may each terminate the sales agreement at any time upon ten days’ prior notice.</w:t>
      </w:r>
    </w:p>
    <w:p>
      <w:pPr>
        <w:spacing w:after="0" w:line="112" w:lineRule="exact"/>
        <w:rPr>
          <w:sz w:val="20"/>
          <w:szCs w:val="20"/>
          <w:color w:val="auto"/>
        </w:rPr>
      </w:pPr>
    </w:p>
    <w:p>
      <w:pPr>
        <w:ind w:left="1160" w:right="879" w:firstLine="335"/>
        <w:spacing w:after="0" w:line="255" w:lineRule="auto"/>
        <w:rPr>
          <w:sz w:val="20"/>
          <w:szCs w:val="20"/>
          <w:color w:val="auto"/>
        </w:rPr>
      </w:pPr>
      <w:r>
        <w:rPr>
          <w:rFonts w:ascii="Times New Roman" w:cs="Times New Roman" w:eastAsia="Times New Roman" w:hAnsi="Times New Roman"/>
          <w:sz w:val="17"/>
          <w:szCs w:val="17"/>
          <w:color w:val="auto"/>
        </w:rPr>
        <w:t>The Sales Agent and its affiliates may in the future provide various investment banking, commercial banking and other financial services for us and our affiliates, for which services they may in the future receive customary fees. To the extent required by Regulation M, the Sales Agent will not engage in any market making activities involving our common stock while the offering is ongoing under this prospectus.</w:t>
      </w:r>
    </w:p>
    <w:p>
      <w:pPr>
        <w:spacing w:after="0" w:line="112" w:lineRule="exact"/>
        <w:rPr>
          <w:sz w:val="20"/>
          <w:szCs w:val="20"/>
          <w:color w:val="auto"/>
        </w:rPr>
      </w:pPr>
    </w:p>
    <w:p>
      <w:pPr>
        <w:ind w:left="1160" w:right="819" w:firstLine="335"/>
        <w:spacing w:after="0" w:line="260" w:lineRule="auto"/>
        <w:rPr>
          <w:sz w:val="20"/>
          <w:szCs w:val="20"/>
          <w:color w:val="auto"/>
        </w:rPr>
      </w:pPr>
      <w:r>
        <w:rPr>
          <w:rFonts w:ascii="Times New Roman" w:cs="Times New Roman" w:eastAsia="Times New Roman" w:hAnsi="Times New Roman"/>
          <w:sz w:val="17"/>
          <w:szCs w:val="17"/>
          <w:color w:val="auto"/>
        </w:rPr>
        <w:t>This prospectus and the accompanying base prospectus in electronic format may be made available on a website maintained by the Sales Agent and the Sales Agent may distribute this prospectus and the accompanying base prospectus electronically.</w:t>
      </w:r>
    </w:p>
    <w:p>
      <w:pPr>
        <w:spacing w:after="0" w:line="94" w:lineRule="exact"/>
        <w:rPr>
          <w:sz w:val="20"/>
          <w:szCs w:val="20"/>
          <w:color w:val="auto"/>
        </w:rPr>
      </w:pPr>
    </w:p>
    <w:p>
      <w:pPr>
        <w:ind w:left="1500" w:right="1099"/>
        <w:spacing w:after="0" w:line="443" w:lineRule="auto"/>
        <w:rPr>
          <w:sz w:val="20"/>
          <w:szCs w:val="20"/>
          <w:color w:val="auto"/>
        </w:rPr>
      </w:pPr>
      <w:r>
        <w:rPr>
          <w:rFonts w:ascii="Times New Roman" w:cs="Times New Roman" w:eastAsia="Times New Roman" w:hAnsi="Times New Roman"/>
          <w:sz w:val="17"/>
          <w:szCs w:val="17"/>
          <w:color w:val="auto"/>
        </w:rPr>
        <w:t>Our common stock is listed on The Nasdaq Capital Market and trades under the symbol “MRKR.” The transfer agent of our common stock is Equiniti Trust Company, LLC.</w:t>
      </w:r>
    </w:p>
    <w:p>
      <w:pPr>
        <w:spacing w:after="0" w:line="2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8" w:lineRule="exact"/>
        <w:rPr>
          <w:sz w:val="20"/>
          <w:szCs w:val="20"/>
          <w:color w:val="auto"/>
        </w:rPr>
      </w:pPr>
    </w:p>
    <w:p>
      <w:pPr>
        <w:ind w:left="1160" w:right="799" w:firstLine="335"/>
        <w:spacing w:after="0" w:line="260" w:lineRule="auto"/>
        <w:rPr>
          <w:sz w:val="20"/>
          <w:szCs w:val="20"/>
          <w:color w:val="auto"/>
        </w:rPr>
      </w:pPr>
      <w:r>
        <w:rPr>
          <w:rFonts w:ascii="Times New Roman" w:cs="Times New Roman" w:eastAsia="Times New Roman" w:hAnsi="Times New Roman"/>
          <w:sz w:val="17"/>
          <w:szCs w:val="17"/>
          <w:color w:val="auto"/>
        </w:rPr>
        <w:t>The validity of the securities offered by this prospectus will be passed upon by Shumaker, Loop &amp; Kendrick, LLP, Tampa, Florida. Ellenoff Grossman &amp; Schole LLP, New York, New York is counsel to H.C. Wainwright &amp; Co., LLC in connection with this offering.</w:t>
      </w:r>
    </w:p>
    <w:p>
      <w:pPr>
        <w:spacing w:after="0" w:line="1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48" w:lineRule="exact"/>
        <w:rPr>
          <w:sz w:val="20"/>
          <w:szCs w:val="20"/>
          <w:color w:val="auto"/>
        </w:rPr>
      </w:pPr>
    </w:p>
    <w:p>
      <w:pPr>
        <w:ind w:left="1160" w:right="859" w:firstLine="335"/>
        <w:spacing w:after="0" w:line="254" w:lineRule="auto"/>
        <w:rPr>
          <w:sz w:val="20"/>
          <w:szCs w:val="20"/>
          <w:color w:val="auto"/>
        </w:rPr>
      </w:pPr>
      <w:r>
        <w:rPr>
          <w:rFonts w:ascii="Times New Roman" w:cs="Times New Roman" w:eastAsia="Times New Roman" w:hAnsi="Times New Roman"/>
          <w:sz w:val="17"/>
          <w:szCs w:val="17"/>
          <w:color w:val="auto"/>
        </w:rPr>
        <w:t>Marcum LLP, independent registered public accounting firm, has audited our consolidated financial statements as of and for the years ended December 31, 2023 and 2022, as set forth in its report included in our 2023 Annual Report on Form 10-K. Our 2023 and 2022 financial statements are incorporated by reference in reliance on Marcum LLP’s report, given on their authority as experts in accounting and auditing.</w:t>
      </w:r>
    </w:p>
    <w:p>
      <w:pPr>
        <w:spacing w:after="0" w:line="3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35"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24" w:lineRule="exact"/>
        <w:rPr>
          <w:sz w:val="20"/>
          <w:szCs w:val="20"/>
          <w:color w:val="auto"/>
        </w:rPr>
      </w:pPr>
    </w:p>
    <w:p>
      <w:pPr>
        <w:ind w:left="1160" w:right="759" w:firstLine="335"/>
        <w:spacing w:after="0" w:line="260"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xml:space="preserve"> that contains reports, proxy and information statements, and other information regarding issuers, such as us, that file electronically with the SEC.</w:t>
      </w:r>
    </w:p>
    <w:p>
      <w:pPr>
        <w:spacing w:after="0" w:line="106" w:lineRule="exact"/>
        <w:rPr>
          <w:sz w:val="20"/>
          <w:szCs w:val="20"/>
          <w:color w:val="auto"/>
        </w:rPr>
      </w:pPr>
    </w:p>
    <w:p>
      <w:pPr>
        <w:ind w:left="1160" w:right="719" w:firstLine="335"/>
        <w:spacing w:after="0" w:line="255" w:lineRule="auto"/>
        <w:rPr>
          <w:sz w:val="20"/>
          <w:szCs w:val="20"/>
          <w:color w:val="auto"/>
        </w:rPr>
      </w:pPr>
      <w:r>
        <w:rPr>
          <w:rFonts w:ascii="Times New Roman" w:cs="Times New Roman" w:eastAsia="Times New Roman" w:hAnsi="Times New Roman"/>
          <w:sz w:val="17"/>
          <w:szCs w:val="17"/>
          <w:color w:val="auto"/>
        </w:rPr>
        <w:t xml:space="preserve">Copies of certain information filed by us with the SEC are also available on our website at </w:t>
      </w:r>
      <w:r>
        <w:rPr>
          <w:rFonts w:ascii="Times New Roman" w:cs="Times New Roman" w:eastAsia="Times New Roman" w:hAnsi="Times New Roman"/>
          <w:sz w:val="17"/>
          <w:szCs w:val="17"/>
          <w:i w:val="1"/>
          <w:iCs w:val="1"/>
          <w:color w:val="auto"/>
        </w:rPr>
        <w:t>http://www.markertherapeutics.com</w:t>
      </w:r>
      <w:r>
        <w:rPr>
          <w:rFonts w:ascii="Times New Roman" w:cs="Times New Roman" w:eastAsia="Times New Roman" w:hAnsi="Times New Roman"/>
          <w:sz w:val="17"/>
          <w:szCs w:val="17"/>
          <w:color w:val="auto"/>
        </w:rPr>
        <w:t>. Information contained in or accessible through our website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48" w:lineRule="exact"/>
        <w:rPr>
          <w:sz w:val="20"/>
          <w:szCs w:val="20"/>
          <w:color w:val="auto"/>
        </w:rPr>
      </w:pPr>
    </w:p>
    <w:p>
      <w:pPr>
        <w:ind w:left="1160" w:right="719" w:firstLine="335"/>
        <w:spacing w:after="0" w:line="253"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following documents are incorporated by reference into this document:</w:t>
      </w:r>
    </w:p>
    <w:p>
      <w:pPr>
        <w:spacing w:after="0" w:line="106" w:lineRule="exact"/>
        <w:rPr>
          <w:sz w:val="20"/>
          <w:szCs w:val="20"/>
          <w:color w:val="auto"/>
        </w:rPr>
      </w:pPr>
    </w:p>
    <w:p>
      <w:pPr>
        <w:ind w:left="1660" w:right="699" w:hanging="161"/>
        <w:spacing w:after="0" w:line="273" w:lineRule="auto"/>
        <w:tabs>
          <w:tab w:leader="none" w:pos="1660" w:val="left"/>
        </w:tabs>
        <w:numPr>
          <w:ilvl w:val="0"/>
          <w:numId w:val="44"/>
        </w:numPr>
        <w:rPr>
          <w:rFonts w:ascii="Times New Roman" w:cs="Times New Roman" w:eastAsia="Times New Roman" w:hAnsi="Times New Roman"/>
          <w:sz w:val="17"/>
          <w:szCs w:val="17"/>
          <w:u w:val="single" w:color="auto"/>
          <w:color w:val="0000EE"/>
        </w:rPr>
      </w:pPr>
      <w:hyperlink r:id="rId123">
        <w:r>
          <w:rPr>
            <w:rFonts w:ascii="Times New Roman" w:cs="Times New Roman" w:eastAsia="Times New Roman" w:hAnsi="Times New Roman"/>
            <w:sz w:val="17"/>
            <w:szCs w:val="17"/>
            <w:u w:val="single" w:color="auto"/>
            <w:color w:val="0000EE"/>
          </w:rPr>
          <w:t>our Annual Report on Form 10-K for the fiscal year ended December 31, 2023, filed with the SEC on</w:t>
        </w:r>
      </w:hyperlink>
      <w:r>
        <w:rPr>
          <w:rFonts w:ascii="Times New Roman" w:cs="Times New Roman" w:eastAsia="Times New Roman" w:hAnsi="Times New Roman"/>
          <w:sz w:val="17"/>
          <w:szCs w:val="17"/>
          <w:u w:val="single" w:color="auto"/>
          <w:color w:val="0000EE"/>
        </w:rPr>
        <w:t xml:space="preserve"> </w:t>
      </w:r>
      <w:hyperlink r:id="rId123">
        <w:r>
          <w:rPr>
            <w:rFonts w:ascii="Times New Roman" w:cs="Times New Roman" w:eastAsia="Times New Roman" w:hAnsi="Times New Roman"/>
            <w:sz w:val="17"/>
            <w:szCs w:val="17"/>
            <w:u w:val="single" w:color="auto"/>
            <w:color w:val="0000EE"/>
          </w:rPr>
          <w:t>March 26, 2024;</w:t>
        </w:r>
      </w:hyperlink>
    </w:p>
    <w:p>
      <w:pPr>
        <w:spacing w:after="0" w:line="57" w:lineRule="exact"/>
        <w:rPr>
          <w:rFonts w:ascii="Times New Roman" w:cs="Times New Roman" w:eastAsia="Times New Roman" w:hAnsi="Times New Roman"/>
          <w:sz w:val="17"/>
          <w:szCs w:val="17"/>
          <w:u w:val="single" w:color="auto"/>
          <w:color w:val="0000EE"/>
        </w:rPr>
      </w:pPr>
    </w:p>
    <w:p>
      <w:pPr>
        <w:ind w:left="1660" w:right="739" w:hanging="161"/>
        <w:spacing w:after="0" w:line="260" w:lineRule="auto"/>
        <w:tabs>
          <w:tab w:leader="none" w:pos="1660" w:val="left"/>
        </w:tabs>
        <w:numPr>
          <w:ilvl w:val="0"/>
          <w:numId w:val="44"/>
        </w:numPr>
        <w:rPr>
          <w:rFonts w:ascii="Times New Roman" w:cs="Times New Roman" w:eastAsia="Times New Roman" w:hAnsi="Times New Roman"/>
          <w:sz w:val="17"/>
          <w:szCs w:val="17"/>
          <w:u w:val="single" w:color="auto"/>
          <w:color w:val="0000EE"/>
        </w:rPr>
      </w:pPr>
      <w:hyperlink r:id="rId123">
        <w:r>
          <w:rPr>
            <w:rFonts w:ascii="Times New Roman" w:cs="Times New Roman" w:eastAsia="Times New Roman" w:hAnsi="Times New Roman"/>
            <w:sz w:val="17"/>
            <w:szCs w:val="17"/>
            <w:color w:val="auto"/>
          </w:rPr>
          <w:t xml:space="preserve">the information specifically incorporated by reference into our Annual Report on </w:t>
        </w:r>
        <w:r>
          <w:rPr>
            <w:rFonts w:ascii="Times New Roman" w:cs="Times New Roman" w:eastAsia="Times New Roman" w:hAnsi="Times New Roman"/>
            <w:sz w:val="17"/>
            <w:szCs w:val="17"/>
            <w:u w:val="single" w:color="auto"/>
            <w:color w:val="0000EE"/>
          </w:rPr>
          <w:t>Form 10-K for the</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u w:val="single" w:color="auto"/>
            <w:color w:val="0000EE"/>
          </w:rPr>
          <w:t>year ended December 31,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from our Definitive Proxy Statement 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Schedule 14A, filed with the</w:t>
        </w:r>
      </w:hyperlink>
      <w:r>
        <w:rPr>
          <w:rFonts w:ascii="Times New Roman" w:cs="Times New Roman" w:eastAsia="Times New Roman" w:hAnsi="Times New Roman"/>
          <w:sz w:val="17"/>
          <w:szCs w:val="17"/>
          <w:color w:val="0000EE"/>
        </w:rPr>
        <w:t xml:space="preserve"> </w:t>
      </w:r>
      <w:hyperlink r:id="rId124">
        <w:r>
          <w:rPr>
            <w:rFonts w:ascii="Times New Roman" w:cs="Times New Roman" w:eastAsia="Times New Roman" w:hAnsi="Times New Roman"/>
            <w:sz w:val="17"/>
            <w:szCs w:val="17"/>
            <w:u w:val="single" w:color="auto"/>
            <w:color w:val="0000EE"/>
          </w:rPr>
          <w:t>SEC on April 26, 2024;</w:t>
        </w:r>
      </w:hyperlink>
    </w:p>
    <w:p>
      <w:pPr>
        <w:spacing w:after="0" w:line="68" w:lineRule="exact"/>
        <w:rPr>
          <w:rFonts w:ascii="Times New Roman" w:cs="Times New Roman" w:eastAsia="Times New Roman" w:hAnsi="Times New Roman"/>
          <w:sz w:val="17"/>
          <w:szCs w:val="17"/>
          <w:u w:val="single" w:color="auto"/>
          <w:color w:val="0000EE"/>
        </w:rPr>
      </w:pPr>
    </w:p>
    <w:p>
      <w:pPr>
        <w:ind w:left="1660" w:right="859" w:hanging="161"/>
        <w:spacing w:after="0" w:line="260" w:lineRule="auto"/>
        <w:tabs>
          <w:tab w:leader="none" w:pos="1660" w:val="left"/>
        </w:tabs>
        <w:numPr>
          <w:ilvl w:val="0"/>
          <w:numId w:val="4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fiscal quarters ended March 31, 2024, June 30, 2024, </w:t>
      </w:r>
      <w:hyperlink r:id="rId125">
        <w:r>
          <w:rPr>
            <w:rFonts w:ascii="Times New Roman" w:cs="Times New Roman" w:eastAsia="Times New Roman" w:hAnsi="Times New Roman"/>
            <w:sz w:val="17"/>
            <w:szCs w:val="17"/>
            <w:color w:val="auto"/>
          </w:rPr>
          <w:t xml:space="preserve">and September 30, 2024, filed with the SEC on </w:t>
        </w:r>
        <w:r>
          <w:rPr>
            <w:rFonts w:ascii="Times New Roman" w:cs="Times New Roman" w:eastAsia="Times New Roman" w:hAnsi="Times New Roman"/>
            <w:sz w:val="17"/>
            <w:szCs w:val="17"/>
            <w:u w:val="single" w:color="auto"/>
            <w:color w:val="0000EE"/>
          </w:rPr>
          <w:t>May 15,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August 14, 2024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November 14,</w:t>
        </w:r>
      </w:hyperlink>
      <w:r>
        <w:rPr>
          <w:rFonts w:ascii="Times New Roman" w:cs="Times New Roman" w:eastAsia="Times New Roman" w:hAnsi="Times New Roman"/>
          <w:sz w:val="17"/>
          <w:szCs w:val="17"/>
          <w:color w:val="auto"/>
        </w:rPr>
        <w:t xml:space="preserve"> </w:t>
      </w:r>
      <w:hyperlink r:id="rId125">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00"/>
          </w:rPr>
          <w:t>, respectively;</w:t>
        </w:r>
      </w:hyperlink>
    </w:p>
    <w:p>
      <w:pPr>
        <w:spacing w:after="0" w:line="68" w:lineRule="exact"/>
        <w:rPr>
          <w:rFonts w:ascii="Times New Roman" w:cs="Times New Roman" w:eastAsia="Times New Roman" w:hAnsi="Times New Roman"/>
          <w:sz w:val="17"/>
          <w:szCs w:val="17"/>
          <w:color w:val="0000EE"/>
        </w:rPr>
      </w:pPr>
    </w:p>
    <w:p>
      <w:pPr>
        <w:ind w:left="1660" w:right="1139" w:hanging="161"/>
        <w:spacing w:after="0" w:line="260" w:lineRule="auto"/>
        <w:tabs>
          <w:tab w:leader="none" w:pos="1660" w:val="left"/>
        </w:tabs>
        <w:numPr>
          <w:ilvl w:val="0"/>
          <w:numId w:val="4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69">
        <w:r>
          <w:rPr>
            <w:rFonts w:ascii="Times New Roman" w:cs="Times New Roman" w:eastAsia="Times New Roman" w:hAnsi="Times New Roman"/>
            <w:sz w:val="17"/>
            <w:szCs w:val="17"/>
            <w:u w:val="single" w:color="auto"/>
            <w:color w:val="0000EE"/>
          </w:rPr>
          <w:t>January 8, 2024</w:t>
        </w:r>
      </w:hyperlink>
      <w:r>
        <w:rPr>
          <w:rFonts w:ascii="Times New Roman" w:cs="Times New Roman" w:eastAsia="Times New Roman" w:hAnsi="Times New Roman"/>
          <w:sz w:val="17"/>
          <w:szCs w:val="17"/>
          <w:color w:val="auto"/>
        </w:rPr>
        <w:t xml:space="preserve">, </w:t>
      </w:r>
      <w:hyperlink r:id="rId70">
        <w:r>
          <w:rPr>
            <w:rFonts w:ascii="Times New Roman" w:cs="Times New Roman" w:eastAsia="Times New Roman" w:hAnsi="Times New Roman"/>
            <w:sz w:val="17"/>
            <w:szCs w:val="17"/>
            <w:u w:val="single" w:color="auto"/>
            <w:color w:val="0000EE"/>
          </w:rPr>
          <w:t>February 26, 2024</w:t>
        </w:r>
      </w:hyperlink>
      <w:r>
        <w:rPr>
          <w:rFonts w:ascii="Times New Roman" w:cs="Times New Roman" w:eastAsia="Times New Roman" w:hAnsi="Times New Roman"/>
          <w:sz w:val="17"/>
          <w:szCs w:val="17"/>
          <w:color w:val="auto"/>
        </w:rPr>
        <w:t xml:space="preserve">, </w:t>
      </w:r>
      <w:hyperlink r:id="rId71">
        <w:r>
          <w:rPr>
            <w:rFonts w:ascii="Times New Roman" w:cs="Times New Roman" w:eastAsia="Times New Roman" w:hAnsi="Times New Roman"/>
            <w:sz w:val="17"/>
            <w:szCs w:val="17"/>
            <w:u w:val="single" w:color="auto"/>
            <w:color w:val="0000EE"/>
          </w:rPr>
          <w:t>March 1,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2">
        <w:r>
          <w:rPr>
            <w:rFonts w:ascii="Times New Roman" w:cs="Times New Roman" w:eastAsia="Times New Roman" w:hAnsi="Times New Roman"/>
            <w:sz w:val="17"/>
            <w:szCs w:val="17"/>
            <w:u w:val="single" w:color="auto"/>
            <w:color w:val="0000EE"/>
          </w:rPr>
          <w:t>March 26,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3">
        <w:r>
          <w:rPr>
            <w:rFonts w:ascii="Times New Roman" w:cs="Times New Roman" w:eastAsia="Times New Roman" w:hAnsi="Times New Roman"/>
            <w:sz w:val="17"/>
            <w:szCs w:val="17"/>
            <w:u w:val="single" w:color="auto"/>
            <w:color w:val="0000EE"/>
          </w:rPr>
          <w:t>April 8,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4">
        <w:r>
          <w:rPr>
            <w:rFonts w:ascii="Times New Roman" w:cs="Times New Roman" w:eastAsia="Times New Roman" w:hAnsi="Times New Roman"/>
            <w:sz w:val="17"/>
            <w:szCs w:val="17"/>
            <w:u w:val="single" w:color="auto"/>
            <w:color w:val="0000EE"/>
          </w:rPr>
          <w:t>May 15,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5">
        <w:r>
          <w:rPr>
            <w:rFonts w:ascii="Times New Roman" w:cs="Times New Roman" w:eastAsia="Times New Roman" w:hAnsi="Times New Roman"/>
            <w:sz w:val="17"/>
            <w:szCs w:val="17"/>
            <w:u w:val="single" w:color="auto"/>
            <w:color w:val="0000EE"/>
          </w:rPr>
          <w:t>June 12,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6">
        <w:r>
          <w:rPr>
            <w:rFonts w:ascii="Times New Roman" w:cs="Times New Roman" w:eastAsia="Times New Roman" w:hAnsi="Times New Roman"/>
            <w:sz w:val="17"/>
            <w:szCs w:val="17"/>
            <w:u w:val="single" w:color="auto"/>
            <w:color w:val="0000EE"/>
          </w:rPr>
          <w:t>August 12,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77">
        <w:r>
          <w:rPr>
            <w:rFonts w:ascii="Times New Roman" w:cs="Times New Roman" w:eastAsia="Times New Roman" w:hAnsi="Times New Roman"/>
            <w:sz w:val="17"/>
            <w:szCs w:val="17"/>
            <w:u w:val="single" w:color="auto"/>
            <w:color w:val="0000EE"/>
          </w:rPr>
          <w:t>August 14, 2024</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78">
        <w:r>
          <w:rPr>
            <w:rFonts w:ascii="Times New Roman" w:cs="Times New Roman" w:eastAsia="Times New Roman" w:hAnsi="Times New Roman"/>
            <w:sz w:val="17"/>
            <w:szCs w:val="17"/>
            <w:u w:val="single" w:color="auto"/>
            <w:color w:val="0000EE"/>
          </w:rPr>
          <w:t>November 14,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68" w:lineRule="exact"/>
        <w:rPr>
          <w:rFonts w:ascii="Times New Roman" w:cs="Times New Roman" w:eastAsia="Times New Roman" w:hAnsi="Times New Roman"/>
          <w:sz w:val="17"/>
          <w:szCs w:val="17"/>
          <w:color w:val="0000EE"/>
        </w:rPr>
      </w:pPr>
    </w:p>
    <w:p>
      <w:pPr>
        <w:ind w:left="1660" w:right="799" w:hanging="161"/>
        <w:spacing w:after="0" w:line="255" w:lineRule="auto"/>
        <w:tabs>
          <w:tab w:leader="none" w:pos="1660" w:val="left"/>
        </w:tabs>
        <w:numPr>
          <w:ilvl w:val="0"/>
          <w:numId w:val="4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description of our common stock set forth in the amendment to the registration statement on </w:t>
      </w:r>
      <w:hyperlink r:id="rId79">
        <w:r>
          <w:rPr>
            <w:rFonts w:ascii="Times New Roman" w:cs="Times New Roman" w:eastAsia="Times New Roman" w:hAnsi="Times New Roman"/>
            <w:sz w:val="17"/>
            <w:szCs w:val="17"/>
            <w:u w:val="single" w:color="auto"/>
            <w:color w:val="0000EE"/>
          </w:rPr>
          <w:t>Form 8-A12B registering our common stock under Section 12 of the Exchange Act, which was filed</w:t>
        </w:r>
      </w:hyperlink>
      <w:r>
        <w:rPr>
          <w:rFonts w:ascii="Times New Roman" w:cs="Times New Roman" w:eastAsia="Times New Roman" w:hAnsi="Times New Roman"/>
          <w:sz w:val="17"/>
          <w:szCs w:val="17"/>
          <w:u w:val="single" w:color="auto"/>
          <w:color w:val="0000EE"/>
        </w:rPr>
        <w:t xml:space="preserve"> </w:t>
      </w:r>
      <w:hyperlink r:id="rId79">
        <w:r>
          <w:rPr>
            <w:rFonts w:ascii="Times New Roman" w:cs="Times New Roman" w:eastAsia="Times New Roman" w:hAnsi="Times New Roman"/>
            <w:sz w:val="17"/>
            <w:szCs w:val="17"/>
            <w:u w:val="single" w:color="auto"/>
            <w:color w:val="0000EE"/>
          </w:rPr>
          <w:t>with the SEC on October 17, 2018</w:t>
        </w:r>
        <w:r>
          <w:rPr>
            <w:rFonts w:ascii="Times New Roman" w:cs="Times New Roman" w:eastAsia="Times New Roman" w:hAnsi="Times New Roman"/>
            <w:sz w:val="17"/>
            <w:szCs w:val="17"/>
            <w:color w:val="000000"/>
          </w:rPr>
          <w:t>, including any amendments or reports filed for purposes of</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updating such description.</w:t>
      </w:r>
    </w:p>
    <w:p>
      <w:pPr>
        <w:spacing w:after="0" w:line="99" w:lineRule="exact"/>
        <w:rPr>
          <w:rFonts w:ascii="Times New Roman" w:cs="Times New Roman" w:eastAsia="Times New Roman" w:hAnsi="Times New Roman"/>
          <w:sz w:val="17"/>
          <w:szCs w:val="17"/>
          <w:color w:val="auto"/>
        </w:rPr>
      </w:pPr>
    </w:p>
    <w:p>
      <w:pPr>
        <w:ind w:left="1160" w:right="799" w:firstLine="335"/>
        <w:spacing w:after="0" w:line="253" w:lineRule="auto"/>
        <w:rPr>
          <w:sz w:val="20"/>
          <w:szCs w:val="20"/>
          <w:color w:val="auto"/>
        </w:rPr>
      </w:pPr>
      <w:r>
        <w:rPr>
          <w:rFonts w:ascii="Times New Roman" w:cs="Times New Roman" w:eastAsia="Times New Roman" w:hAnsi="Times New Roman"/>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7"/>
          <w:szCs w:val="17"/>
          <w:color w:val="auto"/>
        </w:rPr>
      </w:pPr>
    </w:p>
    <w:p>
      <w:pPr>
        <w:ind w:left="1160" w:right="779" w:firstLine="4"/>
        <w:spacing w:after="0" w:line="249" w:lineRule="auto"/>
        <w:tabs>
          <w:tab w:leader="none" w:pos="137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15" w:lineRule="exact"/>
        <w:rPr>
          <w:rFonts w:ascii="Times New Roman" w:cs="Times New Roman" w:eastAsia="Times New Roman" w:hAnsi="Times New Roman"/>
          <w:sz w:val="17"/>
          <w:szCs w:val="17"/>
          <w:color w:val="auto"/>
        </w:rPr>
      </w:pPr>
    </w:p>
    <w:p>
      <w:pPr>
        <w:ind w:left="1160" w:right="719" w:firstLine="335"/>
        <w:spacing w:after="0" w:line="252"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13" w:lineRule="exact"/>
        <w:rPr>
          <w:rFonts w:ascii="Times New Roman" w:cs="Times New Roman" w:eastAsia="Times New Roman" w:hAnsi="Times New Roman"/>
          <w:sz w:val="17"/>
          <w:szCs w:val="17"/>
          <w:color w:val="auto"/>
        </w:rPr>
      </w:pPr>
    </w:p>
    <w:p>
      <w:pPr>
        <w:ind w:left="1160" w:right="919" w:firstLine="335"/>
        <w:spacing w:after="0" w:line="253" w:lineRule="auto"/>
        <w:rPr>
          <w:sz w:val="20"/>
          <w:szCs w:val="20"/>
          <w:color w:val="auto"/>
        </w:rPr>
      </w:pPr>
      <w:r>
        <w:rPr>
          <w:rFonts w:ascii="Times New Roman" w:cs="Times New Roman" w:eastAsia="Times New Roman" w:hAnsi="Times New Roman"/>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8" w:lineRule="exact"/>
        <w:rPr>
          <w:rFonts w:ascii="Times New Roman" w:cs="Times New Roman" w:eastAsia="Times New Roman" w:hAnsi="Times New Roman"/>
          <w:sz w:val="17"/>
          <w:szCs w:val="17"/>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-635</wp:posOffset>
            </wp:positionV>
            <wp:extent cx="485140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4851400" cy="1587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46355</wp:posOffset>
            </wp:positionV>
            <wp:extent cx="4851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4851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3"/>
          <w:szCs w:val="23"/>
          <w:b w:val="1"/>
          <w:bCs w:val="1"/>
          <w:color w:val="auto"/>
        </w:rPr>
        <w:t>$11,431,731</w:t>
      </w:r>
    </w:p>
    <w:p>
      <w:pPr>
        <w:spacing w:after="0" w:line="20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933450</wp:posOffset>
            </wp:positionV>
            <wp:extent cx="2011045" cy="542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01104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27"/>
          <w:szCs w:val="27"/>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1197610</wp:posOffset>
            </wp:positionV>
            <wp:extent cx="4851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4851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6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-635</wp:posOffset>
            </wp:positionV>
            <wp:extent cx="485140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4851400" cy="158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233045</wp:posOffset>
            </wp:positionV>
            <wp:extent cx="635317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INFORMATION NOT REQUIRED IN THE PROSPECTUS</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148" w:lineRule="exact"/>
        <w:rPr>
          <w:sz w:val="20"/>
          <w:szCs w:val="20"/>
          <w:color w:val="auto"/>
        </w:rPr>
      </w:pPr>
    </w:p>
    <w:p>
      <w:pPr>
        <w:ind w:left="1160" w:right="819" w:firstLine="335"/>
        <w:spacing w:after="0" w:line="252" w:lineRule="auto"/>
        <w:rPr>
          <w:sz w:val="20"/>
          <w:szCs w:val="20"/>
          <w:color w:val="auto"/>
        </w:rPr>
      </w:pPr>
      <w:r>
        <w:rPr>
          <w:rFonts w:ascii="Times New Roman" w:cs="Times New Roman" w:eastAsia="Times New Roman" w:hAnsi="Times New Roman"/>
          <w:sz w:val="17"/>
          <w:szCs w:val="17"/>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 and FINRA filing fee.</w:t>
      </w:r>
    </w:p>
    <w:p>
      <w:pPr>
        <w:spacing w:after="0" w:line="123"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320" w:type="dxa"/>
            <w:vAlign w:val="bottom"/>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9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​​$13,333.24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FINRA filing fee</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31"/>
              <w:spacing w:after="0" w:line="189" w:lineRule="exact"/>
              <w:rPr>
                <w:sz w:val="20"/>
                <w:szCs w:val="20"/>
                <w:color w:val="auto"/>
              </w:rPr>
            </w:pPr>
            <w:r>
              <w:rPr>
                <w:rFonts w:ascii="Times New Roman" w:cs="Times New Roman" w:eastAsia="Times New Roman" w:hAnsi="Times New Roman"/>
                <w:sz w:val="17"/>
                <w:szCs w:val="17"/>
                <w:color w:val="auto"/>
              </w:rPr>
              <w:t>45,500</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Accounting fees and expenses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6"/>
                <w:szCs w:val="16"/>
                <w:color w:val="auto"/>
              </w:rPr>
            </w:pP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shd w:val="clear" w:color="auto" w:fill="CCEEFF"/>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tcPr>
          <w:p>
            <w:pPr>
              <w:spacing w:after="0" w:line="51"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Legal fees and expenses</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ind w:left="54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line="51"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Transfer agent fees and expenses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6"/>
                <w:szCs w:val="16"/>
                <w:color w:val="auto"/>
              </w:rPr>
            </w:pP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shd w:val="clear" w:color="auto" w:fill="CCEEFF"/>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gridSpan w:val="2"/>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tcPr>
          <w:p>
            <w:pPr>
              <w:spacing w:after="0" w:line="51"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Trustee fees and expenses</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ind w:left="54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tcPr>
          <w:p>
            <w:pPr>
              <w:spacing w:after="0" w:line="51" w:lineRule="exact"/>
              <w:rPr>
                <w:sz w:val="20"/>
                <w:szCs w:val="20"/>
                <w:color w:val="auto"/>
              </w:rPr>
            </w:pPr>
            <w:r>
              <w:rPr>
                <w:rFonts w:ascii="Times New Roman" w:cs="Times New Roman" w:eastAsia="Times New Roman" w:hAnsi="Times New Roman"/>
                <w:sz w:val="5"/>
                <w:szCs w:val="5"/>
                <w:color w:val="auto"/>
              </w:rPr>
              <w:t>​</w:t>
            </w:r>
          </w:p>
        </w:tc>
        <w:tc>
          <w:tcPr>
            <w:tcW w:w="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line="51"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6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Printing and miscellaneous expenses</w:t>
            </w:r>
          </w:p>
        </w:tc>
        <w:tc>
          <w:tcPr>
            <w:tcW w:w="2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6"/>
                <w:szCs w:val="16"/>
                <w:color w:val="auto"/>
              </w:rPr>
            </w:pPr>
          </w:p>
        </w:tc>
        <w:tc>
          <w:tcPr>
            <w:tcW w:w="8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w w:val="91"/>
                <w:vertAlign w:val="subscript"/>
              </w:rPr>
              <w:t>​</w:t>
            </w: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63"/>
        </w:trPr>
        <w:tc>
          <w:tcPr>
            <w:tcW w:w="320" w:type="dxa"/>
            <w:vAlign w:val="bottom"/>
          </w:tcPr>
          <w:p>
            <w:pPr>
              <w:spacing w:after="0"/>
              <w:rPr>
                <w:sz w:val="5"/>
                <w:szCs w:val="5"/>
                <w:color w:val="auto"/>
              </w:rPr>
            </w:pPr>
          </w:p>
        </w:tc>
        <w:tc>
          <w:tcPr>
            <w:tcW w:w="6000" w:type="dxa"/>
            <w:vAlign w:val="bottom"/>
            <w:gridSpan w:val="2"/>
            <w:shd w:val="clear" w:color="auto" w:fill="CCEEFF"/>
          </w:tcPr>
          <w:p>
            <w:pPr>
              <w:spacing w:after="0" w:line="63" w:lineRule="exact"/>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60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28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0"/>
        </w:trPr>
        <w:tc>
          <w:tcPr>
            <w:tcW w:w="320" w:type="dxa"/>
            <w:vAlign w:val="bottom"/>
          </w:tcPr>
          <w:p>
            <w:pPr>
              <w:spacing w:after="0"/>
              <w:rPr>
                <w:sz w:val="4"/>
                <w:szCs w:val="4"/>
                <w:color w:val="auto"/>
              </w:rPr>
            </w:pPr>
          </w:p>
        </w:tc>
        <w:tc>
          <w:tcPr>
            <w:tcW w:w="6000" w:type="dxa"/>
            <w:vAlign w:val="bottom"/>
            <w:gridSpan w:val="2"/>
          </w:tcPr>
          <w:p>
            <w:pPr>
              <w:spacing w:after="0" w:line="31" w:lineRule="exact"/>
              <w:rPr>
                <w:sz w:val="20"/>
                <w:szCs w:val="20"/>
                <w:color w:val="auto"/>
              </w:rPr>
            </w:pPr>
            <w:r>
              <w:rPr>
                <w:rFonts w:ascii="Times New Roman" w:cs="Times New Roman" w:eastAsia="Times New Roman" w:hAnsi="Times New Roman"/>
                <w:sz w:val="3"/>
                <w:szCs w:val="3"/>
                <w:color w:val="auto"/>
              </w:rPr>
              <w:t>​</w:t>
            </w:r>
          </w:p>
        </w:tc>
        <w:tc>
          <w:tcPr>
            <w:tcW w:w="280" w:type="dxa"/>
            <w:vAlign w:val="bottom"/>
            <w:gridSpan w:val="2"/>
          </w:tcPr>
          <w:p>
            <w:pPr>
              <w:ind w:left="40"/>
              <w:spacing w:after="0" w:line="31" w:lineRule="exact"/>
              <w:rPr>
                <w:sz w:val="20"/>
                <w:szCs w:val="20"/>
                <w:color w:val="auto"/>
              </w:rPr>
            </w:pPr>
            <w:r>
              <w:rPr>
                <w:rFonts w:ascii="Times New Roman" w:cs="Times New Roman" w:eastAsia="Times New Roman" w:hAnsi="Times New Roman"/>
                <w:sz w:val="3"/>
                <w:szCs w:val="3"/>
                <w:color w:val="auto"/>
              </w:rPr>
              <w:t>​ ​​</w:t>
            </w: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3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500" w:right="779" w:hanging="336"/>
        <w:spacing w:after="0" w:line="273" w:lineRule="auto"/>
        <w:tabs>
          <w:tab w:leader="none" w:pos="15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are calculated based on the securities offered and the number of issuances and, accordingly, cannot be estimated at this time.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Item 15.  Indemnification of Officers and Directors</w:t>
      </w:r>
    </w:p>
    <w:p>
      <w:pPr>
        <w:spacing w:after="0" w:line="148" w:lineRule="exact"/>
        <w:rPr>
          <w:sz w:val="20"/>
          <w:szCs w:val="20"/>
          <w:color w:val="auto"/>
        </w:rPr>
      </w:pPr>
    </w:p>
    <w:p>
      <w:pPr>
        <w:ind w:left="1160" w:right="719" w:firstLine="335"/>
        <w:spacing w:after="0"/>
        <w:rPr>
          <w:sz w:val="20"/>
          <w:szCs w:val="20"/>
          <w:color w:val="auto"/>
        </w:rPr>
      </w:pPr>
      <w:r>
        <w:rPr>
          <w:rFonts w:ascii="Times New Roman" w:cs="Times New Roman" w:eastAsia="Times New Roman" w:hAnsi="Times New Roman"/>
          <w:sz w:val="17"/>
          <w:szCs w:val="17"/>
          <w:color w:val="auto"/>
        </w:rPr>
        <w:t>We are incorporated under the laws of the State of Delaware. 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288" w:lineRule="exact"/>
        <w:rPr>
          <w:sz w:val="20"/>
          <w:szCs w:val="20"/>
          <w:color w:val="auto"/>
        </w:rPr>
      </w:pPr>
    </w:p>
    <w:p>
      <w:pPr>
        <w:ind w:left="1160" w:right="739" w:firstLine="335"/>
        <w:spacing w:after="0"/>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00" w:lineRule="exact"/>
        <w:rPr>
          <w:sz w:val="20"/>
          <w:szCs w:val="20"/>
          <w:color w:val="auto"/>
        </w:rPr>
      </w:pPr>
    </w:p>
    <w:p>
      <w:pPr>
        <w:ind w:left="1160" w:right="759" w:firstLine="335"/>
        <w:spacing w:after="0" w:line="249" w:lineRule="auto"/>
        <w:rPr>
          <w:sz w:val="20"/>
          <w:szCs w:val="20"/>
          <w:color w:val="auto"/>
        </w:rPr>
      </w:pPr>
      <w:r>
        <w:rPr>
          <w:rFonts w:ascii="Times New Roman" w:cs="Times New Roman" w:eastAsia="Times New Roman" w:hAnsi="Times New Roman"/>
          <w:sz w:val="17"/>
          <w:szCs w:val="17"/>
          <w:color w:val="auto"/>
        </w:rPr>
        <w:t>Section 145 further provides that to the extent a director or officer of a corporation has been successful on the merits or otherwise in the defense of any action, suit or proceeding referred to in subsections (a) and</w:t>
      </w:r>
    </w:p>
    <w:p>
      <w:pPr>
        <w:ind w:left="1420" w:hanging="256"/>
        <w:spacing w:after="0" w:line="233" w:lineRule="auto"/>
        <w:tabs>
          <w:tab w:leader="none" w:pos="14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Section 145, or in defense of any claim, issue or matter therein, such person shall be indemnified</w:t>
      </w:r>
    </w:p>
    <w:p>
      <w:pPr>
        <w:ind w:left="1160" w:right="7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w:t>
      </w:r>
    </w:p>
    <w:p>
      <w:pPr>
        <w:spacing w:after="0" w:line="200" w:lineRule="exact"/>
        <w:rPr>
          <w:sz w:val="20"/>
          <w:szCs w:val="20"/>
          <w:color w:val="auto"/>
        </w:rPr>
      </w:pPr>
    </w:p>
    <w:p>
      <w:pPr>
        <w:spacing w:after="0" w:line="3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right="699"/>
        <w:spacing w:after="0" w:line="251" w:lineRule="auto"/>
        <w:rPr>
          <w:sz w:val="20"/>
          <w:szCs w:val="20"/>
          <w:color w:val="auto"/>
        </w:rPr>
      </w:pPr>
      <w:r>
        <w:rPr>
          <w:rFonts w:ascii="Times New Roman" w:cs="Times New Roman" w:eastAsia="Times New Roman" w:hAnsi="Times New Roman"/>
          <w:sz w:val="17"/>
          <w:szCs w:val="17"/>
          <w:color w:val="auto"/>
        </w:rPr>
        <w:t>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15" w:lineRule="exact"/>
        <w:rPr>
          <w:sz w:val="20"/>
          <w:szCs w:val="20"/>
          <w:color w:val="auto"/>
        </w:rPr>
      </w:pPr>
    </w:p>
    <w:p>
      <w:pPr>
        <w:ind w:left="1160" w:right="759" w:firstLine="335"/>
        <w:spacing w:after="0" w:line="251"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15" w:lineRule="exact"/>
        <w:rPr>
          <w:sz w:val="20"/>
          <w:szCs w:val="20"/>
          <w:color w:val="auto"/>
        </w:rPr>
      </w:pPr>
    </w:p>
    <w:p>
      <w:pPr>
        <w:ind w:left="1160" w:right="699" w:firstLine="335"/>
        <w:spacing w:after="0" w:line="249" w:lineRule="auto"/>
        <w:rPr>
          <w:sz w:val="20"/>
          <w:szCs w:val="20"/>
          <w:color w:val="auto"/>
        </w:rPr>
      </w:pPr>
      <w:r>
        <w:rPr>
          <w:rFonts w:ascii="Times New Roman" w:cs="Times New Roman" w:eastAsia="Times New Roman" w:hAnsi="Times New Roman"/>
          <w:sz w:val="17"/>
          <w:szCs w:val="17"/>
          <w:color w:val="auto"/>
        </w:rPr>
        <w:t>Our bylaws provide that we will indemnify each person made, or threatened to be made, a party to an action or proceeding by reason of the fact that he or she is or was a director or officer of our company, or a director officer of a predecessor corporation or of another corporation if such person served in such position at our request, against all expenses incurred in defending a criminal or civil action, suit or proceeding. Such expenses will be paid by us in advance of the final disposition of such action, suit or proceeding upon receipt of an undertaking by or on behalf of such director to repay any advanced amounts if it is ultimately determined that he or she is not entitled to indemnification as authorized by relevant section of the DGCL. We are not obligated to advance expenses to an agent who is a party to an action, suit or proceeding brought by us and approved by a majority of our board of directors alleging willful misappropriate of corporate assets by such agent, disclosure of confidential information in violation of such agent’s fiduciary or contractual obligations to us or any other willful and deliberate breach in bad faith of such agent’s duty to us or our stockholders.</w:t>
      </w:r>
    </w:p>
    <w:p>
      <w:pPr>
        <w:spacing w:after="0" w:line="307" w:lineRule="exact"/>
        <w:rPr>
          <w:sz w:val="20"/>
          <w:szCs w:val="20"/>
          <w:color w:val="auto"/>
        </w:rPr>
      </w:pPr>
    </w:p>
    <w:p>
      <w:pPr>
        <w:ind w:left="1160" w:right="739" w:firstLine="335"/>
        <w:spacing w:after="0" w:line="253"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13" w:lineRule="exact"/>
        <w:rPr>
          <w:sz w:val="20"/>
          <w:szCs w:val="20"/>
          <w:color w:val="auto"/>
        </w:rPr>
      </w:pPr>
    </w:p>
    <w:p>
      <w:pPr>
        <w:ind w:left="1160" w:right="859" w:firstLine="335"/>
        <w:spacing w:after="0" w:line="266" w:lineRule="auto"/>
        <w:rPr>
          <w:sz w:val="20"/>
          <w:szCs w:val="20"/>
          <w:color w:val="auto"/>
        </w:rPr>
      </w:pPr>
      <w:r>
        <w:rPr>
          <w:rFonts w:ascii="Times New Roman" w:cs="Times New Roman" w:eastAsia="Times New Roman" w:hAnsi="Times New Roman"/>
          <w:sz w:val="17"/>
          <w:szCs w:val="17"/>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308" w:lineRule="exact"/>
        <w:rPr>
          <w:sz w:val="20"/>
          <w:szCs w:val="20"/>
          <w:color w:val="auto"/>
        </w:rPr>
      </w:pPr>
    </w:p>
    <w:p>
      <w:pPr>
        <w:ind w:left="1160" w:right="759" w:firstLine="335"/>
        <w:spacing w:after="0" w:line="255" w:lineRule="auto"/>
        <w:rPr>
          <w:sz w:val="20"/>
          <w:szCs w:val="20"/>
          <w:color w:val="auto"/>
        </w:rPr>
      </w:pPr>
      <w:r>
        <w:rPr>
          <w:rFonts w:ascii="Times New Roman" w:cs="Times New Roman" w:eastAsia="Times New Roman" w:hAnsi="Times New Roman"/>
          <w:sz w:val="17"/>
          <w:szCs w:val="17"/>
          <w:color w:val="auto"/>
        </w:rPr>
        <w:t>The underwriting or sales agreement, if any, entered into with respect to an offering of securities registered hereunder will provide for indemnification by any underwriters of any offering, our directors and officers who sign the registration statement and our controlling persons for some liabilities, including liabilities arising under the Securities Act.</w:t>
      </w:r>
    </w:p>
    <w:p>
      <w:pPr>
        <w:sectPr>
          <w:pgSz w:w="11900" w:h="16838" w:orient="portrait"/>
          <w:cols w:equalWidth="0" w:num="1">
            <w:col w:w="9499"/>
          </w:cols>
          <w:pgMar w:left="960" w:top="101" w:right="1440" w:bottom="1440" w:gutter="0" w:footer="0" w:header="0"/>
        </w:sectPr>
      </w:pPr>
    </w:p>
    <w:p>
      <w:pPr>
        <w:spacing w:after="0" w:line="1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0"/>
        </w:trPr>
        <w:tc>
          <w:tcPr>
            <w:tcW w:w="580" w:type="dxa"/>
            <w:vAlign w:val="bottom"/>
            <w:tcBorders>
              <w:bottom w:val="single" w:sz="8" w:color="auto"/>
            </w:tcBorders>
            <w:gridSpan w:val="2"/>
          </w:tcPr>
          <w:p>
            <w:pP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Number</w:t>
            </w:r>
          </w:p>
        </w:tc>
        <w:tc>
          <w:tcPr>
            <w:tcW w:w="4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181"/>
        </w:trPr>
        <w:tc>
          <w:tcPr>
            <w:tcW w:w="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3"/>
              </w:rPr>
              <w:t>1.1</w:t>
            </w:r>
          </w:p>
        </w:tc>
        <w:tc>
          <w:tcPr>
            <w:tcW w:w="40" w:type="dxa"/>
            <w:vAlign w:val="bottom"/>
          </w:tcPr>
          <w:p>
            <w:pPr>
              <w:spacing w:after="0"/>
              <w:rPr>
                <w:sz w:val="15"/>
                <w:szCs w:val="15"/>
                <w:color w:val="auto"/>
              </w:rPr>
            </w:pPr>
          </w:p>
        </w:tc>
        <w:tc>
          <w:tcPr>
            <w:tcW w:w="69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color w:val="0000EE"/>
              </w:rPr>
              <w:t>At The Market Offering Agreement, dated as of November 27, 2024, between the Company and</w:t>
            </w: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rPr>
              <w:t>H.C. Wainwright &amp; Co., LLC</w:t>
            </w:r>
          </w:p>
        </w:tc>
        <w:tc>
          <w:tcPr>
            <w:tcW w:w="4660" w:type="dxa"/>
            <w:vAlign w:val="bottom"/>
            <w:tcBorders>
              <w:top w:val="single" w:sz="8" w:color="0000EE"/>
            </w:tcBorders>
            <w:gridSpan w:val="6"/>
          </w:tcPr>
          <w:p>
            <w:pPr>
              <w:spacing w:after="0"/>
              <w:rPr>
                <w:sz w:val="15"/>
                <w:szCs w:val="15"/>
                <w:color w:val="auto"/>
              </w:rPr>
            </w:pPr>
          </w:p>
        </w:tc>
      </w:tr>
      <w:tr>
        <w:trPr>
          <w:trHeight w:val="206"/>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6980" w:type="dxa"/>
            <w:vAlign w:val="bottom"/>
            <w:gridSpan w:val="10"/>
          </w:tcPr>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hyperlink r:id="rId134">
              <w:r>
                <w:rPr>
                  <w:rFonts w:ascii="Times New Roman" w:cs="Times New Roman" w:eastAsia="Times New Roman" w:hAnsi="Times New Roman"/>
                  <w:sz w:val="17"/>
                  <w:szCs w:val="17"/>
                  <w:color w:val="0000EE"/>
                </w:rPr>
                <w:t>Certificate of Incorporation of the Registrant (incorporated by reference to Exhibit 3.4 to the</w:t>
              </w:r>
            </w:hyperlink>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60" w:type="dxa"/>
            <w:vAlign w:val="bottom"/>
            <w:tcBorders>
              <w:top w:val="single" w:sz="8" w:color="0000EE"/>
              <w:bottom w:val="single" w:sz="8" w:color="0000EE"/>
            </w:tcBorders>
            <w:gridSpan w:val="4"/>
          </w:tcPr>
          <w:p>
            <w:pPr>
              <w:spacing w:after="0" w:line="181"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Registrant’s Current Report on Form 8-K (File No. 001-37939), filed with the SEC on</w:t>
              </w:r>
            </w:hyperlink>
          </w:p>
        </w:tc>
        <w:tc>
          <w:tcPr>
            <w:tcW w:w="460" w:type="dxa"/>
            <w:vAlign w:val="bottom"/>
            <w:tcBorders>
              <w:top w:val="single" w:sz="8" w:color="0000EE"/>
            </w:tcBorders>
            <w:gridSpan w:val="2"/>
          </w:tcPr>
          <w:p>
            <w:pPr>
              <w:spacing w:after="0"/>
              <w:rPr>
                <w:sz w:val="15"/>
                <w:szCs w:val="15"/>
                <w:color w:val="auto"/>
              </w:rPr>
            </w:pPr>
          </w:p>
        </w:tc>
        <w:tc>
          <w:tcPr>
            <w:tcW w:w="240" w:type="dxa"/>
            <w:vAlign w:val="bottom"/>
            <w:gridSpan w:val="2"/>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0000EE"/>
            </w:tcBorders>
          </w:tcPr>
          <w:p>
            <w:pPr>
              <w:spacing w:after="0" w:line="181"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October 17, 2018).</w:t>
              </w:r>
            </w:hyperlink>
          </w:p>
        </w:tc>
        <w:tc>
          <w:tcPr>
            <w:tcW w:w="5420" w:type="dxa"/>
            <w:vAlign w:val="bottom"/>
            <w:gridSpan w:val="7"/>
          </w:tcPr>
          <w:p>
            <w:pPr>
              <w:spacing w:after="0"/>
              <w:rPr>
                <w:sz w:val="15"/>
                <w:szCs w:val="15"/>
                <w:color w:val="auto"/>
              </w:rPr>
            </w:pPr>
          </w:p>
        </w:tc>
      </w:tr>
      <w:tr>
        <w:trPr>
          <w:trHeight w:val="219"/>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6980" w:type="dxa"/>
            <w:vAlign w:val="bottom"/>
            <w:gridSpan w:val="10"/>
          </w:tcPr>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hyperlink r:id="rId135">
              <w:r>
                <w:rPr>
                  <w:rFonts w:ascii="Times New Roman" w:cs="Times New Roman" w:eastAsia="Times New Roman" w:hAnsi="Times New Roman"/>
                  <w:sz w:val="17"/>
                  <w:szCs w:val="17"/>
                  <w:color w:val="0000EE"/>
                </w:rPr>
                <w:t>Certificate of Amendment to Certificate of Incorporation of the Registrant (incorporated by</w:t>
              </w:r>
            </w:hyperlink>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40" w:type="dxa"/>
            <w:vAlign w:val="bottom"/>
            <w:tcBorders>
              <w:bottom w:val="single" w:sz="8" w:color="0000EE"/>
            </w:tcBorders>
            <w:gridSpan w:val="7"/>
          </w:tcPr>
          <w:p>
            <w:pPr>
              <w:spacing w:after="0" w:line="181"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reference to Exhibit 3.1 to the Registrant’s Current Report on Form 8-K (File No. 001-37939),</w:t>
              </w:r>
            </w:hyperlink>
          </w:p>
        </w:tc>
        <w:tc>
          <w:tcPr>
            <w:tcW w:w="1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tcBorders>
              <w:bottom w:val="single" w:sz="8" w:color="0000EE"/>
            </w:tcBorders>
            <w:gridSpan w:val="3"/>
          </w:tcPr>
          <w:p>
            <w:pPr>
              <w:spacing w:after="0" w:line="181"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filed with the SEC on May 27, 2022).</w:t>
              </w:r>
            </w:hyperlink>
          </w:p>
        </w:tc>
        <w:tc>
          <w:tcPr>
            <w:tcW w:w="4100" w:type="dxa"/>
            <w:vAlign w:val="bottom"/>
            <w:gridSpan w:val="5"/>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-1068705</wp:posOffset>
            </wp:positionV>
            <wp:extent cx="4340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4340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24" w:lineRule="exact"/>
        <w:rPr>
          <w:sz w:val="20"/>
          <w:szCs w:val="20"/>
          <w:color w:val="auto"/>
        </w:rPr>
      </w:pPr>
    </w:p>
    <w:p>
      <w:pPr>
        <w:sectPr>
          <w:pgSz w:w="11900" w:h="16838" w:orient="portrait"/>
          <w:cols w:equalWidth="0" w:num="2">
            <w:col w:w="8720" w:space="80"/>
            <w:col w:w="699"/>
          </w:cols>
          <w:pgMar w:left="960" w:top="101" w:right="1440" w:bottom="1440" w:gutter="0" w:footer="0" w:header="0"/>
          <w:type w:val="continuous"/>
        </w:sectPr>
      </w:pPr>
    </w:p>
    <w:p>
      <w:pPr>
        <w:spacing w:after="0" w:line="1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3"/>
          <w:szCs w:val="13"/>
          <w:color w:val="003366"/>
        </w:rPr>
        <w:t>TABLE OF CONTENTS</w:t>
      </w:r>
    </w:p>
    <w:p>
      <w:pPr>
        <w:sectPr>
          <w:pgSz w:w="11900" w:h="16838" w:orient="portrait"/>
          <w:cols w:equalWidth="0" w:num="1">
            <w:col w:w="9499"/>
          </w:cols>
          <w:pgMar w:left="960" w:top="1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160" w:type="dxa"/>
        <w:tblCellMar>
          <w:top w:w="0" w:type="dxa"/>
          <w:left w:w="0" w:type="dxa"/>
          <w:bottom w:w="0" w:type="dxa"/>
          <w:right w:w="0" w:type="dxa"/>
        </w:tblCellMar>
      </w:tblPr>
      <w:tr>
        <w:trPr>
          <w:trHeight w:val="151"/>
        </w:trPr>
        <w:tc>
          <w:tcPr>
            <w:tcW w:w="6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80" w:type="dxa"/>
            <w:vAlign w:val="bottom"/>
            <w:tcBorders>
              <w:bottom w:val="single" w:sz="8" w:color="auto"/>
            </w:tcBorders>
            <w:gridSpan w:val="2"/>
          </w:tcPr>
          <w:p>
            <w:pP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Number</w:t>
            </w:r>
          </w:p>
        </w:tc>
        <w:tc>
          <w:tcPr>
            <w:tcW w:w="4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220" w:type="dxa"/>
            <w:vAlign w:val="bottom"/>
          </w:tcPr>
          <w:p>
            <w:pPr>
              <w:spacing w:after="0"/>
              <w:rPr>
                <w:sz w:val="17"/>
                <w:szCs w:val="17"/>
                <w:color w:val="auto"/>
              </w:rPr>
            </w:pPr>
          </w:p>
        </w:tc>
        <w:tc>
          <w:tcPr>
            <w:tcW w:w="4560" w:type="dxa"/>
            <w:vAlign w:val="bottom"/>
            <w:gridSpan w:val="12"/>
          </w:tcPr>
          <w:p>
            <w:pPr>
              <w:ind w:left="52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c>
          <w:tcPr>
            <w:tcW w:w="0" w:type="dxa"/>
            <w:vAlign w:val="bottom"/>
          </w:tcPr>
          <w:p>
            <w:pPr>
              <w:spacing w:after="0"/>
              <w:rPr>
                <w:sz w:val="1"/>
                <w:szCs w:val="1"/>
                <w:color w:val="auto"/>
              </w:rPr>
            </w:pPr>
          </w:p>
        </w:tc>
      </w:tr>
      <w:tr>
        <w:trPr>
          <w:trHeight w:val="181"/>
        </w:trPr>
        <w:tc>
          <w:tcPr>
            <w:tcW w:w="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5"/>
                <w:szCs w:val="15"/>
                <w:color w:val="auto"/>
              </w:rPr>
            </w:pPr>
          </w:p>
        </w:tc>
        <w:tc>
          <w:tcPr>
            <w:tcW w:w="6960" w:type="dxa"/>
            <w:vAlign w:val="bottom"/>
            <w:gridSpan w:val="14"/>
          </w:tcPr>
          <w:p>
            <w:pPr>
              <w:spacing w:after="0" w:line="181"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hyperlink r:id="rId138">
              <w:r>
                <w:rPr>
                  <w:rFonts w:ascii="Times New Roman" w:cs="Times New Roman" w:eastAsia="Times New Roman" w:hAnsi="Times New Roman"/>
                  <w:sz w:val="17"/>
                  <w:szCs w:val="17"/>
                  <w:color w:val="0000EE"/>
                </w:rPr>
                <w:t>Certificate of Amendment to Certificate of Incorporation of the Registrant (incorporated by</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40" w:type="dxa"/>
            <w:vAlign w:val="bottom"/>
            <w:tcBorders>
              <w:bottom w:val="single" w:sz="8" w:color="0000EE"/>
            </w:tcBorders>
            <w:gridSpan w:val="11"/>
          </w:tcPr>
          <w:p>
            <w:pPr>
              <w:spacing w:after="0" w:line="181"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reference to Exhibit 3.1 to the Registrant’s Current Report on Form 8-K (File No. 001-37939),</w:t>
              </w:r>
            </w:hyperlink>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1"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filed with the SEC on January 26, 2023)</w:t>
              </w:r>
            </w:hyperlink>
          </w:p>
        </w:tc>
        <w:tc>
          <w:tcPr>
            <w:tcW w:w="39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3.4</w:t>
            </w:r>
          </w:p>
        </w:tc>
        <w:tc>
          <w:tcPr>
            <w:tcW w:w="7000" w:type="dxa"/>
            <w:vAlign w:val="bottom"/>
            <w:gridSpan w:val="15"/>
          </w:tcPr>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hyperlink r:id="rId139">
              <w:r>
                <w:rPr>
                  <w:rFonts w:ascii="Times New Roman" w:cs="Times New Roman" w:eastAsia="Times New Roman" w:hAnsi="Times New Roman"/>
                  <w:sz w:val="17"/>
                  <w:szCs w:val="17"/>
                  <w:color w:val="0000EE"/>
                </w:rPr>
                <w:t>Bylaws of the Registrant (incorporated by reference to Exhibit 3.6 to the Registrant’s Current</w:t>
              </w:r>
            </w:hyperlink>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tcBorders>
              <w:top w:val="single" w:sz="8" w:color="0000EE"/>
            </w:tcBorders>
            <w:gridSpan w:val="10"/>
          </w:tcPr>
          <w:p>
            <w:pPr>
              <w:spacing w:after="0" w:line="181"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Report on Form 8-K (File No. 001-37939), filed with the SEC on October 17, 2018).</w:t>
              </w:r>
            </w:hyperlink>
          </w:p>
        </w:tc>
        <w:tc>
          <w:tcPr>
            <w:tcW w:w="2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4.1</w:t>
            </w:r>
          </w:p>
        </w:tc>
        <w:tc>
          <w:tcPr>
            <w:tcW w:w="7000" w:type="dxa"/>
            <w:vAlign w:val="bottom"/>
            <w:gridSpan w:val="15"/>
          </w:tcPr>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 </w:t>
            </w:r>
            <w:hyperlink r:id="rId140">
              <w:r>
                <w:rPr>
                  <w:rFonts w:ascii="Times New Roman" w:cs="Times New Roman" w:eastAsia="Times New Roman" w:hAnsi="Times New Roman"/>
                  <w:sz w:val="17"/>
                  <w:szCs w:val="17"/>
                  <w:color w:val="0000EE"/>
                </w:rPr>
                <w:t>Specimen Stock Certificate evidencing shares of Common Stock of the Registrant (incorporated</w:t>
              </w:r>
            </w:hyperlink>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60" w:type="dxa"/>
            <w:vAlign w:val="bottom"/>
            <w:tcBorders>
              <w:top w:val="single" w:sz="8" w:color="0000EE"/>
            </w:tcBorders>
            <w:gridSpan w:val="12"/>
          </w:tcPr>
          <w:p>
            <w:pPr>
              <w:spacing w:after="0" w:line="181"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by reference to Exhibit 4.0 to the Registrant’s Current Report on Form 10-K (File No. 001-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3"/>
          </w:tcPr>
          <w:p>
            <w:pPr>
              <w:spacing w:after="0" w:line="181"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07939) filed with the SEC on March 26, 2024.</w:t>
              </w:r>
            </w:hyperlink>
          </w:p>
        </w:tc>
        <w:tc>
          <w:tcPr>
            <w:tcW w:w="3160" w:type="dxa"/>
            <w:vAlign w:val="bottom"/>
            <w:tcBorders>
              <w:top w:val="single" w:sz="8" w:color="0000EE"/>
            </w:tcBorders>
            <w:gridSpan w:val="6"/>
          </w:tcPr>
          <w:p>
            <w:pPr>
              <w:spacing w:after="0"/>
              <w:rPr>
                <w:sz w:val="15"/>
                <w:szCs w:val="15"/>
                <w:color w:val="auto"/>
              </w:rPr>
            </w:pPr>
          </w:p>
        </w:tc>
        <w:tc>
          <w:tcPr>
            <w:tcW w:w="3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4.2*</w:t>
            </w:r>
          </w:p>
        </w:tc>
        <w:tc>
          <w:tcPr>
            <w:tcW w:w="700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auto"/>
              </w:rPr>
              <w:t>​ ​ Form of Specimen Preferred Stock Certificate and Certificate of Designation of Preferred Stock.</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4.3</w:t>
            </w:r>
          </w:p>
        </w:tc>
        <w:tc>
          <w:tcPr>
            <w:tcW w:w="7000" w:type="dxa"/>
            <w:vAlign w:val="bottom"/>
            <w:gridSpan w:val="15"/>
          </w:tcPr>
          <w:p>
            <w:pPr>
              <w:ind w:left="20"/>
              <w:spacing w:after="0" w:line="239" w:lineRule="exact"/>
              <w:rPr>
                <w:sz w:val="20"/>
                <w:szCs w:val="20"/>
                <w:color w:val="auto"/>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5"/>
                <w:szCs w:val="15"/>
                <w:color w:val="0000EE"/>
              </w:rPr>
              <w:t xml:space="preserve"> Form of Indenture, between the Registrant and one or more trustees to be named.</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4.4*</w:t>
            </w:r>
          </w:p>
        </w:tc>
        <w:tc>
          <w:tcPr>
            <w:tcW w:w="7000" w:type="dxa"/>
            <w:vAlign w:val="bottom"/>
            <w:gridSpan w:val="15"/>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Form of Debt Securities.</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4.5</w:t>
            </w:r>
          </w:p>
        </w:tc>
        <w:tc>
          <w:tcPr>
            <w:tcW w:w="7000" w:type="dxa"/>
            <w:vAlign w:val="bottom"/>
            <w:gridSpan w:val="15"/>
          </w:tcPr>
          <w:p>
            <w:pPr>
              <w:ind w:left="20"/>
              <w:spacing w:after="0" w:line="230" w:lineRule="exact"/>
              <w:rPr>
                <w:sz w:val="20"/>
                <w:szCs w:val="20"/>
                <w:color w:val="auto"/>
              </w:rPr>
            </w:pP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4"/>
                <w:szCs w:val="14"/>
                <w:color w:val="0000EE"/>
              </w:rPr>
              <w:t xml:space="preserve"> Form of Common Stock Warrant Agreement and Warrant Certificate.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4.6</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Form of Preferred Stock Warrant Agreement and Warrant Certificate.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4.7</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Form of Debt Securities Warrant Agreement and Warrant Certificate.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5.1</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Opinion of Shumaker, Loop &amp; Kendrick, LLP.</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23.1</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Marcum LLP, independent registered public accounting firm.</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20" w:type="dxa"/>
            <w:vAlign w:val="bottom"/>
            <w:tcBorders>
              <w:left w:val="single" w:sz="8" w:color="0000EE"/>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23.2</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Consent of Shumaker, Loop &amp; Kendrick, LLP (included in Exhibit 5.1).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24.1</w:t>
            </w:r>
          </w:p>
        </w:tc>
        <w:tc>
          <w:tcPr>
            <w:tcW w:w="7000" w:type="dxa"/>
            <w:vAlign w:val="bottom"/>
            <w:gridSpan w:val="15"/>
          </w:tcPr>
          <w:p>
            <w:pPr>
              <w:ind w:left="20"/>
              <w:spacing w:after="0" w:line="243"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Power of Attorney (included on signature page).</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0" w:type="dxa"/>
            <w:vAlign w:val="bottom"/>
            <w:gridSpan w:val="2"/>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 25.1**</w:t>
            </w:r>
          </w:p>
        </w:tc>
        <w:tc>
          <w:tcPr>
            <w:tcW w:w="7000" w:type="dxa"/>
            <w:vAlign w:val="bottom"/>
            <w:gridSpan w:val="15"/>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Statement of Eligibility of Trustee under the Indenture.</w:t>
            </w:r>
          </w:p>
        </w:tc>
        <w:tc>
          <w:tcPr>
            <w:tcW w:w="0" w:type="dxa"/>
            <w:vAlign w:val="bottom"/>
          </w:tcPr>
          <w:p>
            <w:pPr>
              <w:spacing w:after="0"/>
              <w:rPr>
                <w:sz w:val="1"/>
                <w:szCs w:val="1"/>
                <w:color w:val="auto"/>
              </w:rPr>
            </w:pPr>
          </w:p>
        </w:tc>
      </w:tr>
      <w:tr>
        <w:trPr>
          <w:trHeight w:val="167"/>
        </w:trPr>
        <w:tc>
          <w:tcPr>
            <w:tcW w:w="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4"/>
                <w:szCs w:val="14"/>
                <w:color w:val="auto"/>
              </w:rPr>
            </w:pPr>
          </w:p>
        </w:tc>
        <w:tc>
          <w:tcPr>
            <w:tcW w:w="2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 ​</w:t>
            </w:r>
          </w:p>
        </w:tc>
        <w:tc>
          <w:tcPr>
            <w:tcW w:w="678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0000EE"/>
              </w:rPr>
              <w:t>Filing Fee Table filed herewith.</w:t>
            </w:r>
          </w:p>
        </w:tc>
        <w:tc>
          <w:tcPr>
            <w:tcW w:w="0" w:type="dxa"/>
            <w:vAlign w:val="bottom"/>
          </w:tcPr>
          <w:p>
            <w:pPr>
              <w:spacing w:after="0"/>
              <w:rPr>
                <w:sz w:val="1"/>
                <w:szCs w:val="1"/>
                <w:color w:val="auto"/>
              </w:rPr>
            </w:pPr>
          </w:p>
        </w:tc>
      </w:tr>
      <w:tr>
        <w:trPr>
          <w:trHeight w:val="63"/>
        </w:trPr>
        <w:tc>
          <w:tcPr>
            <w:tcW w:w="58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107</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78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-3119120</wp:posOffset>
            </wp:positionV>
            <wp:extent cx="4340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4340860"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175260</wp:posOffset>
            </wp:positionV>
            <wp:extent cx="11493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500" w:right="60" w:hanging="336"/>
        <w:spacing w:after="0" w:line="273" w:lineRule="auto"/>
        <w:tabs>
          <w:tab w:leader="none" w:pos="1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if applicable, by amendment or by a report filed under the Exchange Act and incorporated herein by reference.</w:t>
      </w:r>
    </w:p>
    <w:p>
      <w:pPr>
        <w:spacing w:after="0" w:line="45" w:lineRule="exact"/>
        <w:rPr>
          <w:sz w:val="20"/>
          <w:szCs w:val="20"/>
          <w:color w:val="auto"/>
        </w:rPr>
      </w:pPr>
    </w:p>
    <w:p>
      <w:pPr>
        <w:ind w:left="1500" w:right="540" w:hanging="336"/>
        <w:spacing w:after="0" w:line="273" w:lineRule="auto"/>
        <w:tabs>
          <w:tab w:leader="none" w:pos="1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if applicable, in accordance with the requirements of Section 305(b)(2) of the Trust Indenture Act of 1939 and Rule 5b-3 thereunder.</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31" w:lineRule="exact"/>
        <w:rPr>
          <w:sz w:val="20"/>
          <w:szCs w:val="20"/>
          <w:color w:val="auto"/>
        </w:rPr>
      </w:pPr>
    </w:p>
    <w:p>
      <w:pPr>
        <w:ind w:left="1160" w:right="80" w:firstLine="339"/>
        <w:spacing w:after="0" w:line="273" w:lineRule="auto"/>
        <w:tabs>
          <w:tab w:leader="none" w:pos="183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08" w:lineRule="exact"/>
        <w:rPr>
          <w:rFonts w:ascii="Times New Roman" w:cs="Times New Roman" w:eastAsia="Times New Roman" w:hAnsi="Times New Roman"/>
          <w:sz w:val="17"/>
          <w:szCs w:val="17"/>
          <w:color w:val="auto"/>
        </w:rPr>
      </w:pPr>
    </w:p>
    <w:p>
      <w:pPr>
        <w:ind w:left="2160" w:hanging="326"/>
        <w:spacing w:after="0"/>
        <w:tabs>
          <w:tab w:leader="none" w:pos="21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3" w:lineRule="exact"/>
        <w:rPr>
          <w:rFonts w:ascii="Times New Roman" w:cs="Times New Roman" w:eastAsia="Times New Roman" w:hAnsi="Times New Roman"/>
          <w:sz w:val="17"/>
          <w:szCs w:val="17"/>
          <w:color w:val="auto"/>
        </w:rPr>
      </w:pPr>
    </w:p>
    <w:p>
      <w:pPr>
        <w:ind w:left="2160" w:right="100" w:hanging="326"/>
        <w:spacing w:after="0" w:line="249" w:lineRule="auto"/>
        <w:tabs>
          <w:tab w:leader="none" w:pos="21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33" w:lineRule="exact"/>
        <w:rPr>
          <w:rFonts w:ascii="Times New Roman" w:cs="Times New Roman" w:eastAsia="Times New Roman" w:hAnsi="Times New Roman"/>
          <w:sz w:val="17"/>
          <w:szCs w:val="17"/>
          <w:color w:val="auto"/>
        </w:rPr>
      </w:pPr>
    </w:p>
    <w:p>
      <w:pPr>
        <w:ind w:left="2160" w:right="240" w:hanging="326"/>
        <w:spacing w:after="0" w:line="260" w:lineRule="auto"/>
        <w:tabs>
          <w:tab w:leader="none" w:pos="21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6118" w:lineRule="exact"/>
        <w:rPr>
          <w:sz w:val="20"/>
          <w:szCs w:val="20"/>
          <w:color w:val="auto"/>
        </w:rPr>
      </w:pPr>
    </w:p>
    <w:p>
      <w:pPr>
        <w:sectPr>
          <w:pgSz w:w="11900" w:h="16838" w:orient="portrait"/>
          <w:cols w:equalWidth="0" w:num="2">
            <w:col w:w="8740" w:space="60"/>
            <w:col w:w="699"/>
          </w:cols>
          <w:pgMar w:left="960" w:top="101" w:right="1440" w:bottom="1440" w:gutter="0" w:footer="0" w:header="0"/>
          <w:type w:val="continuous"/>
        </w:sectPr>
      </w:pPr>
    </w:p>
    <w:p>
      <w:pPr>
        <w:spacing w:after="0" w:line="1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60" w:right="819" w:firstLine="335"/>
        <w:spacing w:after="0" w:line="253"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undertakings set forth in paragraphs (1)(i), (1)(ii) and (1)(iii) above do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are contained in a form of prospectus filed pursuant to Rule 424(b) that is part of this registration statement.</w:t>
      </w:r>
    </w:p>
    <w:p>
      <w:pPr>
        <w:spacing w:after="0" w:line="112" w:lineRule="exact"/>
        <w:rPr>
          <w:sz w:val="20"/>
          <w:szCs w:val="20"/>
          <w:color w:val="auto"/>
        </w:rPr>
      </w:pPr>
    </w:p>
    <w:p>
      <w:pPr>
        <w:ind w:left="1160" w:right="719" w:firstLine="339"/>
        <w:spacing w:after="0" w:line="255" w:lineRule="auto"/>
        <w:tabs>
          <w:tab w:leader="none" w:pos="183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11" w:lineRule="exact"/>
        <w:rPr>
          <w:rFonts w:ascii="Times New Roman" w:cs="Times New Roman" w:eastAsia="Times New Roman" w:hAnsi="Times New Roman"/>
          <w:sz w:val="17"/>
          <w:szCs w:val="17"/>
          <w:color w:val="auto"/>
        </w:rPr>
      </w:pPr>
    </w:p>
    <w:p>
      <w:pPr>
        <w:ind w:left="1160" w:right="899" w:firstLine="339"/>
        <w:spacing w:after="0" w:line="273" w:lineRule="auto"/>
        <w:tabs>
          <w:tab w:leader="none" w:pos="183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3" w:lineRule="exact"/>
        <w:rPr>
          <w:rFonts w:ascii="Times New Roman" w:cs="Times New Roman" w:eastAsia="Times New Roman" w:hAnsi="Times New Roman"/>
          <w:sz w:val="17"/>
          <w:szCs w:val="17"/>
          <w:color w:val="auto"/>
        </w:rPr>
      </w:pPr>
    </w:p>
    <w:p>
      <w:pPr>
        <w:ind w:left="1840" w:hanging="341"/>
        <w:spacing w:after="0"/>
        <w:tabs>
          <w:tab w:leader="none" w:pos="18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143" w:lineRule="exact"/>
        <w:rPr>
          <w:rFonts w:ascii="Times New Roman" w:cs="Times New Roman" w:eastAsia="Times New Roman" w:hAnsi="Times New Roman"/>
          <w:sz w:val="17"/>
          <w:szCs w:val="17"/>
          <w:color w:val="auto"/>
        </w:rPr>
      </w:pPr>
    </w:p>
    <w:p>
      <w:pPr>
        <w:ind w:left="2160" w:right="819" w:hanging="326"/>
        <w:spacing w:after="0" w:line="260"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6" w:lineRule="exact"/>
        <w:rPr>
          <w:rFonts w:ascii="Times New Roman" w:cs="Times New Roman" w:eastAsia="Times New Roman" w:hAnsi="Times New Roman"/>
          <w:sz w:val="17"/>
          <w:szCs w:val="17"/>
          <w:color w:val="auto"/>
        </w:rPr>
      </w:pPr>
    </w:p>
    <w:p>
      <w:pPr>
        <w:ind w:left="2160" w:right="739" w:hanging="326"/>
        <w:spacing w:after="0" w:line="248"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Times New Roman" w:cs="Times New Roman" w:eastAsia="Times New Roman" w:hAnsi="Times New Roman"/>
          <w:sz w:val="17"/>
          <w:szCs w:val="17"/>
          <w:color w:val="auto"/>
        </w:rPr>
      </w:pPr>
    </w:p>
    <w:p>
      <w:pPr>
        <w:ind w:left="1160" w:right="719" w:firstLine="339"/>
        <w:spacing w:after="0" w:line="252" w:lineRule="auto"/>
        <w:tabs>
          <w:tab w:leader="none" w:pos="183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3" w:lineRule="exact"/>
        <w:rPr>
          <w:rFonts w:ascii="Times New Roman" w:cs="Times New Roman" w:eastAsia="Times New Roman" w:hAnsi="Times New Roman"/>
          <w:sz w:val="17"/>
          <w:szCs w:val="17"/>
          <w:color w:val="auto"/>
        </w:rPr>
      </w:pPr>
    </w:p>
    <w:p>
      <w:pPr>
        <w:ind w:left="2160" w:right="739" w:hanging="326"/>
        <w:spacing w:after="0" w:line="273"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95" w:lineRule="exact"/>
        <w:rPr>
          <w:rFonts w:ascii="Times New Roman" w:cs="Times New Roman" w:eastAsia="Times New Roman" w:hAnsi="Times New Roman"/>
          <w:sz w:val="17"/>
          <w:szCs w:val="17"/>
          <w:color w:val="auto"/>
        </w:rPr>
      </w:pPr>
    </w:p>
    <w:p>
      <w:pPr>
        <w:ind w:left="2160" w:right="1559" w:hanging="326"/>
        <w:spacing w:after="0" w:line="273"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95" w:lineRule="exact"/>
        <w:rPr>
          <w:rFonts w:ascii="Times New Roman" w:cs="Times New Roman" w:eastAsia="Times New Roman" w:hAnsi="Times New Roman"/>
          <w:sz w:val="17"/>
          <w:szCs w:val="17"/>
          <w:color w:val="auto"/>
        </w:rPr>
      </w:pPr>
    </w:p>
    <w:p>
      <w:pPr>
        <w:ind w:left="2160" w:right="859" w:hanging="326"/>
        <w:spacing w:after="0" w:line="260"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93" w:lineRule="exact"/>
        <w:rPr>
          <w:rFonts w:ascii="Times New Roman" w:cs="Times New Roman" w:eastAsia="Times New Roman" w:hAnsi="Times New Roman"/>
          <w:sz w:val="17"/>
          <w:szCs w:val="17"/>
          <w:color w:val="auto"/>
        </w:rPr>
      </w:pPr>
    </w:p>
    <w:p>
      <w:pPr>
        <w:ind w:left="2160" w:right="739" w:hanging="326"/>
        <w:spacing w:after="0" w:line="273" w:lineRule="auto"/>
        <w:tabs>
          <w:tab w:leader="none" w:pos="216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3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160" w:right="759" w:firstLine="339"/>
        <w:spacing w:after="0" w:line="252" w:lineRule="auto"/>
        <w:tabs>
          <w:tab w:leader="none" w:pos="18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13" w:lineRule="exact"/>
        <w:rPr>
          <w:rFonts w:ascii="Times New Roman" w:cs="Times New Roman" w:eastAsia="Times New Roman" w:hAnsi="Times New Roman"/>
          <w:sz w:val="17"/>
          <w:szCs w:val="17"/>
          <w:color w:val="auto"/>
        </w:rPr>
      </w:pPr>
    </w:p>
    <w:p>
      <w:pPr>
        <w:ind w:left="1160" w:right="699" w:firstLine="339"/>
        <w:spacing w:after="0" w:line="249" w:lineRule="auto"/>
        <w:tabs>
          <w:tab w:leader="none" w:pos="183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8" w:lineRule="exact"/>
        <w:rPr>
          <w:rFonts w:ascii="Times New Roman" w:cs="Times New Roman" w:eastAsia="Times New Roman" w:hAnsi="Times New Roman"/>
          <w:sz w:val="17"/>
          <w:szCs w:val="17"/>
          <w:color w:val="auto"/>
        </w:rPr>
      </w:pPr>
    </w:p>
    <w:p>
      <w:pPr>
        <w:ind w:left="1160" w:right="1139" w:firstLine="339"/>
        <w:spacing w:after="0" w:line="260" w:lineRule="auto"/>
        <w:tabs>
          <w:tab w:leader="none" w:pos="183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232410</wp:posOffset>
            </wp:positionV>
            <wp:extent cx="635317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6353175" cy="41275"/>
                    </a:xfrm>
                    <a:prstGeom prst="rect">
                      <a:avLst/>
                    </a:prstGeom>
                    <a:noFill/>
                  </pic:spPr>
                </pic:pic>
              </a:graphicData>
            </a:graphic>
          </wp:anchor>
        </w:drawing>
      </w:r>
    </w:p>
    <w:p>
      <w:pPr>
        <w:sectPr>
          <w:pgSz w:w="11900" w:h="16838" w:orient="portrait"/>
          <w:cols w:equalWidth="0" w:num="1">
            <w:col w:w="9499"/>
          </w:cols>
          <w:pgMar w:left="960" w:top="101"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8" w:lineRule="exact"/>
        <w:rPr>
          <w:sz w:val="20"/>
          <w:szCs w:val="20"/>
          <w:color w:val="auto"/>
        </w:rPr>
      </w:pPr>
    </w:p>
    <w:p>
      <w:pPr>
        <w:ind w:left="1160" w:right="1240" w:firstLine="335"/>
        <w:spacing w:after="0" w:line="249"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November, 2024.</w:t>
      </w:r>
    </w:p>
    <w:p>
      <w:pPr>
        <w:spacing w:after="0" w:line="1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14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38100</wp:posOffset>
            </wp:positionV>
            <wp:extent cx="22980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2298065" cy="8255"/>
                    </a:xfrm>
                    <a:prstGeom prst="rect">
                      <a:avLst/>
                    </a:prstGeom>
                    <a:noFill/>
                  </pic:spPr>
                </pic:pic>
              </a:graphicData>
            </a:graphic>
          </wp:anchor>
        </w:drawing>
      </w:r>
    </w:p>
    <w:p>
      <w:pPr>
        <w:spacing w:after="0" w:line="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Juan Vera</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48" w:lineRule="exact"/>
        <w:rPr>
          <w:sz w:val="20"/>
          <w:szCs w:val="20"/>
          <w:color w:val="auto"/>
        </w:rPr>
      </w:pPr>
    </w:p>
    <w:p>
      <w:pPr>
        <w:ind w:left="1160" w:right="1160" w:firstLine="335"/>
        <w:spacing w:after="0" w:line="24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Juan Vera and David Eansor,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w:t>
      </w:r>
    </w:p>
    <w:p>
      <w:pPr>
        <w:spacing w:after="0" w:line="6" w:lineRule="exact"/>
        <w:rPr>
          <w:sz w:val="20"/>
          <w:szCs w:val="20"/>
          <w:color w:val="auto"/>
        </w:rPr>
      </w:pPr>
    </w:p>
    <w:p>
      <w:pPr>
        <w:ind w:left="1160" w:right="1280" w:firstLine="4"/>
        <w:spacing w:after="0" w:line="249" w:lineRule="auto"/>
        <w:tabs>
          <w:tab w:leader="none" w:pos="14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02" w:lineRule="exact"/>
        <w:rPr>
          <w:sz w:val="20"/>
          <w:szCs w:val="20"/>
          <w:color w:val="auto"/>
        </w:rPr>
      </w:pPr>
    </w:p>
    <w:p>
      <w:pPr>
        <w:ind w:left="1160" w:right="1200" w:firstLine="335"/>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3"/>
                <w:szCs w:val="13"/>
                <w:b w:val="1"/>
                <w:bCs w:val="1"/>
                <w:color w:val="auto"/>
              </w:rPr>
              <w:t>​</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7"/>
                <w:szCs w:val="17"/>
                <w:i w:val="1"/>
                <w:iCs w:val="1"/>
                <w:color w:val="auto"/>
                <w:w w:val="99"/>
              </w:rPr>
              <w:t>/s/ Juan Vera</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Chief Executive Officer and</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22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7"/>
                <w:szCs w:val="17"/>
                <w:color w:val="auto"/>
              </w:rPr>
              <w:t xml:space="preserve">Director </w:t>
            </w:r>
            <w:r>
              <w:rPr>
                <w:rFonts w:ascii="Times New Roman" w:cs="Times New Roman" w:eastAsia="Times New Roman" w:hAnsi="Times New Roman"/>
                <w:sz w:val="17"/>
                <w:szCs w:val="17"/>
                <w:i w:val="1"/>
                <w:iCs w:val="1"/>
                <w:color w:val="auto"/>
              </w:rPr>
              <w:t>(Principal Executive Officer,</w:t>
            </w:r>
          </w:p>
        </w:tc>
        <w:tc>
          <w:tcPr>
            <w:tcW w:w="200" w:type="dxa"/>
            <w:vAlign w:val="bottom"/>
          </w:tcPr>
          <w:p>
            <w:pPr>
              <w:spacing w:after="0"/>
              <w:rPr>
                <w:sz w:val="7"/>
                <w:szCs w:val="7"/>
                <w:color w:val="auto"/>
              </w:rPr>
            </w:pPr>
          </w:p>
        </w:tc>
        <w:tc>
          <w:tcPr>
            <w:tcW w:w="1800" w:type="dxa"/>
            <w:vAlign w:val="bottom"/>
            <w:vMerge w:val="restart"/>
          </w:tcPr>
          <w:p>
            <w:pPr>
              <w:jc w:val="center"/>
              <w:spacing w:after="0" w:line="179" w:lineRule="exact"/>
              <w:rPr>
                <w:sz w:val="20"/>
                <w:szCs w:val="20"/>
                <w:color w:val="auto"/>
              </w:rPr>
            </w:pPr>
            <w:r>
              <w:rPr>
                <w:rFonts w:ascii="Times New Roman" w:cs="Times New Roman" w:eastAsia="Times New Roman" w:hAnsi="Times New Roman"/>
                <w:sz w:val="17"/>
                <w:szCs w:val="17"/>
                <w:color w:val="auto"/>
              </w:rPr>
              <w:t>November 27, 2024</w:t>
            </w: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7"/>
                <w:szCs w:val="17"/>
                <w:color w:val="auto"/>
                <w:w w:val="99"/>
              </w:rPr>
              <w:t>Juan Vera</w:t>
            </w:r>
          </w:p>
        </w:tc>
        <w:tc>
          <w:tcPr>
            <w:tcW w:w="20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1"/>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7"/>
                <w:szCs w:val="17"/>
                <w:i w:val="1"/>
                <w:iCs w:val="1"/>
                <w:color w:val="auto"/>
              </w:rPr>
              <w:t>/s/ N. David Eansor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Chairman of the Board</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27, 2024</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7"/>
                <w:szCs w:val="17"/>
                <w:color w:val="auto"/>
              </w:rPr>
              <w:t>N. David Eansor</w:t>
            </w:r>
          </w:p>
        </w:tc>
        <w:tc>
          <w:tcPr>
            <w:tcW w:w="2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7"/>
                <w:szCs w:val="17"/>
                <w:i w:val="1"/>
                <w:iCs w:val="1"/>
                <w:color w:val="auto"/>
              </w:rPr>
              <w:t>/s/ John Wilson</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27, 2024</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7"/>
                <w:szCs w:val="17"/>
                <w:color w:val="auto"/>
              </w:rPr>
              <w:t>John Wilson</w:t>
            </w:r>
          </w:p>
        </w:tc>
        <w:tc>
          <w:tcPr>
            <w:tcW w:w="2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right="158"/>
              <w:spacing w:after="0"/>
              <w:rPr>
                <w:sz w:val="20"/>
                <w:szCs w:val="20"/>
                <w:color w:val="auto"/>
              </w:rPr>
            </w:pPr>
            <w:r>
              <w:rPr>
                <w:rFonts w:ascii="Times New Roman" w:cs="Times New Roman" w:eastAsia="Times New Roman" w:hAnsi="Times New Roman"/>
                <w:sz w:val="17"/>
                <w:szCs w:val="17"/>
                <w:i w:val="1"/>
                <w:iCs w:val="1"/>
                <w:color w:val="auto"/>
              </w:rPr>
              <w:t>/s/ Katharine Knobil</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27, 2024</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7"/>
                <w:szCs w:val="17"/>
                <w:color w:val="auto"/>
              </w:rPr>
              <w:t>Katharine Knobil</w:t>
            </w:r>
          </w:p>
        </w:tc>
        <w:tc>
          <w:tcPr>
            <w:tcW w:w="2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138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center"/>
              <w:ind w:right="138"/>
              <w:spacing w:after="0"/>
              <w:rPr>
                <w:sz w:val="20"/>
                <w:szCs w:val="20"/>
                <w:color w:val="auto"/>
              </w:rPr>
            </w:pPr>
            <w:r>
              <w:rPr>
                <w:rFonts w:ascii="Times New Roman" w:cs="Times New Roman" w:eastAsia="Times New Roman" w:hAnsi="Times New Roman"/>
                <w:sz w:val="17"/>
                <w:szCs w:val="17"/>
                <w:i w:val="1"/>
                <w:iCs w:val="1"/>
                <w:color w:val="auto"/>
              </w:rPr>
              <w:t>/s/ Steve Elms</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 27, 2024</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7"/>
                <w:szCs w:val="17"/>
                <w:color w:val="auto"/>
              </w:rPr>
              <w:t>Steve Elms</w:t>
            </w:r>
          </w:p>
        </w:tc>
        <w:tc>
          <w:tcPr>
            <w:tcW w:w="2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5"/>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II-6</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-27940</wp:posOffset>
            </wp:positionV>
            <wp:extent cx="336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9960"/>
          </w:cols>
          <w:pgMar w:left="960" w:top="101" w:right="979" w:bottom="1440" w:gutter="0" w:footer="0" w:header="0"/>
        </w:sectPr>
      </w:pPr>
    </w:p>
    <w:bookmarkStart w:id="62" w:name="page63"/>
    <w:bookmarkEnd w:id="62"/>
    <w:p>
      <w:pPr>
        <w:ind w:left="10460"/>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Shares of Common Stock</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(par value $0.001 per share)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At The Market Offering Agreement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November 27, 2024</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 Park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right="20" w:firstLine="603"/>
        <w:spacing w:after="0" w:line="246" w:lineRule="auto"/>
        <w:rPr>
          <w:sz w:val="20"/>
          <w:szCs w:val="20"/>
          <w:color w:val="auto"/>
        </w:rPr>
      </w:pPr>
      <w:r>
        <w:rPr>
          <w:rFonts w:ascii="Times New Roman" w:cs="Times New Roman" w:eastAsia="Times New Roman" w:hAnsi="Times New Roman"/>
          <w:sz w:val="17"/>
          <w:szCs w:val="17"/>
          <w:color w:val="auto"/>
        </w:rPr>
        <w:t>Marker Therapeutics,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confirms its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with H.C. Wainwright &amp; Co., LLC (the "</w:t>
      </w:r>
      <w:r>
        <w:rPr>
          <w:rFonts w:ascii="Times New Roman" w:cs="Times New Roman" w:eastAsia="Times New Roman" w:hAnsi="Times New Roman"/>
          <w:sz w:val="17"/>
          <w:szCs w:val="17"/>
          <w:b w:val="1"/>
          <w:bCs w:val="1"/>
          <w:u w:val="single" w:color="auto"/>
          <w:color w:val="auto"/>
        </w:rPr>
        <w:t>Agent</w:t>
      </w:r>
      <w:r>
        <w:rPr>
          <w:rFonts w:ascii="Times New Roman" w:cs="Times New Roman" w:eastAsia="Times New Roman" w:hAnsi="Times New Roman"/>
          <w:sz w:val="17"/>
          <w:szCs w:val="17"/>
          <w:color w:val="auto"/>
        </w:rPr>
        <w:t>"), as follows: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1.           </w:t>
      </w:r>
      <w:r>
        <w:rPr>
          <w:rFonts w:ascii="Times New Roman" w:cs="Times New Roman" w:eastAsia="Times New Roman" w:hAnsi="Times New Roman"/>
          <w:sz w:val="16"/>
          <w:szCs w:val="16"/>
          <w:u w:val="single" w:color="auto"/>
          <w:color w:val="auto"/>
        </w:rPr>
        <w:t>  Issuance and Sale of Shares</w:t>
      </w:r>
      <w:r>
        <w:rPr>
          <w:rFonts w:ascii="Times New Roman" w:cs="Times New Roman" w:eastAsia="Times New Roman" w:hAnsi="Times New Roman"/>
          <w:sz w:val="16"/>
          <w:szCs w:val="16"/>
          <w:color w:val="auto"/>
        </w:rPr>
        <w:t>. The Company agrees that, from time to time during the term of this Agreement, on the terms and subject to the conditions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herein, it may issue and sell through the Agent, as sales agent and/or principal, shares of common stock (the "</w:t>
      </w:r>
      <w:r>
        <w:rPr>
          <w:rFonts w:ascii="Times New Roman" w:cs="Times New Roman" w:eastAsia="Times New Roman" w:hAnsi="Times New Roman"/>
          <w:sz w:val="16"/>
          <w:szCs w:val="16"/>
          <w:b w:val="1"/>
          <w:bCs w:val="1"/>
          <w:u w:val="single" w:color="auto"/>
          <w:color w:val="auto"/>
        </w:rPr>
        <w:t>Placement Shares</w:t>
      </w:r>
      <w:r>
        <w:rPr>
          <w:rFonts w:ascii="Times New Roman" w:cs="Times New Roman" w:eastAsia="Times New Roman" w:hAnsi="Times New Roman"/>
          <w:sz w:val="16"/>
          <w:szCs w:val="16"/>
          <w:color w:val="auto"/>
        </w:rPr>
        <w:t>") of the Company, par value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per share (the "</w:t>
      </w:r>
      <w:r>
        <w:rPr>
          <w:rFonts w:ascii="Times New Roman" w:cs="Times New Roman" w:eastAsia="Times New Roman" w:hAnsi="Times New Roman"/>
          <w:sz w:val="17"/>
          <w:szCs w:val="17"/>
          <w:b w:val="1"/>
          <w:bCs w:val="1"/>
          <w:u w:val="single" w:color="auto"/>
          <w:color w:val="auto"/>
        </w:rPr>
        <w:t>Common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no event shall the Company issue or sell through the Agent such number or dollar amount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Placement Shares that would (a) exceed the number or dollar amount of shares of Common Stock registered on the effective Registration Statement (defined below)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which the offering is being made, (b) exceed the number of authorized but unissued shares of Common Stock (less shares of Common Stock issuable upon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conversion or exchange of any outstanding securities of the Company or otherwise reserved from the Company's authorized capital stock), (c) exceed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or dollar amount of shares of Common Stock permitted to be sold under Form S-3 (including General Instruction I.B.6 thereof, if applicable) or (d) exceed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or dollar amount of shares of Common Stock for which the Company has filed a Prospectus Supplement (defined below) (the lesser of (a), (b), (c) and (d),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Maximum Amount</w:t>
      </w:r>
      <w:r>
        <w:rPr>
          <w:rFonts w:ascii="Times New Roman" w:cs="Times New Roman" w:eastAsia="Times New Roman" w:hAnsi="Times New Roman"/>
          <w:sz w:val="17"/>
          <w:szCs w:val="17"/>
          <w:color w:val="auto"/>
        </w:rPr>
        <w:t>"). Notwithstanding anything to the contrary contained herein, the parties hereto agree that compliance with the limitations set forth in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on the number or dollar amount of Placement Shares issued and sold under this Agreement shall be the sole responsibility of the Company and that the Agent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have no obligation in connection with such compliance. The offer and sale of Placement Shares will be effected pursuant to such Registration Statement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below) that was filed by the Company with the Securities and Exchange Commission (the “</w:t>
      </w:r>
      <w:r>
        <w:rPr>
          <w:rFonts w:ascii="Times New Roman" w:cs="Times New Roman" w:eastAsia="Times New Roman" w:hAnsi="Times New Roman"/>
          <w:sz w:val="16"/>
          <w:szCs w:val="16"/>
          <w:b w:val="1"/>
          <w:bCs w:val="1"/>
          <w:u w:val="single" w:color="auto"/>
          <w:color w:val="auto"/>
        </w:rPr>
        <w:t>Commission</w:t>
      </w:r>
      <w:r>
        <w:rPr>
          <w:rFonts w:ascii="Times New Roman" w:cs="Times New Roman" w:eastAsia="Times New Roman" w:hAnsi="Times New Roman"/>
          <w:sz w:val="16"/>
          <w:szCs w:val="16"/>
          <w:color w:val="auto"/>
        </w:rPr>
        <w:t>”) on or about the date hereof after such Registration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has been declared effective by the Commission.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63" w:name="page64"/>
    <w:bookmarkEnd w:id="63"/>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The Company has filed, in accordance with the provisions of the Securities Act of 1933, as amended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and the rules and regulations thereunder (the "</w:t>
      </w:r>
      <w:r>
        <w:rPr>
          <w:rFonts w:ascii="Times New Roman" w:cs="Times New Roman" w:eastAsia="Times New Roman" w:hAnsi="Times New Roman"/>
          <w:sz w:val="17"/>
          <w:szCs w:val="17"/>
          <w:b w:val="1"/>
          <w:bCs w:val="1"/>
          <w:u w:val="single" w:color="auto"/>
          <w:color w:val="auto"/>
        </w:rPr>
        <w:t>Securities Act Regulations</w:t>
      </w:r>
      <w:r>
        <w:rPr>
          <w:rFonts w:ascii="Times New Roman" w:cs="Times New Roman" w:eastAsia="Times New Roman" w:hAnsi="Times New Roman"/>
          <w:sz w:val="17"/>
          <w:szCs w:val="17"/>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17"/>
          <w:szCs w:val="17"/>
          <w:b w:val="1"/>
          <w:bCs w:val="1"/>
          <w:u w:val="single" w:color="auto"/>
          <w:color w:val="auto"/>
        </w:rPr>
        <w:t>Prospectus Supplement</w:t>
      </w:r>
      <w:r>
        <w:rPr>
          <w:rFonts w:ascii="Times New Roman" w:cs="Times New Roman" w:eastAsia="Times New Roman" w:hAnsi="Times New Roman"/>
          <w:sz w:val="17"/>
          <w:szCs w:val="17"/>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or deemed to be a part of such registration statement pursuant to Rule 430B, is herein called the "</w:t>
      </w:r>
      <w:r>
        <w:rPr>
          <w:rFonts w:ascii="Times New Roman" w:cs="Times New Roman" w:eastAsia="Times New Roman" w:hAnsi="Times New Roman"/>
          <w:sz w:val="17"/>
          <w:szCs w:val="17"/>
          <w:b w:val="1"/>
          <w:bCs w:val="1"/>
          <w:u w:val="single" w:color="auto"/>
          <w:color w:val="auto"/>
        </w:rPr>
        <w:t>Registration Statement</w:t>
      </w:r>
      <w:r>
        <w:rPr>
          <w:rFonts w:ascii="Times New Roman" w:cs="Times New Roman" w:eastAsia="Times New Roman" w:hAnsi="Times New Roman"/>
          <w:sz w:val="17"/>
          <w:szCs w:val="17"/>
          <w:color w:val="auto"/>
        </w:rPr>
        <w:t>." The base prospectus or base prospectuses, including all documents incorporated or deemed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together with the then issued Issuer Free Writing Prospectus(es), is herein called the "</w:t>
      </w:r>
      <w:r>
        <w:rPr>
          <w:rFonts w:ascii="Times New Roman" w:cs="Times New Roman" w:eastAsia="Times New Roman" w:hAnsi="Times New Roman"/>
          <w:sz w:val="17"/>
          <w:szCs w:val="17"/>
          <w:b w:val="1"/>
          <w:bCs w:val="1"/>
          <w:u w:val="single" w:color="auto"/>
          <w:color w:val="auto"/>
        </w:rPr>
        <w:t>Prospectus</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Any reference herein to the Registration Statement, any Prospectus Supplement, Prospectus or any Issuer Free Writing Prospectus (defined below) shall be deemed to refer to and include the documents, if any, incorporated or deemed incorporated by reference therein (the "</w:t>
      </w:r>
      <w:r>
        <w:rPr>
          <w:rFonts w:ascii="Times New Roman" w:cs="Times New Roman" w:eastAsia="Times New Roman" w:hAnsi="Times New Roman"/>
          <w:sz w:val="17"/>
          <w:szCs w:val="17"/>
          <w:b w:val="1"/>
          <w:bCs w:val="1"/>
          <w:u w:val="single" w:color="auto"/>
          <w:color w:val="auto"/>
        </w:rPr>
        <w:t>Incorporated Documents</w:t>
      </w:r>
      <w:r>
        <w:rPr>
          <w:rFonts w:ascii="Times New Roman" w:cs="Times New Roman" w:eastAsia="Times New Roman" w:hAnsi="Times New Roman"/>
          <w:sz w:val="17"/>
          <w:szCs w:val="17"/>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7"/>
          <w:szCs w:val="17"/>
          <w:b w:val="1"/>
          <w:bCs w:val="1"/>
          <w:u w:val="single" w:color="auto"/>
          <w:color w:val="auto"/>
        </w:rPr>
        <w:t>EDGAR</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firstLine="603"/>
        <w:spacing w:after="0" w:line="24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Placements</w:t>
      </w:r>
      <w:r>
        <w:rPr>
          <w:rFonts w:ascii="Times New Roman" w:cs="Times New Roman" w:eastAsia="Times New Roman" w:hAnsi="Times New Roman"/>
          <w:sz w:val="17"/>
          <w:szCs w:val="17"/>
          <w:color w:val="auto"/>
        </w:rPr>
        <w:t>. Each time that the Company wishes to issue and sell Placement Shares hereunder (each,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the form of which is attached hereto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The Placement Notice shall originate from any of the individuals from the Company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may be amended from time to time. The Placement Notice shall be effective unless and until (i) the Agent declines in writing to accept the terms contained therein for any reason, in its sole discretion, which declination must occur within two (2) Business Days of the receipt of the Placement Notice, (ii) the entire amount of the Placement Shares thereunder have been sold, (iii) the Company amends, supersedes, suspends or terminates the Placement Notice or (iv) this Agreement has been terminated under the provisions of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(and the Company does not suspend or terminate) such Placement Notice pursuant to the terms set forth above, and then only upon the terms specified therein and herein. In the event of a conflict between the terms of Sections 2 and 3 of this Agreement and the terms of a Placement Notice, the terms of the Placement Notice will 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398145</wp:posOffset>
            </wp:positionV>
            <wp:extent cx="7141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4" w:name="page65"/>
    <w:bookmarkEnd w:id="64"/>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Sale of Placement Shares by the Agent</w:t>
      </w:r>
      <w:r>
        <w:rPr>
          <w:rFonts w:ascii="Times New Roman" w:cs="Times New Roman" w:eastAsia="Times New Roman" w:hAnsi="Times New Roman"/>
          <w:sz w:val="17"/>
          <w:szCs w:val="17"/>
          <w:color w:val="auto"/>
        </w:rPr>
        <w:t>. Subject to the terms and conditions of this Agreement, the Agent, for the period specified in the applicable Placement Notice, will use its commercially reasonable efforts consistent with its normal trading and sales practices and applicable state and federal laws, rules and regulations and the rules of the Nasdaq Stock Market LLC (the "</w:t>
      </w:r>
      <w:r>
        <w:rPr>
          <w:rFonts w:ascii="Times New Roman" w:cs="Times New Roman" w:eastAsia="Times New Roman" w:hAnsi="Times New Roman"/>
          <w:sz w:val="17"/>
          <w:szCs w:val="17"/>
          <w:b w:val="1"/>
          <w:bCs w:val="1"/>
          <w:u w:val="single" w:color="auto"/>
          <w:color w:val="auto"/>
        </w:rPr>
        <w:t>Exchange</w:t>
      </w:r>
      <w:r>
        <w:rPr>
          <w:rFonts w:ascii="Times New Roman" w:cs="Times New Roman" w:eastAsia="Times New Roman" w:hAnsi="Times New Roman"/>
          <w:sz w:val="17"/>
          <w:szCs w:val="17"/>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Times New Roman" w:cs="Times New Roman" w:eastAsia="Times New Roman" w:hAnsi="Times New Roman"/>
          <w:sz w:val="17"/>
          <w:szCs w:val="17"/>
          <w:b w:val="1"/>
          <w:bCs w:val="1"/>
          <w:u w:val="single" w:color="auto"/>
          <w:color w:val="auto"/>
        </w:rPr>
        <w:t>Trading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Day</w:t>
      </w:r>
      <w:r>
        <w:rPr>
          <w:rFonts w:ascii="Times New Roman" w:cs="Times New Roman" w:eastAsia="Times New Roman" w:hAnsi="Times New Roman"/>
          <w:sz w:val="17"/>
          <w:szCs w:val="17"/>
          <w:color w:val="auto"/>
        </w:rPr>
        <w:t>" means any day on which Common Stock is traded on the Exchange.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Suspension of Sales</w:t>
      </w:r>
      <w:r>
        <w:rPr>
          <w:rFonts w:ascii="Times New Roman" w:cs="Times New Roman" w:eastAsia="Times New Roman" w:hAnsi="Times New Roman"/>
          <w:sz w:val="17"/>
          <w:szCs w:val="17"/>
          <w:color w:val="auto"/>
        </w:rPr>
        <w:t>. The Company or the Agent may, upon notice to the other party in writing (including by email correspondence to each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individuals of the other party set forth on </w:t>
      </w:r>
      <w:r>
        <w:rPr>
          <w:rFonts w:ascii="Times New Roman" w:cs="Times New Roman" w:eastAsia="Times New Roman" w:hAnsi="Times New Roman"/>
          <w:sz w:val="16"/>
          <w:szCs w:val="16"/>
          <w:u w:val="single" w:color="auto"/>
          <w:color w:val="auto"/>
        </w:rPr>
        <w:t>Schedule 3</w:t>
      </w:r>
      <w:r>
        <w:rPr>
          <w:rFonts w:ascii="Times New Roman" w:cs="Times New Roman" w:eastAsia="Times New Roman" w:hAnsi="Times New Roman"/>
          <w:sz w:val="16"/>
          <w:szCs w:val="16"/>
          <w:color w:val="auto"/>
        </w:rPr>
        <w:t>, if receipt of such correspondence is actually acknowledged by any of the individuals to whom the notice is sent,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than via auto-reply) or by telephone (confirmed immediately by verifiable facsimile transmission or email correspondence to each of the individuals of the 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party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suspend the offering or sale of Placement Shares for any reason and at any time (a "</w:t>
      </w:r>
      <w:r>
        <w:rPr>
          <w:rFonts w:ascii="Times New Roman" w:cs="Times New Roman" w:eastAsia="Times New Roman" w:hAnsi="Times New Roman"/>
          <w:sz w:val="17"/>
          <w:szCs w:val="17"/>
          <w:b w:val="1"/>
          <w:bCs w:val="1"/>
          <w:u w:val="single" w:color="auto"/>
          <w:color w:val="auto"/>
        </w:rPr>
        <w:t>Suspension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Suspension shall not affect or impair any party's obligations with respect to any Placement Shares sold hereunder prior to the receipt of such notice. While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Suspension is in effect any obligation under </w:t>
      </w:r>
      <w:r>
        <w:rPr>
          <w:rFonts w:ascii="Times New Roman" w:cs="Times New Roman" w:eastAsia="Times New Roman" w:hAnsi="Times New Roman"/>
          <w:sz w:val="16"/>
          <w:szCs w:val="16"/>
          <w:u w:val="single" w:color="auto"/>
          <w:color w:val="auto"/>
        </w:rPr>
        <w:t>Sections 7(l)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7(n)</w:t>
      </w:r>
      <w:r>
        <w:rPr>
          <w:rFonts w:ascii="Times New Roman" w:cs="Times New Roman" w:eastAsia="Times New Roman" w:hAnsi="Times New Roman"/>
          <w:sz w:val="16"/>
          <w:szCs w:val="16"/>
          <w:color w:val="auto"/>
        </w:rPr>
        <w:t xml:space="preserve"> with respect to the delivery of certificates, opinions, or comfort letters to the Agent, shall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waived. Each of the parties agrees that no such notice under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be effective against any other party unless it is made to one of the individuals named 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hereto, as such Schedule may be amended from time to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Sale and Delivery to the Agent; Settlement</w:t>
      </w:r>
      <w:r>
        <w:rPr>
          <w:rFonts w:ascii="Times New Roman" w:cs="Times New Roman" w:eastAsia="Times New Roman" w:hAnsi="Times New Roman"/>
          <w:sz w:val="17"/>
          <w:szCs w:val="17"/>
          <w:color w:val="auto"/>
        </w:rPr>
        <w: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Sale of Placement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Settlement of Placement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Unless otherwise specified in the applicable Placement Notice, settlement for sales of Placement Shares will occur on the first (1st) Trading Day (or any other settlement cycle as may be in effect pursuant to Rule 15c6-1 under the Exchange Act) following the date on which such sales are made (each, a "</w:t>
      </w:r>
      <w:r>
        <w:rPr>
          <w:rFonts w:ascii="Times New Roman" w:cs="Times New Roman" w:eastAsia="Times New Roman" w:hAnsi="Times New Roman"/>
          <w:sz w:val="17"/>
          <w:szCs w:val="17"/>
          <w:b w:val="1"/>
          <w:bCs w:val="1"/>
          <w:u w:val="single" w:color="auto"/>
          <w:color w:val="auto"/>
        </w:rPr>
        <w:t>Settlement Date</w:t>
      </w:r>
      <w:r>
        <w:rPr>
          <w:rFonts w:ascii="Times New Roman" w:cs="Times New Roman" w:eastAsia="Times New Roman" w:hAnsi="Times New Roman"/>
          <w:sz w:val="17"/>
          <w:szCs w:val="17"/>
          <w:color w:val="auto"/>
        </w:rPr>
        <w:t>"). The Agent shall notify the Company of each sale of Placement Shares no later than the opening of the Trading Day immediately following the Trading Day on which the Agent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7"/>
          <w:szCs w:val="17"/>
          <w:b w:val="1"/>
          <w:bCs w:val="1"/>
          <w:u w:val="single" w:color="auto"/>
          <w:color w:val="auto"/>
        </w:rPr>
        <w:t>Net Proceeds</w:t>
      </w:r>
      <w:r>
        <w:rPr>
          <w:rFonts w:ascii="Times New Roman" w:cs="Times New Roman" w:eastAsia="Times New Roman" w:hAnsi="Times New Roman"/>
          <w:sz w:val="17"/>
          <w:szCs w:val="17"/>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 and (ii) any transaction fees imposed by any Governmental Authority (as defined below) in respect of such sales.</w:t>
      </w:r>
    </w:p>
    <w:p>
      <w:pPr>
        <w:spacing w:after="0" w:line="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u w:val="single" w:color="auto"/>
          <w:color w:val="auto"/>
        </w:rPr>
        <w:t>  Delivery of Placement Shares</w:t>
      </w:r>
      <w:r>
        <w:rPr>
          <w:rFonts w:ascii="Times New Roman" w:cs="Times New Roman" w:eastAsia="Times New Roman" w:hAnsi="Times New Roman"/>
          <w:sz w:val="16"/>
          <w:szCs w:val="16"/>
          <w:color w:val="auto"/>
        </w:rPr>
        <w:t>. On or before each Settlement Date, the Company will, or will cause its transfer agent to, electronically transfer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Placement Shares being sold by crediting the Agent's or its designee's account (provided the Agent shall have given the Company written notice of such designee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the Trading Day prior to the Settlement Date) at The Depository Trust Company through its Deposit and Withdrawal at Custodian System or by such other means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delivery as may be mutually agreed upon by the parties hereto which in all cases shall be freely tradable, transferable, registered shares in good deliverable form.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Settlement Date, the Agent will deliver the related Net Proceeds in same day funds to an account designated by the Company on, or prior to, the Settlement Date.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the Company, or its transfer agent (if applicable), defaults in its obligation to deliver Placement Shares on a Settlement Date, the Company agrees that in addition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and in no way limiting the rights and obligations set forth in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hereto, it will (i) hold the Agent harmless against any loss, claim, damage, or expense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reasonable and documented legal fees and expenses), as incurred, arising out of or in connection with such default by the Company or its transfer agent (if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through no fault of the Agent and (ii) pay to the Agent (without duplication) any commission, discount, or other compensation to which it would otherwise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entitled absent such default.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6" w:name="page67"/>
    <w:bookmarkEnd w:id="66"/>
    <w:p>
      <w:pPr>
        <w:jc w:val="both"/>
        <w:ind w:firstLine="1206"/>
        <w:spacing w:after="0" w:line="251"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Denominations; Registration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Certificates for the Placement Shares, if any, upon request of the Agent, shall be in such denominations and registered in such names as the Agents may request in writing at least one full Business Day (as defined below) before the Settlement Date. The certificates for the Placement Shares, if any, will be made available by the Company for examination and packaging by the Agent in The City of New York not later than noon (New York time) on the Business Day prior to the Settlement Date. For purposes of clarity, unless directed by the Agent, the Placement Shares shall be delivered by the Company by crediting the Agent's or its designee's account at The Depository Trust Company through its Deposit and Withdrawal at Custodian System.</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Limitations on Offering Size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Representations and Warranties of the Company</w:t>
      </w:r>
      <w:r>
        <w:rPr>
          <w:rFonts w:ascii="Times New Roman" w:cs="Times New Roman" w:eastAsia="Times New Roman" w:hAnsi="Times New Roman"/>
          <w:sz w:val="17"/>
          <w:szCs w:val="17"/>
          <w:color w:val="auto"/>
        </w:rPr>
        <w:t>. The Company represents and warrants to, and agrees with Agent that as of the date of this Agreement and as of each Applicable Time (as defined below), unless such representation, warranty or agreement specifies a different time:</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Registration Statement and Prospectus</w:t>
      </w:r>
      <w:r>
        <w:rPr>
          <w:rFonts w:ascii="Times New Roman" w:cs="Times New Roman" w:eastAsia="Times New Roman" w:hAnsi="Times New Roman"/>
          <w:sz w:val="17"/>
          <w:szCs w:val="17"/>
          <w:color w:val="auto"/>
        </w:rPr>
        <w:t>. The Company and the transactions contemplated by this Agreement meet the requirements for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comply with the conditions for the use of Form S-3 under the Securities Act. Prior to the issuance of the first Placement Notice, the Registration Statement will be filed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Commission and declared effective under the Securities Act. The Prospectus will name the Agent as the agent in the section entitled “Plan of Distribution.”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Registration Statement and the offer and sale of Placement Shares as contemplated hereby meet the requirements of Rule 415 under the Securities Act and comply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all material respects with Rule 415. Any statutes, regulations, contracts or other documents that are required to be described in the Registration Statement 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Prospectus or to be filed as exhibits to the Registration Statement have been so described or filed, as applicable. No order preventing or suspending the use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 (or any supplement thereto) has been issued by the Commission and no proceeding for that purpose has been initiated or is pending or, to the knowledge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threatened by the Commission. As of the time each part of the Registration Statement (or any post-effective amendment thereto) became or becomes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(including each deemed effective date with respect to the Agent pursuant to Rule 430B or otherwise under the Securities Act), such part conformed or 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conform in all material respects to the requirements of the Securities Act and the Securities Act Regulations. Upon the filing or first use within the meaning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Act Regulations, the Prospectus (or any supplement thereto) conformed or will conform in all material respects to the requirements of the Securities Act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Securities Act Regulations. The Registration Statement and any post-effective amendment thereto has become effective under the Securities Act. The Company has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complied to the Commission's satisfaction with all requests of the Commission for additional or supplemental information. No stop order suspending the effectiveness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Registration Statement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any post-effective amendment or any part thereof is in effect and no proceedings for such purpose have been instituted or are pending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knowledge of the Company, are threatened by the Commission.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7" w:name="page68"/>
    <w:bookmarkEnd w:id="67"/>
    <w:p>
      <w:pPr>
        <w:jc w:val="both"/>
        <w:ind w:firstLine="1206"/>
        <w:spacing w:after="0" w:line="248"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Accurate Disclosure</w:t>
      </w:r>
      <w:r>
        <w:rPr>
          <w:rFonts w:ascii="Times New Roman" w:cs="Times New Roman" w:eastAsia="Times New Roman" w:hAnsi="Times New Roman"/>
          <w:sz w:val="17"/>
          <w:szCs w:val="17"/>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becomes and became effective, will and did not contain an untrue statement of a material fact or omit to state a material fact required to be stated therein or necessary to make the statements therein not misleading. The Prospectus and any amendment and supplement thereto, on the date thereof and at each Applicable Time (as defined below),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Issuer Free Writing Prospectuses</w:t>
      </w:r>
      <w:r>
        <w:rPr>
          <w:rFonts w:ascii="Times New Roman" w:cs="Times New Roman" w:eastAsia="Times New Roman" w:hAnsi="Times New Roman"/>
          <w:sz w:val="17"/>
          <w:szCs w:val="17"/>
          <w:color w:val="auto"/>
        </w:rPr>
        <w:t>. (i) Each Issuer Free Writing Prospectus does not include any information that conflicts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the Agent through you specifically for use therein; it being understood and agreed that the only such information furnished by the Agent consists of the Agent Information (as defined below).</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8" w:name="page69"/>
    <w:bookmarkEnd w:id="68"/>
    <w:p>
      <w:pPr>
        <w:ind w:firstLine="1809"/>
        <w:spacing w:after="0" w:line="253" w:lineRule="auto"/>
        <w:rPr>
          <w:sz w:val="20"/>
          <w:szCs w:val="20"/>
          <w:color w:val="auto"/>
        </w:rPr>
      </w:pPr>
      <w:r>
        <w:rPr>
          <w:rFonts w:ascii="Times New Roman" w:cs="Times New Roman" w:eastAsia="Times New Roman" w:hAnsi="Times New Roman"/>
          <w:sz w:val="17"/>
          <w:szCs w:val="17"/>
          <w:color w:val="auto"/>
        </w:rPr>
        <w:t xml:space="preserve">(ii)              (1) At the earliest time after the filing of the Registration Statement that the Company or another offering participant made a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 (within the meaning of Rule 164(h)(2)) of the Placement Shares and (2) at the date hereof, the Company was not and is not an "ineligible issuer," as defined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Rule 405, including the Company or any subsidiary in the preceding three years not having been convicted of a felony or misdemeanor or having been made the subject of a judicial or administrative decree or order as described in Rule 405 (without taking account of any determination by the Commission pursuant to Rule 405 that it is not necessary that the Company be considered an ineligible issuer), nor an "excluded issuer" as defined in Rule 164.  </w:t>
      </w:r>
    </w:p>
    <w:p>
      <w:pPr>
        <w:spacing w:after="0" w:line="196" w:lineRule="exact"/>
        <w:rPr>
          <w:sz w:val="20"/>
          <w:szCs w:val="20"/>
          <w:color w:val="auto"/>
        </w:rPr>
      </w:pPr>
    </w:p>
    <w:p>
      <w:pPr>
        <w:jc w:val="both"/>
        <w:ind w:firstLine="1809"/>
        <w:spacing w:after="0" w:line="246" w:lineRule="auto"/>
        <w:rPr>
          <w:sz w:val="20"/>
          <w:szCs w:val="20"/>
          <w:color w:val="auto"/>
        </w:rPr>
      </w:pPr>
      <w:r>
        <w:rPr>
          <w:rFonts w:ascii="Times New Roman" w:cs="Times New Roman" w:eastAsia="Times New Roman" w:hAnsi="Times New Roman"/>
          <w:sz w:val="17"/>
          <w:szCs w:val="17"/>
          <w:color w:val="auto"/>
        </w:rPr>
        <w:t>(iii)            Each issuer free writing prospectus satisfied, as of its issue date and at each Applicable Time, all other conditions to use thereof as set forth in Rules 164 and 433.</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Other Offering Materials</w:t>
      </w:r>
      <w:r>
        <w:rPr>
          <w:rFonts w:ascii="Times New Roman" w:cs="Times New Roman" w:eastAsia="Times New Roman" w:hAnsi="Times New Roman"/>
          <w:sz w:val="17"/>
          <w:szCs w:val="17"/>
          <w:color w:val="auto"/>
        </w:rPr>
        <w:t xml:space="preserve">. The Company has not distributed and will not distribute any prospectus or other offering material in connection with the offering and sale of the Placement Shares other than the Registration Statement, the Prospectus, any Issuer Free Writing Prospectus to which the Agent has consented, any such consent not to be unreasonably withheld, conditioned or delayed, or other materials permitted by the Securities Act to be distributed by the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except as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the Company has not made and will not make any offer relating to the Placement Shares that would constitute an Issuer Free Writing Prospectus, except in accordance with the provisions of Section 21 of this Agreement.</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(e)          </w:t>
      </w:r>
      <w:r>
        <w:rPr>
          <w:rFonts w:ascii="Times New Roman" w:cs="Times New Roman" w:eastAsia="Times New Roman" w:hAnsi="Times New Roman"/>
          <w:sz w:val="16"/>
          <w:szCs w:val="16"/>
          <w:u w:val="single" w:color="auto"/>
          <w:color w:val="auto"/>
        </w:rPr>
        <w:t>  Financial Statements</w:t>
      </w:r>
      <w:r>
        <w:rPr>
          <w:rFonts w:ascii="Times New Roman" w:cs="Times New Roman" w:eastAsia="Times New Roman" w:hAnsi="Times New Roman"/>
          <w:sz w:val="16"/>
          <w:szCs w:val="16"/>
          <w:color w:val="auto"/>
        </w:rPr>
        <w:t>. The financial statements of the Company, together with the related notes, set forth or incorporated by reference in the Registration Statement and the Prospectus,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w:t>
      </w:r>
      <w:r>
        <w:rPr>
          <w:rFonts w:ascii="Times New Roman" w:cs="Times New Roman" w:eastAsia="Times New Roman" w:hAnsi="Times New Roman"/>
          <w:sz w:val="16"/>
          <w:szCs w:val="16"/>
          <w:b w:val="1"/>
          <w:bCs w:val="1"/>
          <w:u w:val="single" w:color="auto"/>
          <w:color w:val="auto"/>
        </w:rPr>
        <w:t>GAAP</w:t>
      </w:r>
      <w:r>
        <w:rPr>
          <w:rFonts w:ascii="Times New Roman" w:cs="Times New Roman" w:eastAsia="Times New Roman" w:hAnsi="Times New Roman"/>
          <w:sz w:val="16"/>
          <w:szCs w:val="16"/>
          <w:color w:val="auto"/>
        </w:rPr>
        <w:t>") consistently applied throughout the periods involved and have been prepared in all material respects in compliance with the requirements of the Securities Act and the Exchange Act; the supporting schedules, if any, included in, or incorporated by reference into, the Registration Statement present fairly the information required to be stated therein; all non-GAAP financial information included in, or incorporated by reference into, the Registration Statement and the Prospectus complies in all material respects with the requirements of Regulation G and Item 10 of Regulation S-K under the Securities Act; and, except as disclosed in the Prospectus, there are no material off-balance sheet arrangements (as defined in Regulation S-K under the Securities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or the Prospectus. To the Company's knowledge, Marcum LLP, which has expressed its opinion with respect to the financial statements and schedules filed as, or incorporated by reference into, a part of the Registration Statement and included in the Registration Statement and the Prospectus, is (x) an independent public accounting firm within the meaning of the Securities Act and the Securities Act Regulations, (y) a registered public accounting firm (as defined in Section 2(a)(12) of the Sarbanes-Oxley Act of 2002 (the "</w:t>
      </w:r>
      <w:r>
        <w:rPr>
          <w:rFonts w:ascii="Times New Roman" w:cs="Times New Roman" w:eastAsia="Times New Roman" w:hAnsi="Times New Roman"/>
          <w:sz w:val="16"/>
          <w:szCs w:val="16"/>
          <w:b w:val="1"/>
          <w:bCs w:val="1"/>
          <w:u w:val="single" w:color="auto"/>
          <w:color w:val="auto"/>
        </w:rPr>
        <w:t>Sarbanes-Oxley Act</w:t>
      </w:r>
      <w:r>
        <w:rPr>
          <w:rFonts w:ascii="Times New Roman" w:cs="Times New Roman" w:eastAsia="Times New Roman" w:hAnsi="Times New Roman"/>
          <w:sz w:val="16"/>
          <w:szCs w:val="16"/>
          <w:color w:val="auto"/>
        </w:rPr>
        <w:t>")) and (z) not in violation of the auditor independence requirements of the Sarbanes-Oxley Act.</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69" w:name="page70"/>
    <w:bookmarkEnd w:id="69"/>
    <w:p>
      <w:pPr>
        <w:ind w:firstLine="1206"/>
        <w:spacing w:after="0" w:line="251"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Organization and Good Standing</w:t>
      </w:r>
      <w:r>
        <w:rPr>
          <w:rFonts w:ascii="Times New Roman" w:cs="Times New Roman" w:eastAsia="Times New Roman" w:hAnsi="Times New Roman"/>
          <w:sz w:val="17"/>
          <w:szCs w:val="17"/>
          <w:color w:val="auto"/>
        </w:rPr>
        <w:t>. Each of the Company and its subsidiaries has been duly organized and is validly existing as a corporation in good standing under the laws of its jurisdiction of incorporation. Each of the Company and its subsidiaries has full corporate power and authority to own its properties and conduct its business as currently being carried on and as described in the Registration Statement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business, prospects, management, properties, operations, condition (financial or otherwise) or results of operations of the Company and its subsidiaries, taken as a whole ("</w:t>
      </w:r>
      <w:r>
        <w:rPr>
          <w:rFonts w:ascii="Times New Roman" w:cs="Times New Roman" w:eastAsia="Times New Roman" w:hAnsi="Times New Roman"/>
          <w:sz w:val="17"/>
          <w:szCs w:val="17"/>
          <w:b w:val="1"/>
          <w:bCs w:val="1"/>
          <w:u w:val="single" w:color="auto"/>
          <w:color w:val="auto"/>
        </w:rPr>
        <w:t>Material Adverse Effect</w:t>
      </w:r>
      <w:r>
        <w:rPr>
          <w:rFonts w:ascii="Times New Roman" w:cs="Times New Roman" w:eastAsia="Times New Roman" w:hAnsi="Times New Roman"/>
          <w:sz w:val="17"/>
          <w:szCs w:val="17"/>
          <w:color w:val="auto"/>
        </w:rPr>
        <w:t>").  </w:t>
      </w:r>
    </w:p>
    <w:p>
      <w:pPr>
        <w:spacing w:after="0" w:line="197"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Absence of Certain Events</w:t>
      </w:r>
      <w:r>
        <w:rPr>
          <w:rFonts w:ascii="Times New Roman" w:cs="Times New Roman" w:eastAsia="Times New Roman" w:hAnsi="Times New Roman"/>
          <w:sz w:val="17"/>
          <w:szCs w:val="17"/>
          <w:color w:val="auto"/>
        </w:rPr>
        <w:t>. Except as contemplated in the Prospectus, subsequent to the date of the most recent financial statements of the Company included or incorporated by reference in the Registration Statement and Prospectus,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Times New Roman" w:cs="Times New Roman" w:eastAsia="Times New Roman" w:hAnsi="Times New Roman"/>
          <w:sz w:val="17"/>
          <w:szCs w:val="17"/>
          <w:b w:val="1"/>
          <w:bCs w:val="1"/>
          <w:u w:val="single" w:color="auto"/>
          <w:color w:val="auto"/>
        </w:rPr>
        <w:t>Material Adverse Change</w:t>
      </w:r>
      <w:r>
        <w:rPr>
          <w:rFonts w:ascii="Times New Roman" w:cs="Times New Roman" w:eastAsia="Times New Roman" w:hAnsi="Times New Roman"/>
          <w:sz w:val="17"/>
          <w:szCs w:val="17"/>
          <w:color w:val="auto"/>
        </w:rPr>
        <w:t>") or any development which could reasonably be expected to result in any Material Adverse Change.</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Absence of Proceedings</w:t>
      </w:r>
      <w:r>
        <w:rPr>
          <w:rFonts w:ascii="Times New Roman" w:cs="Times New Roman" w:eastAsia="Times New Roman" w:hAnsi="Times New Roman"/>
          <w:sz w:val="17"/>
          <w:szCs w:val="17"/>
          <w:color w:val="auto"/>
        </w:rPr>
        <w:t>. Except as set forth or incorporated by reference in the Prospectus, there is not pending or, to the knowledge of the Company, threatened or contemplated,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or any arbitrator, which, individually or in the aggregate, might reasonably be expected to result in any Material Adverse Change, or would materially and adversely affect the ability of the Company to perform its obligations under this Agreement or which are otherwise material in the context of the sale of the Placement Shares.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by the Securities Act or by the Securities Act Regulations and that have not been so described.</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0" w:name="page71"/>
    <w:bookmarkEnd w:id="70"/>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Disclosure of Legal Matters</w:t>
      </w:r>
      <w:r>
        <w:rPr>
          <w:rFonts w:ascii="Times New Roman" w:cs="Times New Roman" w:eastAsia="Times New Roman" w:hAnsi="Times New Roman"/>
          <w:sz w:val="17"/>
          <w:szCs w:val="17"/>
          <w:color w:val="auto"/>
        </w:rPr>
        <w:t>. There are no statutes, regulations, contracts or documents that are required to be described in the Registration Statement and in the Prospectus or required to be filed as exhibits to the Registration Statement by the Securities Act or by the Securities Act Regulations that have not been so described or filed.</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(j)           </w:t>
      </w:r>
      <w:r>
        <w:rPr>
          <w:rFonts w:ascii="Times New Roman" w:cs="Times New Roman" w:eastAsia="Times New Roman" w:hAnsi="Times New Roman"/>
          <w:sz w:val="16"/>
          <w:szCs w:val="16"/>
          <w:u w:val="single" w:color="auto"/>
          <w:color w:val="auto"/>
        </w:rPr>
        <w:t>  Authorization; No Conflicts; Authority</w:t>
      </w:r>
      <w:r>
        <w:rPr>
          <w:rFonts w:ascii="Times New Roman" w:cs="Times New Roman" w:eastAsia="Times New Roman" w:hAnsi="Times New Roman"/>
          <w:sz w:val="16"/>
          <w:szCs w:val="16"/>
          <w:color w:val="auto"/>
        </w:rPr>
        <w: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charter or bylaws or</w:t>
      </w:r>
    </w:p>
    <w:p>
      <w:pPr>
        <w:spacing w:after="0" w:line="2" w:lineRule="exact"/>
        <w:rPr>
          <w:sz w:val="20"/>
          <w:szCs w:val="20"/>
          <w:color w:val="auto"/>
        </w:rPr>
      </w:pPr>
    </w:p>
    <w:p>
      <w:pPr>
        <w:ind w:left="280" w:hanging="279"/>
        <w:spacing w:after="0"/>
        <w:tabs>
          <w:tab w:leader="none" w:pos="2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violation of any law or statute or any judgment, order, rule, regulation or decree of any Governmental Authority, except in the case of clauses (A) and</w:t>
      </w:r>
    </w:p>
    <w:p>
      <w:pPr>
        <w:spacing w:after="0" w:line="17" w:lineRule="exact"/>
        <w:rPr>
          <w:rFonts w:ascii="Times New Roman" w:cs="Times New Roman" w:eastAsia="Times New Roman" w:hAnsi="Times New Roman"/>
          <w:sz w:val="16"/>
          <w:szCs w:val="16"/>
          <w:color w:val="auto"/>
        </w:rPr>
      </w:pPr>
    </w:p>
    <w:p>
      <w:pPr>
        <w:jc w:val="both"/>
        <w:ind w:firstLine="1"/>
        <w:spacing w:after="0" w:line="262" w:lineRule="auto"/>
        <w:tabs>
          <w:tab w:leader="none" w:pos="28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would not reasonably be expected to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Placement Shares by the Company, except such as may be required under the Securities Act, the rules of the Financial Industry Regulatory Authority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u w:val="single" w:color="auto"/>
          <w:color w:val="auto"/>
        </w:rPr>
        <w:t>FINRA</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or state securities or blue sky laws; and the Company has full power and authority to enter into this Agreement and to consummate the transactions contemplated hereby, including the authorization, issuance and sale of the Placement Shares as contemplated by this Agreement. Other than with respect to this Agreement, the Company is not a party to any agreement with an agent or underwriter for any other “at the market” or continuous equity transaction.</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w:t>
      </w:r>
    </w:p>
    <w:p>
      <w:pPr>
        <w:spacing w:after="0" w:line="5" w:lineRule="exact"/>
        <w:rPr>
          <w:rFonts w:ascii="Times New Roman" w:cs="Times New Roman" w:eastAsia="Times New Roman" w:hAnsi="Times New Roman"/>
          <w:sz w:val="16"/>
          <w:szCs w:val="16"/>
          <w:color w:val="auto"/>
        </w:rPr>
      </w:pPr>
    </w:p>
    <w:p>
      <w:pPr>
        <w:jc w:val="both"/>
        <w:ind w:firstLine="1206"/>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Capitalization; the Placement Shares; Registration Rights</w:t>
      </w:r>
      <w:r>
        <w:rPr>
          <w:rFonts w:ascii="Times New Roman" w:cs="Times New Roman" w:eastAsia="Times New Roman" w:hAnsi="Times New Roman"/>
          <w:sz w:val="17"/>
          <w:szCs w:val="17"/>
          <w:color w:val="auto"/>
        </w:rPr>
        <w:t>. All of the issued and outstanding shares of capital stock of the Company, 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Agent), and the holders thereof are not subject to personal liability by reason of being such holders; the Placement Shares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to the description thereof in the Registration Statement and in the Prospectus. Except as otherwise stated in the Registration Statement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Placement Shares as contemplated by this Agreement gives rise to any rights for or relating to the registration of any shares of Common Stock or other securities of the Company (collectively "</w:t>
      </w:r>
      <w:r>
        <w:rPr>
          <w:rFonts w:ascii="Times New Roman" w:cs="Times New Roman" w:eastAsia="Times New Roman" w:hAnsi="Times New Roman"/>
          <w:sz w:val="17"/>
          <w:szCs w:val="17"/>
          <w:b w:val="1"/>
          <w:bCs w:val="1"/>
          <w:u w:val="single" w:color="auto"/>
          <w:color w:val="auto"/>
        </w:rPr>
        <w:t>Registration Rights</w:t>
      </w:r>
      <w:r>
        <w:rPr>
          <w:rFonts w:ascii="Times New Roman" w:cs="Times New Roman" w:eastAsia="Times New Roman" w:hAnsi="Times New Roman"/>
          <w:sz w:val="17"/>
          <w:szCs w:val="17"/>
          <w:color w:val="auto"/>
        </w:rPr>
        <w:t>"). All of the issued and outstanding shares of capital stock of each of the Company's subsidiaries have been duly and validly authorized and issued and are fully paid and nonassessable, and, except as otherwise described in the Registration Statement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and in the Prospectus under the caption "Capitalization." The Common Stock (including the Placement Shares) conforms in all material respects to the description thereof contained in the Prospectus.</w:t>
      </w:r>
    </w:p>
    <w:p>
      <w:pPr>
        <w:spacing w:after="0" w:line="11"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1" w:name="page72"/>
    <w:bookmarkEnd w:id="71"/>
    <w:p>
      <w:pPr>
        <w:jc w:val="both"/>
        <w:ind w:firstLine="1206"/>
        <w:spacing w:after="0" w:line="249"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  Stock Options</w:t>
      </w:r>
      <w:r>
        <w:rPr>
          <w:rFonts w:ascii="Times New Roman" w:cs="Times New Roman" w:eastAsia="Times New Roman" w:hAnsi="Times New Roman"/>
          <w:sz w:val="17"/>
          <w:szCs w:val="17"/>
          <w:color w:val="auto"/>
        </w:rPr>
        <w:t>. Except as described in the Registration Statement and in the Prospectus, 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Times New Roman" w:cs="Times New Roman" w:eastAsia="Times New Roman" w:hAnsi="Times New Roman"/>
          <w:sz w:val="17"/>
          <w:szCs w:val="17"/>
          <w:b w:val="1"/>
          <w:bCs w:val="1"/>
          <w:u w:val="single" w:color="auto"/>
          <w:color w:val="auto"/>
        </w:rPr>
        <w:t>Company Stock Plans</w:t>
      </w:r>
      <w:r>
        <w:rPr>
          <w:rFonts w:ascii="Times New Roman" w:cs="Times New Roman" w:eastAsia="Times New Roman" w:hAnsi="Times New Roman"/>
          <w:sz w:val="17"/>
          <w:szCs w:val="17"/>
          <w:color w:val="auto"/>
        </w:rPr>
        <w:t>"), and the options (the "</w:t>
      </w:r>
      <w:r>
        <w:rPr>
          <w:rFonts w:ascii="Times New Roman" w:cs="Times New Roman" w:eastAsia="Times New Roman" w:hAnsi="Times New Roman"/>
          <w:sz w:val="17"/>
          <w:szCs w:val="17"/>
          <w:b w:val="1"/>
          <w:bCs w:val="1"/>
          <w:u w:val="single" w:color="auto"/>
          <w:color w:val="auto"/>
        </w:rPr>
        <w:t>Options</w:t>
      </w:r>
      <w:r>
        <w:rPr>
          <w:rFonts w:ascii="Times New Roman" w:cs="Times New Roman" w:eastAsia="Times New Roman" w:hAnsi="Times New Roman"/>
          <w:sz w:val="17"/>
          <w:szCs w:val="17"/>
          <w:color w:val="auto"/>
        </w:rPr>
        <w:t>") or other rights granted thereunder, set forth in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u w:val="single" w:color="auto"/>
          <w:color w:val="auto"/>
        </w:rPr>
        <w:t>  Compliance with Laws</w:t>
      </w:r>
      <w:r>
        <w:rPr>
          <w:rFonts w:ascii="Times New Roman" w:cs="Times New Roman" w:eastAsia="Times New Roman" w:hAnsi="Times New Roman"/>
          <w:sz w:val="17"/>
          <w:szCs w:val="17"/>
          <w:color w:val="auto"/>
        </w:rPr>
        <w:t>. Except as would not reasonably be expected to result in a Material Adverse Effect, whether singularly or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aggregate: (A) the Company and each of its subsidiaries holds, and is operating in compliance with, all franchises, grants, authorizations, licenses, permits, easements,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consents, certificates and orders of any Governmental Authority or self-regulatory body required for the conduct of its business and all such franchises, grants,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authorizations, licenses, permits, easements, consents, certifications and orders are valid and in full force and effect; (B) neither the Company nor any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has received notice of any revocation or modification of any such franchise, grant, authorization, license, permit, easement, consent, certification or order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has reason to believe that any such franchise, grant, authorization, license, permit, easement, consent, certification or order will not be renewed in the ordinary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course; and (C) the Company and each of its subsidiaries is in compliance with all applicable federal, state, local and foreign laws, regulations, orders and decrees.</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2" w:name="page73"/>
    <w:bookmarkEnd w:id="72"/>
    <w:p>
      <w:pPr>
        <w:jc w:val="both"/>
        <w:ind w:firstLine="1206"/>
        <w:spacing w:after="0" w:line="250" w:lineRule="auto"/>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u w:val="single" w:color="auto"/>
          <w:color w:val="auto"/>
        </w:rPr>
        <w:t>  Ownership of Assets</w:t>
      </w:r>
      <w:r>
        <w:rPr>
          <w:rFonts w:ascii="Times New Roman" w:cs="Times New Roman" w:eastAsia="Times New Roman" w:hAnsi="Times New Roman"/>
          <w:sz w:val="17"/>
          <w:szCs w:val="17"/>
          <w:color w:val="auto"/>
        </w:rPr>
        <w:t>. The Company and its subsidiaries have good and marketable title to all property (whether real or personal) described in the Registration Statement and in the Prospectus as being owned by them, in each case free and clear of all liens, claims, security interests, other encumbrances or defects except such as are described in the Registration Statement and in the Prospectus or as do not materially affect the value of such property and do not materially interfere with the use made and proposed to be made of such property by the Company.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(o)          </w:t>
      </w:r>
      <w:r>
        <w:rPr>
          <w:rFonts w:ascii="Times New Roman" w:cs="Times New Roman" w:eastAsia="Times New Roman" w:hAnsi="Times New Roman"/>
          <w:sz w:val="16"/>
          <w:szCs w:val="16"/>
          <w:u w:val="single" w:color="auto"/>
          <w:color w:val="auto"/>
        </w:rPr>
        <w:t>  Intellectual Property</w:t>
      </w:r>
      <w:r>
        <w:rPr>
          <w:rFonts w:ascii="Times New Roman" w:cs="Times New Roman" w:eastAsia="Times New Roman" w:hAnsi="Times New Roman"/>
          <w:sz w:val="16"/>
          <w:szCs w:val="16"/>
          <w:color w:val="auto"/>
        </w:rPr>
        <w:t>.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Registration Statement and the Prospectus (collectively, the "</w:t>
      </w:r>
      <w:r>
        <w:rPr>
          <w:rFonts w:ascii="Times New Roman" w:cs="Times New Roman" w:eastAsia="Times New Roman" w:hAnsi="Times New Roman"/>
          <w:sz w:val="16"/>
          <w:szCs w:val="16"/>
          <w:b w:val="1"/>
          <w:bCs w:val="1"/>
          <w:u w:val="single" w:color="auto"/>
          <w:color w:val="auto"/>
        </w:rPr>
        <w:t>Company Intellectual Property</w:t>
      </w:r>
      <w:r>
        <w:rPr>
          <w:rFonts w:ascii="Times New Roman" w:cs="Times New Roman" w:eastAsia="Times New Roman" w:hAnsi="Times New Roman"/>
          <w:sz w:val="16"/>
          <w:szCs w:val="16"/>
          <w:color w:val="auto"/>
        </w:rPr>
        <w:t>"), and, to the Company's knowledge, the conduct of its business (including the development and commercialization of the product candidates described in the Registration Statement and the Prospectus) has not and will not infringe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the patents, trademarks and copyrights held or licensed by the Company included within the Company Intellectual Property are valid, enforceable and subsisting; to the Company's knowledge, there is no infringement by third parties of any of the Company Intellectual Property; other than as disclosed in the Registration Statement and the Prospectus, (i) the Company is not obligated to pay a material royalty, grant a license, or provide other material consideration to any third party in connection with the Company Intellectual Property,</w:t>
      </w:r>
    </w:p>
    <w:p>
      <w:pPr>
        <w:spacing w:after="0" w:line="2" w:lineRule="exact"/>
        <w:rPr>
          <w:sz w:val="20"/>
          <w:szCs w:val="20"/>
          <w:color w:val="auto"/>
        </w:rPr>
      </w:pPr>
    </w:p>
    <w:p>
      <w:pPr>
        <w:jc w:val="both"/>
        <w:ind w:firstLine="1"/>
        <w:spacing w:after="0" w:line="263" w:lineRule="auto"/>
        <w:tabs>
          <w:tab w:leader="none" w:pos="24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and the Company is unaware of any facts which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Registration Statement and the Prospectus, in the current or proposed conduct of the business of the Company, do not currently, and will not upon commercialization, to the knowledge of the Company, infringe any right or valid patent claim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 the Company has complied with the terms of each agreement pursuant to which the Company's Intellectual Property has been licensed to the Company, and all such agreements are in full force and effect. 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w:t>
      </w:r>
      <w:r>
        <w:rPr>
          <w:rFonts w:ascii="Times New Roman" w:cs="Times New Roman" w:eastAsia="Times New Roman" w:hAnsi="Times New Roman"/>
          <w:sz w:val="16"/>
          <w:szCs w:val="16"/>
          <w:b w:val="1"/>
          <w:bCs w:val="1"/>
          <w:u w:val="single" w:color="auto"/>
          <w:color w:val="auto"/>
        </w:rPr>
        <w:t>USPTO</w:t>
      </w:r>
      <w:r>
        <w:rPr>
          <w:rFonts w:ascii="Times New Roman" w:cs="Times New Roman" w:eastAsia="Times New Roman" w:hAnsi="Times New Roman"/>
          <w:sz w:val="16"/>
          <w:szCs w:val="16"/>
          <w:color w:val="auto"/>
        </w:rPr>
        <w:t>")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517525</wp:posOffset>
            </wp:positionV>
            <wp:extent cx="7141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3" w:name="page74"/>
    <w:bookmarkEnd w:id="73"/>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2"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Health Care Authorizations</w:t>
      </w:r>
      <w:r>
        <w:rPr>
          <w:rFonts w:ascii="Times New Roman" w:cs="Times New Roman" w:eastAsia="Times New Roman" w:hAnsi="Times New Roman"/>
          <w:sz w:val="17"/>
          <w:szCs w:val="17"/>
          <w:color w:val="auto"/>
        </w:rPr>
        <w:t>. The Company possesses, and is in compliance with the terms of, all applications, certificates, approvals, clearances, registrations, exemptions, franchises, licenses, permits, consents and other authorizations necessary to conduct its business, as currently conducted (collectively, "</w:t>
      </w:r>
      <w:r>
        <w:rPr>
          <w:rFonts w:ascii="Times New Roman" w:cs="Times New Roman" w:eastAsia="Times New Roman" w:hAnsi="Times New Roman"/>
          <w:sz w:val="17"/>
          <w:szCs w:val="17"/>
          <w:b w:val="1"/>
          <w:bCs w:val="1"/>
          <w:u w:val="single" w:color="auto"/>
          <w:color w:val="auto"/>
        </w:rPr>
        <w:t>Licenses</w:t>
      </w:r>
      <w:r>
        <w:rPr>
          <w:rFonts w:ascii="Times New Roman" w:cs="Times New Roman" w:eastAsia="Times New Roman" w:hAnsi="Times New Roman"/>
          <w:sz w:val="17"/>
          <w:szCs w:val="17"/>
          <w:color w:val="auto"/>
        </w:rPr>
        <w:t>"), issued by the appropriate Governmental Authorities, including, without limitation, all Licenses required by the Food and Drug Administration ("</w:t>
      </w:r>
      <w:r>
        <w:rPr>
          <w:rFonts w:ascii="Times New Roman" w:cs="Times New Roman" w:eastAsia="Times New Roman" w:hAnsi="Times New Roman"/>
          <w:sz w:val="17"/>
          <w:szCs w:val="17"/>
          <w:b w:val="1"/>
          <w:bCs w:val="1"/>
          <w:u w:val="single" w:color="auto"/>
          <w:color w:val="auto"/>
        </w:rPr>
        <w:t>FDA</w:t>
      </w:r>
      <w:r>
        <w:rPr>
          <w:rFonts w:ascii="Times New Roman" w:cs="Times New Roman" w:eastAsia="Times New Roman" w:hAnsi="Times New Roman"/>
          <w:sz w:val="17"/>
          <w:szCs w:val="17"/>
          <w:color w:val="auto"/>
        </w:rPr>
        <w:t>"), or any component thereof, the National Institutes of Health and/or by any other U.S., state, local or foreign government or drug regulatory agency (collectively, the "</w:t>
      </w:r>
      <w:r>
        <w:rPr>
          <w:rFonts w:ascii="Times New Roman" w:cs="Times New Roman" w:eastAsia="Times New Roman" w:hAnsi="Times New Roman"/>
          <w:sz w:val="17"/>
          <w:szCs w:val="17"/>
          <w:b w:val="1"/>
          <w:bCs w:val="1"/>
          <w:u w:val="single" w:color="auto"/>
          <w:color w:val="auto"/>
        </w:rPr>
        <w:t>Regulatory Agencies</w:t>
      </w:r>
      <w:r>
        <w:rPr>
          <w:rFonts w:ascii="Times New Roman" w:cs="Times New Roman" w:eastAsia="Times New Roman" w:hAnsi="Times New Roman"/>
          <w:sz w:val="17"/>
          <w:szCs w:val="17"/>
          <w:color w:val="auto"/>
        </w:rPr>
        <w:t>"), other than for such instances of non-compliance which would not reasonably be expected to result in a Material Adverse Effect. All Licenses are in full force and effect and, to the Company's knowledge, the Company is not in violation of any term or conditions of any License. The Company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modification of any Licenses and no Regulatory Agency has taken any action to limit, suspend or revoke any License possessed by the Company.</w:t>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u w:val="single" w:color="auto"/>
          <w:color w:val="auto"/>
        </w:rPr>
        <w:t>  Clinical Trials</w:t>
      </w:r>
      <w:r>
        <w:rPr>
          <w:rFonts w:ascii="Times New Roman" w:cs="Times New Roman" w:eastAsia="Times New Roman" w:hAnsi="Times New Roman"/>
          <w:sz w:val="17"/>
          <w:szCs w:val="17"/>
          <w:color w:val="auto"/>
        </w:rPr>
        <w:t>. The clinical trials that are described in the Registration Statement and the Prospectus were and, if still pending, are being, conducted in all material respects in accordance with the protocols submitted to FDA or any foreign governmental body exercising comparable authority, procedures and controls pursuant to, where applicable, accepted professional and scientific standards, and all applicable laws and regulations; the descriptions of the clinical trials conducted by or, to the Company's knowledge, on behalf of the Company, and the results thereof, contained in the Registration Statement and the Prospectus are accurate and complete in all material respects; the Company is not aware of any other clinical trials, the results of which reasonably call into question the results described in the Registration Statement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clinical trials conducted by or on behalf of the Company.</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(r)          </w:t>
      </w:r>
      <w:r>
        <w:rPr>
          <w:rFonts w:ascii="Times New Roman" w:cs="Times New Roman" w:eastAsia="Times New Roman" w:hAnsi="Times New Roman"/>
          <w:sz w:val="16"/>
          <w:szCs w:val="16"/>
          <w:u w:val="single" w:color="auto"/>
          <w:color w:val="auto"/>
        </w:rPr>
        <w:t>  Compliance with Health Care Laws</w:t>
      </w:r>
      <w:r>
        <w:rPr>
          <w:rFonts w:ascii="Times New Roman" w:cs="Times New Roman" w:eastAsia="Times New Roman" w:hAnsi="Times New Roman"/>
          <w:sz w:val="16"/>
          <w:szCs w:val="16"/>
          <w:color w:val="auto"/>
        </w:rPr>
        <w:t>. The Company and its directors, officers and employees, and to the Company's knowledge, its respective agents, affiliates and representatives, are, and at all times have been, in compliance with all Health Care Laws (as defined below), including, but not limited to, the rules and regulations of the FDA, the U.S. Department of Health and Human Services Office of Inspector General, the Centers for Medicare &amp; Medicaid Services, and has not engaged in any activities which are, as applicable, cause for false claims liability, civil penalties, or mandatory or permissive exclusion from Medicare, Medicaid, or any other local, state or federal healthcare program, other than for such instances of non-compliance which would not reasonably be expected to result in a Material Adverse Effect. For purposes of this Agreement, "</w:t>
      </w:r>
      <w:r>
        <w:rPr>
          <w:rFonts w:ascii="Times New Roman" w:cs="Times New Roman" w:eastAsia="Times New Roman" w:hAnsi="Times New Roman"/>
          <w:sz w:val="16"/>
          <w:szCs w:val="16"/>
          <w:b w:val="1"/>
          <w:bCs w:val="1"/>
          <w:u w:val="single" w:color="auto"/>
          <w:color w:val="auto"/>
        </w:rPr>
        <w:t>Health Care Laws</w:t>
      </w:r>
      <w:r>
        <w:rPr>
          <w:rFonts w:ascii="Times New Roman" w:cs="Times New Roman" w:eastAsia="Times New Roman" w:hAnsi="Times New Roman"/>
          <w:sz w:val="16"/>
          <w:szCs w:val="16"/>
          <w:color w:val="auto"/>
        </w:rPr>
        <w:t>"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Times New Roman" w:cs="Times New Roman" w:eastAsia="Times New Roman" w:hAnsi="Times New Roman"/>
          <w:sz w:val="16"/>
          <w:szCs w:val="16"/>
          <w:b w:val="1"/>
          <w:bCs w:val="1"/>
          <w:u w:val="single" w:color="auto"/>
          <w:color w:val="auto"/>
        </w:rPr>
        <w:t>HIPAA</w:t>
      </w:r>
      <w:r>
        <w:rPr>
          <w:rFonts w:ascii="Times New Roman" w:cs="Times New Roman" w:eastAsia="Times New Roman" w:hAnsi="Times New Roman"/>
          <w:sz w:val="16"/>
          <w:szCs w:val="16"/>
          <w:color w:val="auto"/>
        </w:rPr>
        <w:t>"), the exclusion laws (42 U.S.C. § 1320a-7), the civil monetary penalties law (42 U.S.C. § 1320a-7a), HIPAA, as amended by the Health Information Technology for Economic and Clinical Health Act (42 U.S.C.</w:t>
      </w:r>
    </w:p>
    <w:p>
      <w:pPr>
        <w:spacing w:after="0" w:line="2" w:lineRule="exact"/>
        <w:rPr>
          <w:sz w:val="20"/>
          <w:szCs w:val="20"/>
          <w:color w:val="auto"/>
        </w:rPr>
      </w:pPr>
    </w:p>
    <w:p>
      <w:pPr>
        <w:jc w:val="both"/>
        <w:ind w:firstLine="1"/>
        <w:spacing w:after="0" w:line="246" w:lineRule="auto"/>
        <w:tabs>
          <w:tab w:leader="none" w:pos="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17921 et seq.), the Federal Food, Drug, and Cosmetic Act (21 U.S.C. §§ 301 et seq.), Medicare statute (Title XVIII of the Social Security Act), Medicaid statute (Title XIX of the Social Security Act), Medicaid Drug Rebate Program (42 U.S.C. § 1396r-8), Medicare average sales price reporting (42 U.S.C. § 1395w-3a), the Public Health Service Act (42 U.S.C. § 256b), the VA Federal Supply Schedule (38 U.S.C § 8126) or the rules and regulations of any other federal, state or local governmental or regulatory body or authority.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governmental authority of non-compliance by, or liability of, the Company or its subsidiaries under any Health Care Laws.</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4" w:name="page75"/>
    <w:bookmarkEnd w:id="74"/>
    <w:p>
      <w:pPr>
        <w:jc w:val="both"/>
        <w:ind w:firstLine="1206"/>
        <w:spacing w:after="0" w:line="250" w:lineRule="auto"/>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u w:val="single" w:color="auto"/>
          <w:color w:val="auto"/>
        </w:rPr>
        <w:t>  No Violations or Defaults</w:t>
      </w:r>
      <w:r>
        <w:rPr>
          <w:rFonts w:ascii="Times New Roman" w:cs="Times New Roman" w:eastAsia="Times New Roman" w:hAnsi="Times New Roman"/>
          <w:sz w:val="17"/>
          <w:szCs w:val="17"/>
          <w:color w:val="auto"/>
        </w:rPr>
        <w:t>. Neither the Company nor any of its subsidiaries is (i) in violation of its respective charter, bylaws or other organizational documents, or (ii)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 except as would not reasonably be expected to result in a Material Adverse Effect.</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          </w:t>
      </w:r>
      <w:r>
        <w:rPr>
          <w:rFonts w:ascii="Times New Roman" w:cs="Times New Roman" w:eastAsia="Times New Roman" w:hAnsi="Times New Roman"/>
          <w:sz w:val="16"/>
          <w:szCs w:val="16"/>
          <w:u w:val="single" w:color="auto"/>
          <w:color w:val="auto"/>
        </w:rPr>
        <w:t>  Taxes</w:t>
      </w:r>
      <w:r>
        <w:rPr>
          <w:rFonts w:ascii="Times New Roman" w:cs="Times New Roman" w:eastAsia="Times New Roman" w:hAnsi="Times New Roman"/>
          <w:sz w:val="16"/>
          <w:szCs w:val="16"/>
          <w:color w:val="auto"/>
        </w:rPr>
        <w:t>. The Company and its subsidiaries have timely filed all federal, state, local and foreign income and franchise tax returns required to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and are not in default in the payment of any taxes which were payable pursuant to said returns or any assessments with respect thereto, other than any which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or any of its subsidiaries is contesting in good faith, except where such dispute or liability would not reasonably be expected to result in a Material Adverse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 There is no pending dispute with any taxing authority relating to any of such returns, and the Company has no knowledge of any proposed liability for any tax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imposed upon the properties or assets of the Company for which there is not an adequate reserve reflected in the Company's financial statements incorporated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in the Registration Statement and the Prospectus, except where such dispute or liability would not reasonably be expected to result in a Material Adverse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u w:val="single" w:color="auto"/>
          <w:color w:val="auto"/>
        </w:rPr>
        <w:t>  Exchange Listing and Exchange Act Registration</w:t>
      </w:r>
      <w:r>
        <w:rPr>
          <w:rFonts w:ascii="Times New Roman" w:cs="Times New Roman" w:eastAsia="Times New Roman" w:hAnsi="Times New Roman"/>
          <w:sz w:val="17"/>
          <w:szCs w:val="17"/>
          <w:color w:val="auto"/>
        </w:rPr>
        <w:t>. The Common Stock is registered pursuant to Section 12(b) of the Exchange Act and is included or approved for listing on the Exchange under the trading symbol “MRKR” and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has complied in all material respects with the applicable requirements of the Exchange for maintenance of inclusion of the Common Stock thereon. The Company has filed an application to include the Placement Shares on the Exchange.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affiliate with a FINRA member.</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5" w:name="page76"/>
    <w:bookmarkEnd w:id="75"/>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Ownership of Other Entities</w:t>
      </w:r>
      <w:r>
        <w:rPr>
          <w:rFonts w:ascii="Times New Roman" w:cs="Times New Roman" w:eastAsia="Times New Roman" w:hAnsi="Times New Roman"/>
          <w:sz w:val="17"/>
          <w:szCs w:val="17"/>
          <w:color w:val="auto"/>
        </w:rPr>
        <w:t>. Other than the subsidiaries of the Company listed in Exhibit 21.1 to the Company's most recent Annual Report on Form 10-K, the Company, directly or indirectly, owns no capital stock or other equity or ownership or proprietary interest in any corporation, partnership, association, trust or other entity.</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Internal Controls</w:t>
      </w:r>
      <w:r>
        <w:rPr>
          <w:rFonts w:ascii="Times New Roman" w:cs="Times New Roman" w:eastAsia="Times New Roman" w:hAnsi="Times New Roman"/>
          <w:sz w:val="17"/>
          <w:szCs w:val="17"/>
          <w:color w:val="auto"/>
        </w:rPr>
        <w:t>. The Company and its subsidiaries maintain a system of internal accounting controls sufficient to provide reasonable assurances that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Except as disclosed in the Registration Statement and in the Prospectus, the Company's internal control over financial reporting is effective and none of the Company, its board of directors and audit committee is aware of any "significant deficiencies" or "material weaknesses" (each as defined by the Public Company Accounting Oversight Board)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 w:cs="Times New Roman" w:eastAsia="Times New Roman" w:hAnsi="Times New Roman"/>
          <w:sz w:val="17"/>
          <w:szCs w:val="17"/>
          <w:b w:val="1"/>
          <w:bCs w:val="1"/>
          <w:u w:val="single" w:color="auto"/>
          <w:color w:val="auto"/>
        </w:rPr>
        <w:t>Exchange Rules</w:t>
      </w:r>
      <w:r>
        <w:rPr>
          <w:rFonts w:ascii="Times New Roman" w:cs="Times New Roman" w:eastAsia="Times New Roman" w:hAnsi="Times New Roman"/>
          <w:sz w:val="17"/>
          <w:szCs w:val="17"/>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  No Brokers or Finders</w:t>
      </w:r>
      <w:r>
        <w:rPr>
          <w:rFonts w:ascii="Times New Roman" w:cs="Times New Roman" w:eastAsia="Times New Roman" w:hAnsi="Times New Roman"/>
          <w:sz w:val="17"/>
          <w:szCs w:val="17"/>
          <w:color w:val="auto"/>
        </w:rPr>
        <w:t>. Other than as contemplated by this Agreement, the Company has not incurred any liability for any finder's or broker's fee or agent's commission in connection with the execution and delivery of this Agreement or the consummation of the transactions contemplated hereby.</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6" w:name="page77"/>
    <w:bookmarkEnd w:id="76"/>
    <w:p>
      <w:pPr>
        <w:jc w:val="both"/>
        <w:ind w:firstLine="1206"/>
        <w:spacing w:after="0" w:line="249" w:lineRule="auto"/>
        <w:rPr>
          <w:sz w:val="20"/>
          <w:szCs w:val="20"/>
          <w:color w:val="auto"/>
        </w:rPr>
      </w:pPr>
      <w:r>
        <w:rPr>
          <w:rFonts w:ascii="Times New Roman" w:cs="Times New Roman" w:eastAsia="Times New Roman" w:hAnsi="Times New Roman"/>
          <w:sz w:val="17"/>
          <w:szCs w:val="17"/>
          <w:color w:val="auto"/>
        </w:rPr>
        <w:t>(y)         </w:t>
      </w:r>
      <w:r>
        <w:rPr>
          <w:rFonts w:ascii="Times New Roman" w:cs="Times New Roman" w:eastAsia="Times New Roman" w:hAnsi="Times New Roman"/>
          <w:sz w:val="17"/>
          <w:szCs w:val="17"/>
          <w:u w:val="single" w:color="auto"/>
          <w:color w:val="auto"/>
        </w:rPr>
        <w:t>  Insurance</w:t>
      </w:r>
      <w:r>
        <w:rPr>
          <w:rFonts w:ascii="Times New Roman" w:cs="Times New Roman" w:eastAsia="Times New Roman" w:hAnsi="Times New Roman"/>
          <w:sz w:val="17"/>
          <w:szCs w:val="17"/>
          <w:color w:val="auto"/>
        </w:rPr>
        <w:t>. The Company and each of its subsidiaries carries, or is covered by, insurance from reputable insurers in such amounts and covering such risks as is adequate for the conduct of its business and the value of its properties and the properties of its subsidiaries and as is reasonable and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reasonably be expected to result in a Material Adverse Effect.</w:t>
      </w: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(z)          </w:t>
      </w:r>
      <w:r>
        <w:rPr>
          <w:rFonts w:ascii="Times New Roman" w:cs="Times New Roman" w:eastAsia="Times New Roman" w:hAnsi="Times New Roman"/>
          <w:sz w:val="17"/>
          <w:szCs w:val="17"/>
          <w:u w:val="single" w:color="auto"/>
          <w:color w:val="auto"/>
        </w:rPr>
        <w:t>  Investment Company Act</w:t>
      </w:r>
      <w:r>
        <w:rPr>
          <w:rFonts w:ascii="Times New Roman" w:cs="Times New Roman" w:eastAsia="Times New Roman" w:hAnsi="Times New Roman"/>
          <w:sz w:val="17"/>
          <w:szCs w:val="17"/>
          <w:color w:val="auto"/>
        </w:rPr>
        <w:t>. The Company is not and, after giving effect to the offering and sale of the Placement Shares in accordance with this Agreement and the application of proceeds as described in the Prospectus under the caption "Use of Proceeds," will not be an "investment company," within the meaning of the Investment Company Act of 1940, as amended.</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(aa)        </w:t>
      </w:r>
      <w:r>
        <w:rPr>
          <w:rFonts w:ascii="Times New Roman" w:cs="Times New Roman" w:eastAsia="Times New Roman" w:hAnsi="Times New Roman"/>
          <w:sz w:val="16"/>
          <w:szCs w:val="16"/>
          <w:u w:val="single" w:color="auto"/>
          <w:color w:val="auto"/>
        </w:rPr>
        <w:t>  Eligibility to use Form S-3</w:t>
      </w:r>
      <w:r>
        <w:rPr>
          <w:rFonts w:ascii="Times New Roman" w:cs="Times New Roman" w:eastAsia="Times New Roman" w:hAnsi="Times New Roman"/>
          <w:sz w:val="16"/>
          <w:szCs w:val="16"/>
          <w:color w:val="auto"/>
        </w:rPr>
        <w:t>. At the time the Registration Statement was or will be filed and declared effective and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or will meet the then applicable requirements for the use of Form S-3 under the Securities Act, including, but not limited to, General Instruction I.B.6 of Form S-3, if applicable. As of the date hereof,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6"/>
          <w:szCs w:val="16"/>
          <w:b w:val="1"/>
          <w:bCs w:val="1"/>
          <w:u w:val="single" w:color="auto"/>
          <w:color w:val="auto"/>
        </w:rPr>
        <w:t>Non-Affiliate Shares</w:t>
      </w:r>
      <w:r>
        <w:rPr>
          <w:rFonts w:ascii="Times New Roman" w:cs="Times New Roman" w:eastAsia="Times New Roman" w:hAnsi="Times New Roman"/>
          <w:sz w:val="16"/>
          <w:szCs w:val="16"/>
          <w:color w:val="auto"/>
        </w:rPr>
        <w:t>”), was approximately $11,431,731 (calculated by multiplying (x) $4.54 the price at which the common equity of the Company was last sold on the Exchange on October 22, 2024 times (y) 7,554,008 the number of Non-Affiliate Shares). The Company is not a shell company (as defined in Rule 405 under the Securities Act) and has not been a shell company for at least 12 calendar months prior to the date hereof.</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(bb)       </w:t>
      </w:r>
      <w:r>
        <w:rPr>
          <w:rFonts w:ascii="Times New Roman" w:cs="Times New Roman" w:eastAsia="Times New Roman" w:hAnsi="Times New Roman"/>
          <w:sz w:val="17"/>
          <w:szCs w:val="17"/>
          <w:u w:val="single" w:color="auto"/>
          <w:color w:val="auto"/>
        </w:rPr>
        <w:t>  Incorporated Documents</w:t>
      </w:r>
      <w:r>
        <w:rPr>
          <w:rFonts w:ascii="Times New Roman" w:cs="Times New Roman" w:eastAsia="Times New Roman" w:hAnsi="Times New Roman"/>
          <w:sz w:val="17"/>
          <w:szCs w:val="17"/>
          <w:color w:val="auto"/>
        </w:rPr>
        <w:t xml:space="preserve">. The documents incorporated by reference in the 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representation and warranty shall not apply to any statements or omissions made in reliance upon and in conformity with the Agent Information.</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7" w:name="page78"/>
    <w:bookmarkEnd w:id="77"/>
    <w:p>
      <w:pPr>
        <w:jc w:val="both"/>
        <w:ind w:firstLine="1206"/>
        <w:spacing w:after="0" w:line="256" w:lineRule="auto"/>
        <w:rPr>
          <w:sz w:val="20"/>
          <w:szCs w:val="20"/>
          <w:color w:val="auto"/>
        </w:rPr>
      </w:pPr>
      <w:r>
        <w:rPr>
          <w:rFonts w:ascii="Times New Roman" w:cs="Times New Roman" w:eastAsia="Times New Roman" w:hAnsi="Times New Roman"/>
          <w:sz w:val="17"/>
          <w:szCs w:val="17"/>
          <w:color w:val="auto"/>
        </w:rPr>
        <w:t>(cc)        </w:t>
      </w:r>
      <w:r>
        <w:rPr>
          <w:rFonts w:ascii="Times New Roman" w:cs="Times New Roman" w:eastAsia="Times New Roman" w:hAnsi="Times New Roman"/>
          <w:sz w:val="17"/>
          <w:szCs w:val="17"/>
          <w:u w:val="single" w:color="auto"/>
          <w:color w:val="auto"/>
        </w:rPr>
        <w:t>  Sarbanes-Oxley Act</w:t>
      </w:r>
      <w:r>
        <w:rPr>
          <w:rFonts w:ascii="Times New Roman" w:cs="Times New Roman" w:eastAsia="Times New Roman" w:hAnsi="Times New Roman"/>
          <w:sz w:val="17"/>
          <w:szCs w:val="17"/>
          <w:color w:val="auto"/>
        </w:rPr>
        <w:t>. The Company is in compliance with all applicable provisions of the Sarbanes-Oxley Act and the rules and regulations of the Commission thereunder.</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(dd)       </w:t>
      </w:r>
      <w:r>
        <w:rPr>
          <w:rFonts w:ascii="Times New Roman" w:cs="Times New Roman" w:eastAsia="Times New Roman" w:hAnsi="Times New Roman"/>
          <w:sz w:val="17"/>
          <w:szCs w:val="17"/>
          <w:u w:val="single" w:color="auto"/>
          <w:color w:val="auto"/>
        </w:rPr>
        <w:t>  Disclosure Controls</w:t>
      </w:r>
      <w:r>
        <w:rPr>
          <w:rFonts w:ascii="Times New Roman" w:cs="Times New Roman" w:eastAsia="Times New Roman" w:hAnsi="Times New Roman"/>
          <w:sz w:val="17"/>
          <w:szCs w:val="17"/>
          <w:color w:val="auto"/>
        </w:rPr>
        <w:t>. The Company has established and maintains disclosure controls and procedures (as defined in Rules 13a-14 and 15d-14 under the Exchange Act) and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Registration Statement and in the Prospectus.</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(ee)        </w:t>
      </w:r>
      <w:r>
        <w:rPr>
          <w:rFonts w:ascii="Times New Roman" w:cs="Times New Roman" w:eastAsia="Times New Roman" w:hAnsi="Times New Roman"/>
          <w:sz w:val="16"/>
          <w:szCs w:val="16"/>
          <w:u w:val="single" w:color="auto"/>
          <w:color w:val="auto"/>
        </w:rPr>
        <w:t>  Anti-Bribery and Anti-Money Laundering Laws</w:t>
      </w:r>
      <w:r>
        <w:rPr>
          <w:rFonts w:ascii="Times New Roman" w:cs="Times New Roman" w:eastAsia="Times New Roman" w:hAnsi="Times New Roman"/>
          <w:sz w:val="16"/>
          <w:szCs w:val="16"/>
          <w:color w:val="auto"/>
        </w:rPr>
        <w:t>. Each of the Company, its subsidiaries, its affiliates and, to the knowledge of the Company, any of their respective officers, directors, supervisors, managers, agents, or employees, has not violated, its participation in the offering will not violate, and the Company and each of its subsidiaries has instituted and maintains policies and procedures designed to ensure 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(ff)         </w:t>
      </w:r>
      <w:r>
        <w:rPr>
          <w:rFonts w:ascii="Times New Roman" w:cs="Times New Roman" w:eastAsia="Times New Roman" w:hAnsi="Times New Roman"/>
          <w:sz w:val="17"/>
          <w:szCs w:val="17"/>
          <w:u w:val="single" w:color="auto"/>
          <w:color w:val="auto"/>
        </w:rPr>
        <w:t>  OFAC</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left="600" w:firstLine="1206"/>
        <w:spacing w:after="0" w:line="246" w:lineRule="auto"/>
        <w:rPr>
          <w:sz w:val="20"/>
          <w:szCs w:val="20"/>
          <w:color w:val="auto"/>
        </w:rPr>
      </w:pPr>
      <w:r>
        <w:rPr>
          <w:rFonts w:ascii="Times New Roman" w:cs="Times New Roman" w:eastAsia="Times New Roman" w:hAnsi="Times New Roman"/>
          <w:sz w:val="17"/>
          <w:szCs w:val="17"/>
          <w:color w:val="auto"/>
        </w:rPr>
        <w:t>(i)               Neither the Company nor any of its subsidiaries, nor, to the Company's knowledge,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firstLine="603"/>
        <w:spacing w:after="0" w:line="262" w:lineRule="auto"/>
        <w:rPr>
          <w:sz w:val="20"/>
          <w:szCs w:val="20"/>
          <w:color w:val="auto"/>
        </w:rPr>
      </w:pPr>
      <w:r>
        <w:rPr>
          <w:rFonts w:ascii="Times New Roman" w:cs="Times New Roman" w:eastAsia="Times New Roman" w:hAnsi="Times New Roman"/>
          <w:sz w:val="16"/>
          <w:szCs w:val="16"/>
          <w:color w:val="auto"/>
        </w:rPr>
        <w:t>(A)             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6"/>
          <w:szCs w:val="16"/>
          <w:b w:val="1"/>
          <w:bCs w:val="1"/>
          <w:u w:val="single" w:color="auto"/>
          <w:color w:val="auto"/>
        </w:rPr>
        <w:t>Sanctions</w:t>
      </w:r>
      <w:r>
        <w:rPr>
          <w:rFonts w:ascii="Times New Roman" w:cs="Times New Roman" w:eastAsia="Times New Roman" w:hAnsi="Times New Roman"/>
          <w:sz w:val="16"/>
          <w:szCs w:val="16"/>
          <w:color w:val="auto"/>
        </w:rPr>
        <w:t>"), nor</w:t>
      </w: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8" w:name="page79"/>
    <w:bookmarkEnd w:id="78"/>
    <w:p>
      <w:pPr>
        <w:ind w:left="1200" w:firstLine="603"/>
        <w:spacing w:after="0" w:line="256" w:lineRule="auto"/>
        <w:rPr>
          <w:sz w:val="20"/>
          <w:szCs w:val="20"/>
          <w:color w:val="auto"/>
        </w:rPr>
      </w:pPr>
      <w:r>
        <w:rPr>
          <w:rFonts w:ascii="Times New Roman" w:cs="Times New Roman" w:eastAsia="Times New Roman" w:hAnsi="Times New Roman"/>
          <w:sz w:val="17"/>
          <w:szCs w:val="17"/>
          <w:color w:val="auto"/>
        </w:rPr>
        <w:t>(B)             located, organized or resident in a country or territory that is the subject of Sanctions (including, without limitation, Crimea, Cuba, Iran, North Korea and Syria).</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left="600" w:firstLine="1206"/>
        <w:spacing w:after="0" w:line="246" w:lineRule="auto"/>
        <w:rPr>
          <w:sz w:val="20"/>
          <w:szCs w:val="20"/>
          <w:color w:val="auto"/>
        </w:rPr>
      </w:pPr>
      <w:r>
        <w:rPr>
          <w:rFonts w:ascii="Times New Roman" w:cs="Times New Roman" w:eastAsia="Times New Roman" w:hAnsi="Times New Roman"/>
          <w:sz w:val="17"/>
          <w:szCs w:val="17"/>
          <w:color w:val="auto"/>
        </w:rPr>
        <w:t>(ii)             Neither the Company nor any of its subsidiaries will, directly or indirectly, use the proceeds of the offering, or lend, contribute or otherwise make available such proceeds to any subsidiary, joint venture partner or other individual or entity:</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firstLine="603"/>
        <w:spacing w:after="0" w:line="246" w:lineRule="auto"/>
        <w:rPr>
          <w:sz w:val="20"/>
          <w:szCs w:val="20"/>
          <w:color w:val="auto"/>
        </w:rPr>
      </w:pPr>
      <w:r>
        <w:rPr>
          <w:rFonts w:ascii="Times New Roman" w:cs="Times New Roman" w:eastAsia="Times New Roman" w:hAnsi="Times New Roman"/>
          <w:sz w:val="17"/>
          <w:szCs w:val="17"/>
          <w:color w:val="auto"/>
        </w:rPr>
        <w:t>(A)            to fund or facilitate any activities or business of or with any individual or entity or in any country or territory that, at the time of such funding or facilitation, is the subject of Sanctions; or</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firstLine="603"/>
        <w:spacing w:after="0" w:line="246" w:lineRule="auto"/>
        <w:rPr>
          <w:sz w:val="20"/>
          <w:szCs w:val="20"/>
          <w:color w:val="auto"/>
        </w:rPr>
      </w:pPr>
      <w:r>
        <w:rPr>
          <w:rFonts w:ascii="Times New Roman" w:cs="Times New Roman" w:eastAsia="Times New Roman" w:hAnsi="Times New Roman"/>
          <w:sz w:val="17"/>
          <w:szCs w:val="17"/>
          <w:color w:val="auto"/>
        </w:rPr>
        <w:t>(B)             in any other manner that will result in a violation of Sanctions by any individual or entity (including any individual or entity participating in the offering, whether as underwriter, advisor, investor or otherwise).</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left="600" w:firstLine="1206"/>
        <w:spacing w:after="0" w:line="246" w:lineRule="auto"/>
        <w:rPr>
          <w:sz w:val="20"/>
          <w:szCs w:val="20"/>
          <w:color w:val="auto"/>
        </w:rPr>
      </w:pPr>
      <w:r>
        <w:rPr>
          <w:rFonts w:ascii="Times New Roman" w:cs="Times New Roman" w:eastAsia="Times New Roman" w:hAnsi="Times New Roman"/>
          <w:sz w:val="17"/>
          <w:szCs w:val="17"/>
          <w:color w:val="auto"/>
        </w:rPr>
        <w:t>(iii)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(gg)       </w:t>
      </w:r>
      <w:r>
        <w:rPr>
          <w:rFonts w:ascii="Times New Roman" w:cs="Times New Roman" w:eastAsia="Times New Roman" w:hAnsi="Times New Roman"/>
          <w:sz w:val="17"/>
          <w:szCs w:val="17"/>
          <w:u w:val="single" w:color="auto"/>
          <w:color w:val="auto"/>
        </w:rPr>
        <w:t>  Compliance with Environmental Laws</w:t>
      </w:r>
      <w:r>
        <w:rPr>
          <w:rFonts w:ascii="Times New Roman" w:cs="Times New Roman" w:eastAsia="Times New Roman" w:hAnsi="Times New Roman"/>
          <w:sz w:val="17"/>
          <w:szCs w:val="17"/>
          <w:color w:val="auto"/>
        </w:rPr>
        <w:t>. Except as disclosed in the Prospectus, 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7"/>
          <w:szCs w:val="17"/>
          <w:b w:val="1"/>
          <w:bCs w:val="1"/>
          <w:u w:val="single" w:color="auto"/>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Laws</w:t>
      </w:r>
      <w:r>
        <w:rPr>
          <w:rFonts w:ascii="Times New Roman" w:cs="Times New Roman" w:eastAsia="Times New Roman" w:hAnsi="Times New Roman"/>
          <w:sz w:val="17"/>
          <w:szCs w:val="17"/>
          <w:color w:val="auto"/>
        </w:rPr>
        <w:t>"), owns or operates any real property contaminated with any substance that is subject to any Environmental Laws, is liable for any off-site disposal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contamination pursuant to any Environmental Laws, or is subject to any claim relating to any Environmental Laws, which violation, contamination, liability or claim would individually or in the aggregate, not reasonably be expected to result in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(hh)       </w:t>
      </w:r>
      <w:r>
        <w:rPr>
          <w:rFonts w:ascii="Times New Roman" w:cs="Times New Roman" w:eastAsia="Times New Roman" w:hAnsi="Times New Roman"/>
          <w:sz w:val="17"/>
          <w:szCs w:val="17"/>
          <w:u w:val="single" w:color="auto"/>
          <w:color w:val="auto"/>
        </w:rPr>
        <w:t>  Compliance with Occupational Laws</w:t>
      </w:r>
      <w:r>
        <w:rPr>
          <w:rFonts w:ascii="Times New Roman" w:cs="Times New Roman" w:eastAsia="Times New Roman" w:hAnsi="Times New Roman"/>
          <w:sz w:val="17"/>
          <w:szCs w:val="17"/>
          <w:color w:val="auto"/>
        </w:rPr>
        <w:t>. The Company and each of its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Times New Roman" w:cs="Times New Roman" w:eastAsia="Times New Roman" w:hAnsi="Times New Roman"/>
          <w:sz w:val="17"/>
          <w:szCs w:val="17"/>
          <w:b w:val="1"/>
          <w:bCs w:val="1"/>
          <w:u w:val="single" w:color="auto"/>
          <w:color w:val="auto"/>
        </w:rPr>
        <w:t>Occupational Laws</w:t>
      </w:r>
      <w:r>
        <w:rPr>
          <w:rFonts w:ascii="Times New Roman" w:cs="Times New Roman" w:eastAsia="Times New Roman" w:hAnsi="Times New Roman"/>
          <w:sz w:val="17"/>
          <w:szCs w:val="17"/>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9" w:name="page80"/>
    <w:bookmarkEnd w:id="79"/>
    <w:p>
      <w:pPr>
        <w:jc w:val="both"/>
        <w:ind w:firstLine="1206"/>
        <w:spacing w:after="0" w:line="263" w:lineRule="auto"/>
        <w:rPr>
          <w:sz w:val="20"/>
          <w:szCs w:val="20"/>
          <w:color w:val="auto"/>
        </w:rPr>
      </w:pPr>
      <w:r>
        <w:rPr>
          <w:rFonts w:ascii="Times New Roman" w:cs="Times New Roman" w:eastAsia="Times New Roman" w:hAnsi="Times New Roman"/>
          <w:sz w:val="16"/>
          <w:szCs w:val="16"/>
          <w:color w:val="auto"/>
        </w:rPr>
        <w:t>(ii)          </w:t>
      </w:r>
      <w:r>
        <w:rPr>
          <w:rFonts w:ascii="Times New Roman" w:cs="Times New Roman" w:eastAsia="Times New Roman" w:hAnsi="Times New Roman"/>
          <w:sz w:val="16"/>
          <w:szCs w:val="16"/>
          <w:u w:val="single" w:color="auto"/>
          <w:color w:val="auto"/>
        </w:rPr>
        <w:t>  ERISA and Employee Benefits Matters</w:t>
      </w:r>
      <w:r>
        <w:rPr>
          <w:rFonts w:ascii="Times New Roman" w:cs="Times New Roman" w:eastAsia="Times New Roman" w:hAnsi="Times New Roman"/>
          <w:sz w:val="16"/>
          <w:szCs w:val="16"/>
          <w:color w:val="auto"/>
        </w:rPr>
        <w:t>. (A) To the knowledge of the Company, no "prohibited transaction" as defined 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would reasonably be expected to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w:t>
      </w:r>
    </w:p>
    <w:p>
      <w:pPr>
        <w:spacing w:after="0" w:line="8" w:lineRule="exact"/>
        <w:rPr>
          <w:sz w:val="20"/>
          <w:szCs w:val="20"/>
          <w:color w:val="auto"/>
        </w:rPr>
      </w:pPr>
    </w:p>
    <w:p>
      <w:pPr>
        <w:jc w:val="both"/>
        <w:ind w:firstLine="1"/>
        <w:spacing w:after="0" w:line="262" w:lineRule="auto"/>
        <w:tabs>
          <w:tab w:leader="none" w:pos="23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 As used in this Agreement, "</w:t>
      </w:r>
      <w:r>
        <w:rPr>
          <w:rFonts w:ascii="Times New Roman" w:cs="Times New Roman" w:eastAsia="Times New Roman" w:hAnsi="Times New Roman"/>
          <w:sz w:val="16"/>
          <w:szCs w:val="16"/>
          <w:b w:val="1"/>
          <w:bCs w:val="1"/>
          <w:u w:val="single" w:color="auto"/>
          <w:color w:val="auto"/>
        </w:rPr>
        <w:t>Code</w:t>
      </w:r>
      <w:r>
        <w:rPr>
          <w:rFonts w:ascii="Times New Roman" w:cs="Times New Roman" w:eastAsia="Times New Roman" w:hAnsi="Times New Roman"/>
          <w:sz w:val="16"/>
          <w:szCs w:val="16"/>
          <w:color w:val="auto"/>
        </w:rPr>
        <w:t>" means the Internal Revenue Code of 1986, as amended; "</w:t>
      </w:r>
      <w:r>
        <w:rPr>
          <w:rFonts w:ascii="Times New Roman" w:cs="Times New Roman" w:eastAsia="Times New Roman" w:hAnsi="Times New Roman"/>
          <w:sz w:val="16"/>
          <w:szCs w:val="16"/>
          <w:b w:val="1"/>
          <w:bCs w:val="1"/>
          <w:u w:val="single" w:color="auto"/>
          <w:color w:val="auto"/>
        </w:rPr>
        <w:t>Employee Benefit Plan</w:t>
      </w:r>
      <w:r>
        <w:rPr>
          <w:rFonts w:ascii="Times New Roman" w:cs="Times New Roman" w:eastAsia="Times New Roman" w:hAnsi="Times New Roman"/>
          <w:sz w:val="16"/>
          <w:szCs w:val="16"/>
          <w:color w:val="auto"/>
        </w:rPr>
        <w:t>" means any "employee benefit plan" within the meaning of Section 3(3) of ERISA, including, without limitation, all stock purchase, stock option, stock-based severance, employment, change- 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Times New Roman" w:cs="Times New Roman" w:eastAsia="Times New Roman" w:hAnsi="Times New Roman"/>
          <w:sz w:val="16"/>
          <w:szCs w:val="16"/>
          <w:b w:val="1"/>
          <w:bCs w:val="1"/>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 "</w:t>
      </w:r>
      <w:r>
        <w:rPr>
          <w:rFonts w:ascii="Times New Roman" w:cs="Times New Roman" w:eastAsia="Times New Roman" w:hAnsi="Times New Roman"/>
          <w:sz w:val="16"/>
          <w:szCs w:val="16"/>
          <w:b w:val="1"/>
          <w:bCs w:val="1"/>
          <w:u w:val="single" w:color="auto"/>
          <w:color w:val="auto"/>
        </w:rPr>
        <w:t>ERISA Affiliate</w:t>
      </w:r>
      <w:r>
        <w:rPr>
          <w:rFonts w:ascii="Times New Roman" w:cs="Times New Roman" w:eastAsia="Times New Roman" w:hAnsi="Times New Roman"/>
          <w:sz w:val="16"/>
          <w:szCs w:val="16"/>
          <w:color w:val="auto"/>
        </w:rPr>
        <w:t>" means any member of the company's controlled group as defined in Code Section 414(b), (c), (m) or (o); and "</w:t>
      </w:r>
      <w:r>
        <w:rPr>
          <w:rFonts w:ascii="Times New Roman" w:cs="Times New Roman" w:eastAsia="Times New Roman" w:hAnsi="Times New Roman"/>
          <w:sz w:val="16"/>
          <w:szCs w:val="16"/>
          <w:b w:val="1"/>
          <w:bCs w:val="1"/>
          <w:u w:val="single" w:color="auto"/>
          <w:color w:val="auto"/>
        </w:rPr>
        <w:t>Foreign Benefit Plan</w:t>
      </w:r>
      <w:r>
        <w:rPr>
          <w:rFonts w:ascii="Times New Roman" w:cs="Times New Roman" w:eastAsia="Times New Roman" w:hAnsi="Times New Roman"/>
          <w:sz w:val="16"/>
          <w:szCs w:val="16"/>
          <w:color w:val="auto"/>
        </w:rPr>
        <w:t>" means any Employee Benefit Plan established, maintained or contributed to outside of the United States of America or which covers any employee working or residing outside of the United States.</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0" w:name="page81"/>
    <w:bookmarkEnd w:id="80"/>
    <w:p>
      <w:pPr>
        <w:jc w:val="both"/>
        <w:ind w:firstLine="1206"/>
        <w:spacing w:after="0" w:line="269" w:lineRule="auto"/>
        <w:rPr>
          <w:sz w:val="20"/>
          <w:szCs w:val="20"/>
          <w:color w:val="auto"/>
        </w:rPr>
      </w:pPr>
      <w:r>
        <w:rPr>
          <w:rFonts w:ascii="Times New Roman" w:cs="Times New Roman" w:eastAsia="Times New Roman" w:hAnsi="Times New Roman"/>
          <w:sz w:val="16"/>
          <w:szCs w:val="16"/>
          <w:color w:val="auto"/>
        </w:rPr>
        <w:t>(jj)          </w:t>
      </w:r>
      <w:r>
        <w:rPr>
          <w:rFonts w:ascii="Times New Roman" w:cs="Times New Roman" w:eastAsia="Times New Roman" w:hAnsi="Times New Roman"/>
          <w:sz w:val="16"/>
          <w:szCs w:val="16"/>
          <w:u w:val="single" w:color="auto"/>
          <w:color w:val="auto"/>
        </w:rPr>
        <w:t>  Business Arrangements</w:t>
      </w:r>
      <w:r>
        <w:rPr>
          <w:rFonts w:ascii="Times New Roman" w:cs="Times New Roman" w:eastAsia="Times New Roman" w:hAnsi="Times New Roman"/>
          <w:sz w:val="16"/>
          <w:szCs w:val="16"/>
          <w:color w:val="auto"/>
        </w:rPr>
        <w:t>. Except as disclosed in the Registration Statement and the Prospectus, neither the Company nor any of its subsidiaries has granted rights to develop, manufacture, produce, assemble, distribute, license, market or sell its products to any other person and is not bound by any agreement that materially affects the exclusive right of the Company or such subsidiary to develop, manufacture, produce, assemble, distribute, license, market or sell its products.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(kk)        </w:t>
      </w:r>
      <w:r>
        <w:rPr>
          <w:rFonts w:ascii="Times New Roman" w:cs="Times New Roman" w:eastAsia="Times New Roman" w:hAnsi="Times New Roman"/>
          <w:sz w:val="17"/>
          <w:szCs w:val="17"/>
          <w:u w:val="single" w:color="auto"/>
          <w:color w:val="auto"/>
        </w:rPr>
        <w:t>  Labor Matters</w:t>
      </w:r>
      <w:r>
        <w:rPr>
          <w:rFonts w:ascii="Times New Roman" w:cs="Times New Roman" w:eastAsia="Times New Roman" w:hAnsi="Times New Roman"/>
          <w:sz w:val="17"/>
          <w:szCs w:val="17"/>
          <w:color w:val="auto"/>
        </w:rPr>
        <w:t>. No labor problem 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result in a Material Adverse Effect.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(ll)          </w:t>
      </w:r>
      <w:r>
        <w:rPr>
          <w:rFonts w:ascii="Times New Roman" w:cs="Times New Roman" w:eastAsia="Times New Roman" w:hAnsi="Times New Roman"/>
          <w:sz w:val="17"/>
          <w:szCs w:val="17"/>
          <w:u w:val="single" w:color="auto"/>
          <w:color w:val="auto"/>
        </w:rPr>
        <w:t>  Restrictions on Subsidiary Payments to the Company</w:t>
      </w:r>
      <w:r>
        <w:rPr>
          <w:rFonts w:ascii="Times New Roman" w:cs="Times New Roman" w:eastAsia="Times New Roman" w:hAnsi="Times New Roman"/>
          <w:sz w:val="17"/>
          <w:szCs w:val="17"/>
          <w:color w:val="auto"/>
        </w:rPr>
        <w: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Prospectus.</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(mm)     </w:t>
      </w:r>
      <w:r>
        <w:rPr>
          <w:rFonts w:ascii="Times New Roman" w:cs="Times New Roman" w:eastAsia="Times New Roman" w:hAnsi="Times New Roman"/>
          <w:sz w:val="17"/>
          <w:szCs w:val="17"/>
          <w:u w:val="single" w:color="auto"/>
          <w:color w:val="auto"/>
        </w:rPr>
        <w:t>  Statistical Information</w:t>
      </w:r>
      <w:r>
        <w:rPr>
          <w:rFonts w:ascii="Times New Roman" w:cs="Times New Roman" w:eastAsia="Times New Roman" w:hAnsi="Times New Roman"/>
          <w:sz w:val="17"/>
          <w:szCs w:val="17"/>
          <w:color w:val="auto"/>
        </w:rPr>
        <w:t>. Any third-party statistical and market-related data included in the Registration Statement and the Prospectus are based on or derived from sources that the Company believes, after reasonable inquiry, to be reliable and accurate in all material respects.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(nn)       </w:t>
      </w:r>
      <w:r>
        <w:rPr>
          <w:rFonts w:ascii="Times New Roman" w:cs="Times New Roman" w:eastAsia="Times New Roman" w:hAnsi="Times New Roman"/>
          <w:sz w:val="17"/>
          <w:szCs w:val="17"/>
          <w:u w:val="single" w:color="auto"/>
          <w:color w:val="auto"/>
        </w:rPr>
        <w:t>  Forward-looking Statements</w:t>
      </w:r>
      <w:r>
        <w:rPr>
          <w:rFonts w:ascii="Times New Roman" w:cs="Times New Roman" w:eastAsia="Times New Roman" w:hAnsi="Times New Roman"/>
          <w:sz w:val="17"/>
          <w:szCs w:val="17"/>
          <w:color w:val="auto"/>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(oo)       </w:t>
      </w:r>
      <w:r>
        <w:rPr>
          <w:rFonts w:ascii="Times New Roman" w:cs="Times New Roman" w:eastAsia="Times New Roman" w:hAnsi="Times New Roman"/>
          <w:sz w:val="17"/>
          <w:szCs w:val="17"/>
          <w:u w:val="single" w:color="auto"/>
          <w:color w:val="auto"/>
        </w:rPr>
        <w:t>  Cybersecurity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and its subsidiaries' information technology assets and equipment, computers, systems, networks, hardware,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software, websites, applications, and databases (collectively, "</w:t>
      </w:r>
      <w:r>
        <w:rPr>
          <w:rFonts w:ascii="Times New Roman" w:cs="Times New Roman" w:eastAsia="Times New Roman" w:hAnsi="Times New Roman"/>
          <w:sz w:val="16"/>
          <w:szCs w:val="16"/>
          <w:b w:val="1"/>
          <w:bCs w:val="1"/>
          <w:u w:val="single" w:color="auto"/>
          <w:color w:val="auto"/>
        </w:rPr>
        <w:t>IT Systems</w:t>
      </w:r>
      <w:r>
        <w:rPr>
          <w:rFonts w:ascii="Times New Roman" w:cs="Times New Roman" w:eastAsia="Times New Roman" w:hAnsi="Times New Roman"/>
          <w:sz w:val="16"/>
          <w:szCs w:val="16"/>
          <w:color w:val="auto"/>
        </w:rPr>
        <w:t>") are adequate for, and operate and perform in all material respects as required in connection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operation of the business of the Company and its subsidiaries as currently conducted, free and clear of all material bugs, errors, defects, Trojan horses,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bombs, malware and other corruptants. The Company and its subsidiaries have implemented and maintained commercially reasonable physical, technical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controls, policies, procedures, and safeguards to maintain and protect their material confidential information and the integrity, continuous operation,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redundancy and security of all IT Systems and data, including "Personal Data," used in connection with their businesses. "</w:t>
      </w:r>
      <w:r>
        <w:rPr>
          <w:rFonts w:ascii="Times New Roman" w:cs="Times New Roman" w:eastAsia="Times New Roman" w:hAnsi="Times New Roman"/>
          <w:sz w:val="16"/>
          <w:szCs w:val="16"/>
          <w:b w:val="1"/>
          <w:bCs w:val="1"/>
          <w:u w:val="single" w:color="auto"/>
          <w:color w:val="auto"/>
        </w:rPr>
        <w:t>Personal Data</w:t>
      </w:r>
      <w:r>
        <w:rPr>
          <w:rFonts w:ascii="Times New Roman" w:cs="Times New Roman" w:eastAsia="Times New Roman" w:hAnsi="Times New Roman"/>
          <w:sz w:val="16"/>
          <w:szCs w:val="16"/>
          <w:color w:val="auto"/>
        </w:rPr>
        <w:t>" means (i) a natural person's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street address, telephone number, e-mail address, photograph, social security number or tax identification number, driver's license number, passport 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card number, bank information, or customer or account number; (ii) any information which would qualify as "personally identifying information" under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Trade Commission Act, as amended; (iii) "personal data" as defined by GDPR (as defined below); (iv) any information which would qualify as "protected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health information" under the Health Insurance Portability and Accountability Act of 1996, as amended by the Health Information Technology for Economic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Health Act (collectively, "</w:t>
      </w:r>
      <w:r>
        <w:rPr>
          <w:rFonts w:ascii="Times New Roman" w:cs="Times New Roman" w:eastAsia="Times New Roman" w:hAnsi="Times New Roman"/>
          <w:sz w:val="16"/>
          <w:szCs w:val="16"/>
          <w:b w:val="1"/>
          <w:bCs w:val="1"/>
          <w:u w:val="single" w:color="auto"/>
          <w:color w:val="auto"/>
        </w:rPr>
        <w:t>HIPAA</w:t>
      </w:r>
      <w:r>
        <w:rPr>
          <w:rFonts w:ascii="Times New Roman" w:cs="Times New Roman" w:eastAsia="Times New Roman" w:hAnsi="Times New Roman"/>
          <w:sz w:val="16"/>
          <w:szCs w:val="16"/>
          <w:color w:val="auto"/>
        </w:rPr>
        <w:t>"); and (v) any other piece of information that allows the identification of such natural person, or his or her family, or permits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collection or analysis of any data related to an identified person's health or sexual orientation. There have been no breaches, violations, outages or unauthorized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uses of or accesses to same, except for those that have been remedied without material cost or liability or the duty to notify any other person, nor any incidents 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internal review or investigations relating to the same. The Company and its subsidiaries are presently in material compliance with all applicable laws or statutes and all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judgments, orders, rules and regulations of any court or arbitrator or governmental or regulatory authority, internal policies and contractual obligations relating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privacy and security of IT Systems and Personal Data and to the protection of such IT Systems and Personal Data from unauthorized use, access, misappropriation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modification.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1" w:name="page82"/>
    <w:bookmarkEnd w:id="81"/>
    <w:p>
      <w:pPr>
        <w:jc w:val="both"/>
        <w:ind w:firstLine="1206"/>
        <w:spacing w:after="0" w:line="264" w:lineRule="auto"/>
        <w:rPr>
          <w:sz w:val="20"/>
          <w:szCs w:val="20"/>
          <w:color w:val="auto"/>
        </w:rPr>
      </w:pPr>
      <w:r>
        <w:rPr>
          <w:rFonts w:ascii="Times New Roman" w:cs="Times New Roman" w:eastAsia="Times New Roman" w:hAnsi="Times New Roman"/>
          <w:sz w:val="16"/>
          <w:szCs w:val="16"/>
          <w:color w:val="auto"/>
        </w:rPr>
        <w:t>(pp)       </w:t>
      </w:r>
      <w:r>
        <w:rPr>
          <w:rFonts w:ascii="Times New Roman" w:cs="Times New Roman" w:eastAsia="Times New Roman" w:hAnsi="Times New Roman"/>
          <w:sz w:val="16"/>
          <w:szCs w:val="16"/>
          <w:u w:val="single" w:color="auto"/>
          <w:color w:val="auto"/>
        </w:rPr>
        <w:t>  Compliance with Data Privacy Laws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Times New Roman" w:cs="Times New Roman" w:eastAsia="Times New Roman" w:hAnsi="Times New Roman"/>
          <w:sz w:val="16"/>
          <w:szCs w:val="16"/>
          <w:b w:val="1"/>
          <w:bCs w:val="1"/>
          <w:u w:val="single" w:color="auto"/>
          <w:color w:val="auto"/>
        </w:rPr>
        <w:t>GDPR</w:t>
      </w:r>
      <w:r>
        <w:rPr>
          <w:rFonts w:ascii="Times New Roman" w:cs="Times New Roman" w:eastAsia="Times New Roman" w:hAnsi="Times New Roman"/>
          <w:sz w:val="16"/>
          <w:szCs w:val="16"/>
          <w:color w:val="auto"/>
        </w:rPr>
        <w:t>") (EU 2016/679) (collectively, the "</w:t>
      </w:r>
      <w:r>
        <w:rPr>
          <w:rFonts w:ascii="Times New Roman" w:cs="Times New Roman" w:eastAsia="Times New Roman" w:hAnsi="Times New Roman"/>
          <w:sz w:val="16"/>
          <w:szCs w:val="16"/>
          <w:b w:val="1"/>
          <w:bCs w:val="1"/>
          <w:u w:val="single" w:color="auto"/>
          <w:color w:val="auto"/>
        </w:rPr>
        <w:t>Privacy Laws</w:t>
      </w:r>
      <w:r>
        <w:rPr>
          <w:rFonts w:ascii="Times New Roman" w:cs="Times New Roman" w:eastAsia="Times New Roman" w:hAnsi="Times New Roman"/>
          <w:sz w:val="16"/>
          <w:szCs w:val="16"/>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6"/>
          <w:szCs w:val="16"/>
          <w:b w:val="1"/>
          <w:bCs w:val="1"/>
          <w:u w:val="single" w:color="auto"/>
          <w:color w:val="auto"/>
        </w:rPr>
        <w:t>Policies</w:t>
      </w:r>
      <w:r>
        <w:rPr>
          <w:rFonts w:ascii="Times New Roman" w:cs="Times New Roman" w:eastAsia="Times New Roman" w:hAnsi="Times New Roman"/>
          <w:sz w:val="16"/>
          <w:szCs w:val="16"/>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material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w:t>
      </w:r>
    </w:p>
    <w:p>
      <w:pPr>
        <w:spacing w:after="0" w:line="6" w:lineRule="exact"/>
        <w:rPr>
          <w:sz w:val="20"/>
          <w:szCs w:val="20"/>
          <w:color w:val="auto"/>
        </w:rPr>
      </w:pPr>
    </w:p>
    <w:p>
      <w:pPr>
        <w:ind w:left="300" w:hanging="299"/>
        <w:spacing w:after="0"/>
        <w:tabs>
          <w:tab w:leader="none" w:pos="3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party to any order, decree, or agreement that imposes any obligation or liability under any Privacy Law.</w:t>
      </w:r>
    </w:p>
    <w:p>
      <w:pPr>
        <w:spacing w:after="0" w:line="5"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firstLine="603"/>
        <w:spacing w:after="0" w:line="246" w:lineRule="auto"/>
        <w:rPr>
          <w:sz w:val="20"/>
          <w:szCs w:val="20"/>
          <w:color w:val="auto"/>
        </w:rPr>
      </w:pPr>
      <w:r>
        <w:rPr>
          <w:rFonts w:ascii="Times New Roman" w:cs="Times New Roman" w:eastAsia="Times New Roman" w:hAnsi="Times New Roman"/>
          <w:sz w:val="17"/>
          <w:szCs w:val="17"/>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82" w:name="page83"/>
    <w:bookmarkEnd w:id="82"/>
    <w:p>
      <w:pPr>
        <w:ind w:left="600"/>
        <w:spacing w:after="0"/>
        <w:rPr>
          <w:sz w:val="20"/>
          <w:szCs w:val="20"/>
          <w:color w:val="auto"/>
        </w:rPr>
      </w:pPr>
      <w:r>
        <w:rPr>
          <w:rFonts w:ascii="Times New Roman" w:cs="Times New Roman" w:eastAsia="Times New Roman" w:hAnsi="Times New Roman"/>
          <w:sz w:val="17"/>
          <w:szCs w:val="17"/>
          <w:color w:val="auto"/>
        </w:rPr>
        <w:t>7.           </w:t>
      </w:r>
      <w:r>
        <w:rPr>
          <w:rFonts w:ascii="Times New Roman" w:cs="Times New Roman" w:eastAsia="Times New Roman" w:hAnsi="Times New Roman"/>
          <w:sz w:val="17"/>
          <w:szCs w:val="17"/>
          <w:u w:val="single" w:color="auto"/>
          <w:color w:val="auto"/>
        </w:rPr>
        <w:t>  Covenants of the Company</w:t>
      </w:r>
      <w:r>
        <w:rPr>
          <w:rFonts w:ascii="Times New Roman" w:cs="Times New Roman" w:eastAsia="Times New Roman" w:hAnsi="Times New Roman"/>
          <w:sz w:val="17"/>
          <w:szCs w:val="17"/>
          <w:color w:val="auto"/>
        </w:rPr>
        <w:t>. The Company covenants and agrees with Agent that: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  Registration Statement Amendments</w:t>
      </w:r>
      <w:r>
        <w:rPr>
          <w:rFonts w:ascii="Times New Roman" w:cs="Times New Roman" w:eastAsia="Times New Roman" w:hAnsi="Times New Roman"/>
          <w:sz w:val="16"/>
          <w:szCs w:val="16"/>
          <w:color w:val="auto"/>
        </w:rPr>
        <w:t>. After the date of this Agreement and during any period in which a Prospectus relating to any Placement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is required to be delivered by the Agent under the Securities Act (including in circumstances where such requirement may be satisfied pursuant to Rule 172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rule), (i) the Company will notify the Agent promptly of the time when any subsequent amendment to the Registration Statement, other than documents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 has been filed with the Commission and/or has become effective or any subsequent supplement to the Prospectus has been filed and of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by the Commission for any amendment or supplement to the Registration Statement or Prospectus or for additional information, (ii) the Company will prepare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file with the Commission, promptly upon the Agent’s reasonable request, any amendments or supplements to the Registration Statement or Prospectus that,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Agent's reasonable opinion, may be necessary or advisable in connection with the distribution of the Placement Shares by the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failure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Agent to make such request shall not relieve the Company of any obligation or liability hereunder, or affect the Agent’s right to rely on the representations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warranties made by the Company in this Agreement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only remedy the Agent shall have with respect to the failure to make such filing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be to cease making sales under this Agreement until such amendment or supplement is filed); (iii) the Company will not file any amendment or supplement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Statement or Prospectus relating to the Placement Shares or a security convertible into the Placement Shares unless a copy thereof has been submitted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within a reasonable period of time before the filing and the Agent have not objected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failure of the Agent to make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objection shall not relieve the Company of any obligation or liability hereunder, or affect the Agent’s right to rely on the representations and warranties made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Company in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only remedy the Agent shall have with respect to the failure by the Company to obtain such consent shall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cease making sales under this Agreement) and the Company will furnish to the Agent at the time of filing thereof a copy of any document that upon filing is deemed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incorporated by reference into the Registration Statement or Prospectus, except for those documents available via EDGAR; and (iv) the Company will cause each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supplement to the Prospectus to be filed with the Commission as required pursuant to the applicable paragraph of Rule 424(b) or, in the case of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 to be incorporated therein by reference, to be filed with the Commission as required pursuant to the Exchange Act, within the time period prescribed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determination to file or not file any amendment or supplement with the Commission under this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based on the Company's reasonable opinion or reasonable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objections, shall be made exclusively by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Notice of Commission Stop Orders</w:t>
      </w:r>
      <w:r>
        <w:rPr>
          <w:rFonts w:ascii="Times New Roman" w:cs="Times New Roman" w:eastAsia="Times New Roman" w:hAnsi="Times New Roman"/>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3" w:name="page84"/>
    <w:bookmarkEnd w:id="83"/>
    <w:p>
      <w:pPr>
        <w:ind w:left="12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Delivery of Prospectus; Subsequent Changes</w:t>
      </w:r>
      <w:r>
        <w:rPr>
          <w:rFonts w:ascii="Times New Roman" w:cs="Times New Roman" w:eastAsia="Times New Roman" w:hAnsi="Times New Roman"/>
          <w:sz w:val="17"/>
          <w:szCs w:val="17"/>
          <w:color w:val="auto"/>
        </w:rPr>
        <w:t>. During any period in which a Prospectus relating to the Placement Shares is required to be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delivered by the Agent under the Securities Act with respect to the offer and sale of the Placement Shares, (including in circumstances where such requirement may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satisfied pursuant to Rule 172 or similar rule), the Company will comply with all requirements imposed upon it by the Securities Act, as from time to time in force,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file on or before their respective due dates all reports and any definitive proxy or information statements required to be filed by the Company with the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Sections 13(a), 13(c), 14, 15(d) or any other provision of or under the Exchange Act. If the Company has omitted any information from the Registration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pursuant to Rule 430B, it will use its best efforts to comply with the provisions of and make all requisite filings with the Commission pursuant to said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Rule 430B and to notify the Agent promptly of all such filings if not available on EDGAR. If during such period any event occurs as a result of which the Prospectus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then amended or supplemented would include an untrue statement of a material fact or omit to state a material fact necessary to make the statements therein,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light of the circumstances then existing, not misleading, or if during such period it is necessary to amend or supplement the Registration Statement or Prospectus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comply with the Securities Act, the Company will promptly notify the Agent to suspend the offering of Placement Shares during such period and the Company 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promptly amend or supplement the Registration Statement or Prospectus (at the expense of the Company) so as to correct such statement or omission or effect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compliance; provided, however, that the Company may delay any such amendment or supplement if, in the reasonable judgment of the Company, it is in the interests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Company to do so. Until such time as the Company shall have corrected such misstatement or omission or effected such compliance, the Company shall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notify the Agent to resume the offering of Placement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Listing of Placement Shares</w:t>
      </w:r>
      <w:r>
        <w:rPr>
          <w:rFonts w:ascii="Times New Roman" w:cs="Times New Roman" w:eastAsia="Times New Roman" w:hAnsi="Times New Roman"/>
          <w:sz w:val="17"/>
          <w:szCs w:val="17"/>
          <w:color w:val="auto"/>
        </w:rPr>
        <w:t>. Prior to the date of the first Placement Notice, the Company will use its reasonable best efforts to cause the Placement Shares to be listed on the Exchange and to qualify the Placement Shares for sale under the securities laws of such jurisdictions in the United States as the Agent reasonably designates and to continue such qualifications in effect so long as required for the distribution of the Placement Shares.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Delivery of Registration Statement and Prospectus</w:t>
      </w:r>
      <w:r>
        <w:rPr>
          <w:rFonts w:ascii="Times New Roman" w:cs="Times New Roman" w:eastAsia="Times New Roman" w:hAnsi="Times New Roman"/>
          <w:sz w:val="17"/>
          <w:szCs w:val="17"/>
          <w:color w:val="auto"/>
        </w:rPr>
        <w:t xml:space="preserve">.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be required to furnish any document (other than the Prospectus) to the Agent to the extent such document is available on EDGAR.</w:t>
      </w:r>
    </w:p>
    <w:p>
      <w:pPr>
        <w:spacing w:after="0" w:line="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4" w:name="page85"/>
    <w:bookmarkEnd w:id="84"/>
    <w:p>
      <w:pPr>
        <w:jc w:val="both"/>
        <w:ind w:firstLine="1206"/>
        <w:spacing w:after="0" w:line="251"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Earning Statement</w:t>
      </w:r>
      <w:r>
        <w:rPr>
          <w:rFonts w:ascii="Times New Roman" w:cs="Times New Roman" w:eastAsia="Times New Roman" w:hAnsi="Times New Roman"/>
          <w:sz w:val="17"/>
          <w:szCs w:val="17"/>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provided that the Company will be deemed to have furnished such statement to its security holders to the extent it is available on EDGAR.</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Use of Proceeds</w:t>
      </w:r>
      <w:r>
        <w:rPr>
          <w:rFonts w:ascii="Times New Roman" w:cs="Times New Roman" w:eastAsia="Times New Roman" w:hAnsi="Times New Roman"/>
          <w:sz w:val="17"/>
          <w:szCs w:val="17"/>
          <w:color w:val="auto"/>
        </w:rPr>
        <w:t>. The Company will use the Net Proceeds as described in the Prospectus in the section entitled "Use of Proceeds."</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(h)         </w:t>
      </w:r>
      <w:r>
        <w:rPr>
          <w:rFonts w:ascii="Times New Roman" w:cs="Times New Roman" w:eastAsia="Times New Roman" w:hAnsi="Times New Roman"/>
          <w:sz w:val="16"/>
          <w:szCs w:val="16"/>
          <w:u w:val="single" w:color="auto"/>
          <w:color w:val="auto"/>
        </w:rPr>
        <w:t>  Notice of Other Sales</w:t>
      </w:r>
      <w:r>
        <w:rPr>
          <w:rFonts w:ascii="Times New Roman" w:cs="Times New Roman" w:eastAsia="Times New Roman" w:hAnsi="Times New Roman"/>
          <w:sz w:val="16"/>
          <w:szCs w:val="16"/>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w:t>
      </w:r>
    </w:p>
    <w:p>
      <w:pPr>
        <w:spacing w:after="0" w:line="193" w:lineRule="auto"/>
        <w:rPr>
          <w:sz w:val="20"/>
          <w:szCs w:val="20"/>
          <w:color w:val="auto"/>
        </w:rPr>
      </w:pPr>
      <w:r>
        <w:rPr>
          <w:rFonts w:ascii="Times New Roman" w:cs="Times New Roman" w:eastAsia="Times New Roman" w:hAnsi="Times New Roman"/>
          <w:sz w:val="16"/>
          <w:szCs w:val="16"/>
          <w:color w:val="auto"/>
        </w:rPr>
        <w:t>into or exchangeable for Common Stock, warrants or any rights to purchase or acquire, Common Stock during the period beginning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Trading 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immediately prior to the date on which any Placement Notice is delivered to Agent hereunder and ending on the first (1st) Trading Day immediately following the final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Date with respect to Placement Shares sold pursuant to such Placement Notice (or, if the Placement Notice has been terminated or suspended prior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 of all Placement Shares covered by a Placement Notice, the date of such suspension or termination); and will not directly or indirectly in any other "at the market"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continuous equity transaction offer to sell, sell, contract to sell, grant any option to sell or otherwise dispose of any Common Stock (other than the Placement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offered pursuant to this Agreement) or securities convertible into or exchangeable for Common Stock, warrants or any rights to purchase or acquire,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prior to the termination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restrictions will not be required in connection with the Company's issuance or sale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Common Stock, options to purchase Common Stock or Common Stock issuable upon the exercise of options, including any Common Stock sold on behalf of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employee to cover tax withholding obligations, pursuant to any employee or director stock option or benefits plan, stock ownership plan or dividend reinvestment plan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(but not Common Stock subject to a waiver to exceed plan limits in its dividend reinvestment plan) of the Company whether now in effect or hereafter implemented,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Common Stock issuable upon conversion of securities or the exercise of warrants, options or other rights in effect or outstanding, and disclosed in filings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available on EDGAR or otherwise in writing to the Agent and (iii) Common Stock or securities convertible into or exchangeable for shares of Common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as consideration for mergers, acquisitions, other business combinations or research, collaboration, technology license, development, marketing or other similar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agreements or strategic partnerships or alliances occurring after the date of this Agreement which are not issued for capital raising purposes and conducted in a manner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 as not to be integrated with the offering of Common Stock hereunder.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Change of Circumstances</w:t>
      </w:r>
      <w:r>
        <w:rPr>
          <w:rFonts w:ascii="Times New Roman" w:cs="Times New Roman" w:eastAsia="Times New Roman" w:hAnsi="Times New Roman"/>
          <w:sz w:val="17"/>
          <w:szCs w:val="17"/>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5" w:name="page86"/>
    <w:bookmarkEnd w:id="85"/>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u w:val="single" w:color="auto"/>
          <w:color w:val="auto"/>
        </w:rPr>
        <w:t>Due Diligence Cooperation</w:t>
      </w:r>
      <w:r>
        <w:rPr>
          <w:rFonts w:ascii="Times New Roman" w:cs="Times New Roman" w:eastAsia="Times New Roman" w:hAnsi="Times New Roman"/>
          <w:sz w:val="17"/>
          <w:szCs w:val="17"/>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u w:val="single" w:color="auto"/>
          <w:color w:val="auto"/>
        </w:rPr>
        <w:t>Required Filings Relating to Placement of Placement Shares</w:t>
      </w:r>
      <w:r>
        <w:rPr>
          <w:rFonts w:ascii="Times New Roman" w:cs="Times New Roman" w:eastAsia="Times New Roman" w:hAnsi="Times New Roman"/>
          <w:sz w:val="17"/>
          <w:szCs w:val="17"/>
          <w:color w:val="auto"/>
        </w:rPr>
        <w:t>. The Company agrees that on such dates as the Securities Act shall require, with respect to the Placement Shares, the Company will (i) file a prospectus supplement with the Commission under the applicable paragraph of Rule 424(b) (each and every filing date under Rule 424(b), a "</w:t>
      </w:r>
      <w:r>
        <w:rPr>
          <w:rFonts w:ascii="Times New Roman" w:cs="Times New Roman" w:eastAsia="Times New Roman" w:hAnsi="Times New Roman"/>
          <w:sz w:val="17"/>
          <w:szCs w:val="17"/>
          <w:b w:val="1"/>
          <w:bCs w:val="1"/>
          <w:u w:val="single" w:color="auto"/>
          <w:color w:val="auto"/>
        </w:rPr>
        <w:t>Filing Date</w:t>
      </w:r>
      <w:r>
        <w:rPr>
          <w:rFonts w:ascii="Times New Roman" w:cs="Times New Roman" w:eastAsia="Times New Roman" w:hAnsi="Times New Roman"/>
          <w:sz w:val="17"/>
          <w:szCs w:val="17"/>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Representation Dates; Certificate</w:t>
      </w:r>
      <w:r>
        <w:rPr>
          <w:rFonts w:ascii="Times New Roman" w:cs="Times New Roman" w:eastAsia="Times New Roman" w:hAnsi="Times New Roman"/>
          <w:sz w:val="17"/>
          <w:szCs w:val="17"/>
          <w:color w:val="auto"/>
        </w:rPr>
        <w:t>. (1) On or prior to the date of the first Placement Notice and (2) each time the Company:</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left="600" w:firstLine="4"/>
        <w:spacing w:after="0" w:line="246" w:lineRule="auto"/>
        <w:tabs>
          <w:tab w:leader="none" w:pos="81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2"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5" w:lineRule="exact"/>
        <w:rPr>
          <w:rFonts w:ascii="Times New Roman" w:cs="Times New Roman" w:eastAsia="Times New Roman" w:hAnsi="Times New Roman"/>
          <w:sz w:val="17"/>
          <w:szCs w:val="17"/>
          <w:color w:val="auto"/>
        </w:rPr>
      </w:pPr>
    </w:p>
    <w:p>
      <w:pPr>
        <w:ind w:left="600" w:firstLine="4"/>
        <w:spacing w:after="0" w:line="246" w:lineRule="auto"/>
        <w:tabs>
          <w:tab w:leader="none" w:pos="86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an annual report on Form 10-K under the Exchange Act (including any Form 10-K/A containing amended financial information or involving a material amendment thereto) or a new registration statement related to the Placement Shares is filed and declared effective by the Commission;</w:t>
      </w:r>
    </w:p>
    <w:p>
      <w:pPr>
        <w:spacing w:after="0" w:line="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5" w:lineRule="exact"/>
        <w:rPr>
          <w:rFonts w:ascii="Times New Roman" w:cs="Times New Roman" w:eastAsia="Times New Roman" w:hAnsi="Times New Roman"/>
          <w:sz w:val="17"/>
          <w:szCs w:val="17"/>
          <w:color w:val="auto"/>
        </w:rPr>
      </w:pPr>
    </w:p>
    <w:p>
      <w:pPr>
        <w:ind w:left="900" w:hanging="296"/>
        <w:spacing w:after="0"/>
        <w:tabs>
          <w:tab w:leader="none" w:pos="9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its quarterly reports on Form 10-Q under the Exchange Act; or</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left="600" w:firstLine="4"/>
        <w:spacing w:after="0" w:line="246" w:lineRule="auto"/>
        <w:tabs>
          <w:tab w:leader="none" w:pos="88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7"/>
          <w:szCs w:val="17"/>
          <w:b w:val="1"/>
          <w:bCs w:val="1"/>
          <w:u w:val="single" w:color="auto"/>
          <w:color w:val="auto"/>
        </w:rPr>
        <w:t>Representation Date</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6" w:name="page87"/>
    <w:bookmarkEnd w:id="86"/>
    <w:p>
      <w:pPr>
        <w:spacing w:after="0" w:line="248" w:lineRule="auto"/>
        <w:rPr>
          <w:sz w:val="20"/>
          <w:szCs w:val="20"/>
          <w:color w:val="auto"/>
        </w:rPr>
      </w:pPr>
      <w:r>
        <w:rPr>
          <w:rFonts w:ascii="Times New Roman" w:cs="Times New Roman" w:eastAsia="Times New Roman" w:hAnsi="Times New Roman"/>
          <w:sz w:val="17"/>
          <w:szCs w:val="17"/>
          <w:color w:val="auto"/>
        </w:rPr>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shall be waived for any Representation Date occurring at a time a Suspension is in effect and/or at a time when no Placement Notice is pending,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the Company relied on such waiver and did not provide the Agent with a certificate under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then before the Company delivers a Placement Notice or the Agent sells any Placement Shares pursuant to such instructions, the Company shall provide the Agent with a certificate in conformity with this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dated as of the date that the instructions for the sale of Placement Shares are issued.  </w:t>
      </w:r>
    </w:p>
    <w:p>
      <w:pPr>
        <w:spacing w:after="0" w:line="7"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(m)        </w:t>
      </w:r>
      <w:r>
        <w:rPr>
          <w:rFonts w:ascii="Times New Roman" w:cs="Times New Roman" w:eastAsia="Times New Roman" w:hAnsi="Times New Roman"/>
          <w:sz w:val="16"/>
          <w:szCs w:val="16"/>
          <w:u w:val="single" w:color="auto"/>
          <w:color w:val="auto"/>
        </w:rPr>
        <w:t>  Legal Opinion</w:t>
      </w:r>
      <w:r>
        <w:rPr>
          <w:rFonts w:ascii="Times New Roman" w:cs="Times New Roman" w:eastAsia="Times New Roman" w:hAnsi="Times New Roman"/>
          <w:sz w:val="16"/>
          <w:szCs w:val="16"/>
          <w:color w:val="auto"/>
        </w:rPr>
        <w:t>. On or prior to the date of the first Placement Notice delivered hereunder, the Company shall cause to be furnished to the Agent a written opinion and negative assurance letter of Shumaker, Loop &amp; Kendrick LLP ("</w:t>
      </w:r>
      <w:r>
        <w:rPr>
          <w:rFonts w:ascii="Times New Roman" w:cs="Times New Roman" w:eastAsia="Times New Roman" w:hAnsi="Times New Roman"/>
          <w:sz w:val="16"/>
          <w:szCs w:val="16"/>
          <w:b w:val="1"/>
          <w:bCs w:val="1"/>
          <w:u w:val="single" w:color="auto"/>
          <w:color w:val="auto"/>
        </w:rPr>
        <w:t>Company Counsel</w:t>
      </w:r>
      <w:r>
        <w:rPr>
          <w:rFonts w:ascii="Times New Roman" w:cs="Times New Roman" w:eastAsia="Times New Roman" w:hAnsi="Times New Roman"/>
          <w:sz w:val="16"/>
          <w:szCs w:val="16"/>
          <w:color w:val="auto"/>
        </w:rPr>
        <w:t xml:space="preserve">"), or other counsel reasonably satisfactory to the Agent, in form and substance satisfactory to Agent and its counsel. Thereafter, (i) within five (5) Trading Days of each Representation Date with respect to which the Company is obligated to deliver a certificate pursuant to </w:t>
      </w:r>
      <w:r>
        <w:rPr>
          <w:rFonts w:ascii="Times New Roman" w:cs="Times New Roman" w:eastAsia="Times New Roman" w:hAnsi="Times New Roman"/>
          <w:sz w:val="16"/>
          <w:szCs w:val="16"/>
          <w:u w:val="single" w:color="auto"/>
          <w:color w:val="auto"/>
        </w:rPr>
        <w:t>Section 7(l)(ii)</w:t>
      </w:r>
      <w:r>
        <w:rPr>
          <w:rFonts w:ascii="Times New Roman" w:cs="Times New Roman" w:eastAsia="Times New Roman" w:hAnsi="Times New Roman"/>
          <w:sz w:val="16"/>
          <w:szCs w:val="16"/>
          <w:color w:val="auto"/>
        </w:rPr>
        <w:t xml:space="preserve"> for which no waiver is applicable, the Company shall cause to be furnished to the Agent an opinion and negative assurance letter of Company Counsel substantially similar to the form previously provided to the Agent and its counsel, modified, as necessary, to relate to the Registration Statement and the Prospectus as of the date thereof and (ii) within five (5) Trading Days of each Representation Date with respect to which the Company is obligated to deliver a certificate pursuant to </w:t>
      </w:r>
      <w:r>
        <w:rPr>
          <w:rFonts w:ascii="Times New Roman" w:cs="Times New Roman" w:eastAsia="Times New Roman" w:hAnsi="Times New Roman"/>
          <w:sz w:val="16"/>
          <w:szCs w:val="16"/>
          <w:u w:val="single" w:color="auto"/>
          <w:color w:val="auto"/>
        </w:rPr>
        <w:t>Section 7(l)(i), (iii) or (iv)</w:t>
      </w:r>
      <w:r>
        <w:rPr>
          <w:rFonts w:ascii="Times New Roman" w:cs="Times New Roman" w:eastAsia="Times New Roman" w:hAnsi="Times New Roman"/>
          <w:sz w:val="16"/>
          <w:szCs w:val="16"/>
          <w:color w:val="auto"/>
        </w:rPr>
        <w:t xml:space="preserve"> for which no waiver is applicable, the Company shall cause to be furnished to the Agent a negative assurance letter of Company Counsel substantially similar to the form previously provided to the Agent and its counsel, modified, as necessary, to relate to the Registration Statement and the Prospectus as of the date thereof, provided that the Company shall be required to furnish to the Agent no more than one opinion and/or negative assurance letter hereunder per calendar quarter;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in lieu of such opinions and/or negative assurance letters for subsequent periodic filings under the Exchange Act, counsel may furnish the Agent with a letter (a "</w:t>
      </w:r>
      <w:r>
        <w:rPr>
          <w:rFonts w:ascii="Times New Roman" w:cs="Times New Roman" w:eastAsia="Times New Roman" w:hAnsi="Times New Roman"/>
          <w:sz w:val="16"/>
          <w:szCs w:val="16"/>
          <w:b w:val="1"/>
          <w:bCs w:val="1"/>
          <w:u w:val="single" w:color="auto"/>
          <w:color w:val="auto"/>
        </w:rPr>
        <w:t>Reliance Letter</w:t>
      </w:r>
      <w:r>
        <w:rPr>
          <w:rFonts w:ascii="Times New Roman" w:cs="Times New Roman" w:eastAsia="Times New Roman" w:hAnsi="Times New Roman"/>
          <w:sz w:val="16"/>
          <w:szCs w:val="16"/>
          <w:color w:val="auto"/>
        </w:rPr>
        <w:t xml:space="preserve">") to the effect that the Agent may rely on a prior opinion and/or negative assurance letter delivered under this </w:t>
      </w:r>
      <w:r>
        <w:rPr>
          <w:rFonts w:ascii="Times New Roman" w:cs="Times New Roman" w:eastAsia="Times New Roman" w:hAnsi="Times New Roman"/>
          <w:sz w:val="16"/>
          <w:szCs w:val="16"/>
          <w:u w:val="single" w:color="auto"/>
          <w:color w:val="auto"/>
        </w:rPr>
        <w:t>Section 7(m)</w:t>
      </w:r>
      <w:r>
        <w:rPr>
          <w:rFonts w:ascii="Times New Roman" w:cs="Times New Roman" w:eastAsia="Times New Roman" w:hAnsi="Times New Roman"/>
          <w:sz w:val="16"/>
          <w:szCs w:val="16"/>
          <w:color w:val="auto"/>
        </w:rPr>
        <w:t xml:space="preserve"> to the same extent as if it were dated the date of such letter (except that statements in such prior opinion and/or negative assurance letter shall be deemed to relate to the Registration Statement and the Prospectus as amended or supplemented as of the date of the Reliance Letter).</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         </w:t>
      </w:r>
      <w:r>
        <w:rPr>
          <w:rFonts w:ascii="Times New Roman" w:cs="Times New Roman" w:eastAsia="Times New Roman" w:hAnsi="Times New Roman"/>
          <w:sz w:val="17"/>
          <w:szCs w:val="17"/>
          <w:u w:val="single" w:color="auto"/>
          <w:color w:val="auto"/>
        </w:rPr>
        <w:t>  Comfort Letter</w:t>
      </w:r>
      <w:r>
        <w:rPr>
          <w:rFonts w:ascii="Times New Roman" w:cs="Times New Roman" w:eastAsia="Times New Roman" w:hAnsi="Times New Roman"/>
          <w:sz w:val="17"/>
          <w:szCs w:val="17"/>
          <w:color w:val="auto"/>
        </w:rPr>
        <w:t>. (1) On or prior to the date of the first Placement Notice delivered hereunder and (2) within five (5) Trading Days of each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Representation Date with respect to which the Company is obligated to deliver a certificate pursuant to </w:t>
      </w:r>
      <w:r>
        <w:rPr>
          <w:rFonts w:ascii="Times New Roman" w:cs="Times New Roman" w:eastAsia="Times New Roman" w:hAnsi="Times New Roman"/>
          <w:sz w:val="16"/>
          <w:szCs w:val="16"/>
          <w:u w:val="single" w:color="auto"/>
          <w:color w:val="auto"/>
        </w:rPr>
        <w:t>Section 7(l)(ii)</w:t>
      </w:r>
      <w:r>
        <w:rPr>
          <w:rFonts w:ascii="Times New Roman" w:cs="Times New Roman" w:eastAsia="Times New Roman" w:hAnsi="Times New Roman"/>
          <w:sz w:val="16"/>
          <w:szCs w:val="16"/>
          <w:color w:val="auto"/>
        </w:rPr>
        <w:t xml:space="preserve"> for which no waiver is applicable,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cause its independent registered public accounting firm to furnish the Agent letters (the "</w:t>
      </w:r>
      <w:r>
        <w:rPr>
          <w:rFonts w:ascii="Times New Roman" w:cs="Times New Roman" w:eastAsia="Times New Roman" w:hAnsi="Times New Roman"/>
          <w:sz w:val="16"/>
          <w:szCs w:val="16"/>
          <w:b w:val="1"/>
          <w:bCs w:val="1"/>
          <w:u w:val="single" w:color="auto"/>
          <w:color w:val="auto"/>
        </w:rPr>
        <w:t>Comfort Letters</w:t>
      </w:r>
      <w:r>
        <w:rPr>
          <w:rFonts w:ascii="Times New Roman" w:cs="Times New Roman" w:eastAsia="Times New Roman" w:hAnsi="Times New Roman"/>
          <w:sz w:val="16"/>
          <w:szCs w:val="16"/>
          <w:color w:val="auto"/>
        </w:rPr>
        <w:t>"), dated the date the Comfort Letter is delivered, which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shall meet the requirements set forth in this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requested by the Agent, the Company shall cause a Comfort Letter to be furnished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 within ten (10) Trading Days of the date of occurrence of any material transaction or event, including the restatement of the Company's financial statements.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Comfort Letter from the Company's independent registered public accounting firm shall be in a form and substance satisfactory to the Agent, (i) confirming that they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an independent registered public accounting firm within the meaning of the Securities Act and the PCAOB, (ii) stating, as of such date, the conclusions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findings of such firm with respect to the financial information and other matters ordinarily covered by accountants' "comfort letters" to underwriters in connection 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public offerings (the first such letter, the "</w:t>
      </w:r>
      <w:r>
        <w:rPr>
          <w:rFonts w:ascii="Times New Roman" w:cs="Times New Roman" w:eastAsia="Times New Roman" w:hAnsi="Times New Roman"/>
          <w:sz w:val="16"/>
          <w:szCs w:val="16"/>
          <w:b w:val="1"/>
          <w:bCs w:val="1"/>
          <w:u w:val="single" w:color="auto"/>
          <w:color w:val="auto"/>
        </w:rPr>
        <w:t>Initial Comfort Letter</w:t>
      </w:r>
      <w:r>
        <w:rPr>
          <w:rFonts w:ascii="Times New Roman" w:cs="Times New Roman" w:eastAsia="Times New Roman" w:hAnsi="Times New Roman"/>
          <w:sz w:val="16"/>
          <w:szCs w:val="16"/>
          <w:color w:val="auto"/>
        </w:rPr>
        <w:t>") and (iii) updating the Initial Comfort Letter with any information that would have been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the Initial Comfort Letter had it been given on such date and modified as necessary to relate to the Registration Statement and the Prospectus, as amended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supplemented to the date of such letter.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7" w:name="page88"/>
    <w:bookmarkEnd w:id="87"/>
    <w:p>
      <w:pPr>
        <w:jc w:val="both"/>
        <w:ind w:firstLine="1206"/>
        <w:spacing w:after="0" w:line="251"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  Market Activities</w:t>
      </w:r>
      <w:r>
        <w:rPr>
          <w:rFonts w:ascii="Times New Roman" w:cs="Times New Roman" w:eastAsia="Times New Roman" w:hAnsi="Times New Roman"/>
          <w:sz w:val="17"/>
          <w:szCs w:val="17"/>
          <w:color w:val="auto"/>
        </w:rPr>
        <w:t>. The Company or any subsidiary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Investment Company Act</w:t>
      </w:r>
      <w:r>
        <w:rPr>
          <w:rFonts w:ascii="Times New Roman" w:cs="Times New Roman" w:eastAsia="Times New Roman" w:hAnsi="Times New Roman"/>
          <w:sz w:val="17"/>
          <w:szCs w:val="17"/>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(q)         </w:t>
      </w:r>
      <w:r>
        <w:rPr>
          <w:rFonts w:ascii="Times New Roman" w:cs="Times New Roman" w:eastAsia="Times New Roman" w:hAnsi="Times New Roman"/>
          <w:sz w:val="17"/>
          <w:szCs w:val="17"/>
          <w:u w:val="single" w:color="auto"/>
          <w:color w:val="auto"/>
        </w:rPr>
        <w:t>  No Offer to Sell</w:t>
      </w:r>
      <w:r>
        <w:rPr>
          <w:rFonts w:ascii="Times New Roman" w:cs="Times New Roman" w:eastAsia="Times New Roman" w:hAnsi="Times New Roman"/>
          <w:sz w:val="17"/>
          <w:szCs w:val="17"/>
          <w:color w:val="auto"/>
        </w:rPr>
        <w:t>. Other than an Issuer Free Writing Prospectus approved in advance by the Company and the Agent in its capacity as agents hereunder, neither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(r)          </w:t>
      </w:r>
      <w:r>
        <w:rPr>
          <w:rFonts w:ascii="Times New Roman" w:cs="Times New Roman" w:eastAsia="Times New Roman" w:hAnsi="Times New Roman"/>
          <w:sz w:val="16"/>
          <w:szCs w:val="16"/>
          <w:u w:val="single" w:color="auto"/>
          <w:color w:val="auto"/>
        </w:rPr>
        <w:t>  Blue Sky and Other Qualifications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will use its commercially reasonable efforts, in cooperation with the Agent, to qualify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Placement Shares for offering and sale, or to obtain an exemption for the Placement Shares to be offered and sold, under the applicable securities laws of such states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other jurisdictions (domestic or foreign) as the Agent may designate and to maintain such qualifications and exemptions in effect for so long as required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distribution of the Placement Shares (but in no event for less than one year from the date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shall not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obligated to file any general consent to service of process or to qualify as a foreign corporation or as a dealer in securities in any jurisdiction in which it is not so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qualified or to subject itself to taxation in respect of doing business in any jurisdiction in which it is not otherwise so subject. In each jurisdiction in which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Placement Shares have been so qualified or exempt, the Company will file such statements and reports as may be required by the laws of such jurisdiction to continue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qualification or exemption, as the case may be, in effect for so long as required for the distribution of the Placement Shares (but in no event for less than one year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date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8" w:name="page89"/>
    <w:bookmarkEnd w:id="88"/>
    <w:p>
      <w:pPr>
        <w:jc w:val="both"/>
        <w:ind w:firstLine="1206"/>
        <w:spacing w:after="0" w:line="248" w:lineRule="auto"/>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u w:val="single" w:color="auto"/>
          <w:color w:val="auto"/>
        </w:rPr>
        <w:t>  Sarbanes-Oxley Act</w:t>
      </w:r>
      <w:r>
        <w:rPr>
          <w:rFonts w:ascii="Times New Roman" w:cs="Times New Roman" w:eastAsia="Times New Roman" w:hAnsi="Times New Roman"/>
          <w:sz w:val="17"/>
          <w:szCs w:val="17"/>
          <w:color w:val="auto"/>
        </w:rPr>
        <w:t>. The Company and the Subsidiaries will use reasonable best efforts to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(t)          </w:t>
      </w:r>
      <w:r>
        <w:rPr>
          <w:rFonts w:ascii="Times New Roman" w:cs="Times New Roman" w:eastAsia="Times New Roman" w:hAnsi="Times New Roman"/>
          <w:sz w:val="17"/>
          <w:szCs w:val="17"/>
          <w:u w:val="single" w:color="auto"/>
          <w:color w:val="auto"/>
        </w:rPr>
        <w:t>  Secretary's Certificate; Further Documentation</w:t>
      </w:r>
      <w:r>
        <w:rPr>
          <w:rFonts w:ascii="Times New Roman" w:cs="Times New Roman" w:eastAsia="Times New Roman" w:hAnsi="Times New Roman"/>
          <w:sz w:val="17"/>
          <w:szCs w:val="17"/>
          <w:color w:val="auto"/>
        </w:rPr>
        <w:t>. Prior to the date of the first Placement Notice, the Company shall deliver to the Agent a certificate of the Secretary of the Company and attested to by an executive officer of the Company, dated as of such date, certifying as to (i) the charter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7"/>
          <w:szCs w:val="17"/>
          <w:color w:val="auto"/>
        </w:rPr>
        <w:t>8.           </w:t>
      </w:r>
      <w:r>
        <w:rPr>
          <w:rFonts w:ascii="Times New Roman" w:cs="Times New Roman" w:eastAsia="Times New Roman" w:hAnsi="Times New Roman"/>
          <w:sz w:val="17"/>
          <w:szCs w:val="17"/>
          <w:u w:val="single" w:color="auto"/>
          <w:color w:val="auto"/>
        </w:rPr>
        <w:t>  Payment of Expenses</w:t>
      </w:r>
      <w:r>
        <w:rPr>
          <w:rFonts w:ascii="Times New Roman" w:cs="Times New Roman" w:eastAsia="Times New Roman" w:hAnsi="Times New Roman"/>
          <w:sz w:val="17"/>
          <w:szCs w:val="17"/>
          <w:color w:val="auto"/>
        </w:rPr>
        <w:t>. The Company will pay all expenses incident to the performance of its obligations under this Agreement, including (i)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preparation and filing of the Registration Statement, including any fees required by the Commission, and the printing or electronic delivery of the Prospectus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originally filed and of each amendment and supplement thereto and each Free Writing Prospectus, in such number as the Agent shall deem necessary, (ii) the printing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delivery to the Agent of this Agreement and such other documents as may be required in connection with the offering, purchase, sale, issuance or delivery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Placement Shares, (iii) the preparation, issuance and delivery of the certificates, if any, for the Placement Shares to the Agent, including any stock or other transfer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and any capital duties, stamp duties or other duties or taxes payable upon the sale, issuance or delivery of the Placement Shares to the Agent, (iv) the fees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disbursements of the counsel, accountants and other advisors to the Company, (v) the fees and expenses of the Agent including but not limited to the fees and expenses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counsel to the Agent, payable within thirty (30) days of the execution of this Agreement, in an amount not to exceed $75,000 in connection with the execution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Agreement and an amount not to exceed $2,500 thereafter in connection with each Representation Date, (vi) the qualification or exemption of the Placement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under state securities laws in accordance with the provisions of </w:t>
      </w:r>
      <w:r>
        <w:rPr>
          <w:rFonts w:ascii="Times New Roman" w:cs="Times New Roman" w:eastAsia="Times New Roman" w:hAnsi="Times New Roman"/>
          <w:sz w:val="17"/>
          <w:szCs w:val="17"/>
          <w:u w:val="single" w:color="auto"/>
          <w:color w:val="auto"/>
        </w:rPr>
        <w:t>Section 7(r)</w:t>
      </w:r>
      <w:r>
        <w:rPr>
          <w:rFonts w:ascii="Times New Roman" w:cs="Times New Roman" w:eastAsia="Times New Roman" w:hAnsi="Times New Roman"/>
          <w:sz w:val="17"/>
          <w:szCs w:val="17"/>
          <w:color w:val="auto"/>
        </w:rPr>
        <w:t xml:space="preserve"> hereof, including filing fees, but excluding fees of the Agent’s counsel, (vii) the printing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delivery to the Agent of copies of any Issuer Free Writing Prospectus and the Prospectus and any amendments or supplements thereto in such number as the Agent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deem necessary, (viii) the preparation, printing and delivery to the Agent of copies of the blue sky survey, (ix) the fees and expenses of the transfer agent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registrar for the Common Stock, (x) the filing and other fees incident to any review by FINRA of the terms of the sale of the Placement Shares including the fees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Agent's counsel (subject to the cap, set forth in clause (v) above), and (xi) the fees and expenses incurred in connection with the listing of the Placement Shares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Conditions to Agent’s Obligations</w:t>
      </w:r>
      <w:r>
        <w:rPr>
          <w:rFonts w:ascii="Times New Roman" w:cs="Times New Roman" w:eastAsia="Times New Roman" w:hAnsi="Times New Roman"/>
          <w:sz w:val="17"/>
          <w:szCs w:val="17"/>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them in its reasonable judgment, and to the continuing satisfaction (or waiver by the Agent in its sole discretion) of the following additional conditions:</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Registration Statement Effective</w:t>
      </w:r>
      <w:r>
        <w:rPr>
          <w:rFonts w:ascii="Times New Roman" w:cs="Times New Roman" w:eastAsia="Times New Roman" w:hAnsi="Times New Roman"/>
          <w:sz w:val="17"/>
          <w:szCs w:val="17"/>
          <w:color w:val="auto"/>
        </w:rPr>
        <w:t>. The Registration Statement shall have become and is effective and shall be available for the sale of all Placement Shares contemplated to be issued by any Placement Notice.</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 Material Notices</w:t>
      </w:r>
      <w:r>
        <w:rPr>
          <w:rFonts w:ascii="Times New Roman" w:cs="Times New Roman" w:eastAsia="Times New Roman" w:hAnsi="Times New Roman"/>
          <w:sz w:val="17"/>
          <w:szCs w:val="17"/>
          <w:color w:val="auto"/>
        </w:rPr>
        <w:t>. None of the following events shall have occurred and be continuing: (i) receipt by the Company of any request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from the Commission or any other federal or state Governmental Authority during the period of effectiveness of the Registration Statement,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response to which would require any post-effective amendments or supplements to the Registration Statement or the Prospectus; (ii) the issuance by the Commission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other federal or state Governmental Authority of any stop order suspending the effectiveness of the Registration Statement or the initiation of any proceedings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purpose; (iii) receipt by the Company of any notification with respect to the suspension of the qualification or exemption from qualification of any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Placement Shares for sale in any jurisdiction or the initiation or threatening of any proceeding for such purpose; or (iv) the occurrence of any event that makes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of a material fact made in the Registration Statement or the Prospectus or any document incorporated or deemed to be incorporated therein by reference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untrue or that requires the making of any changes in the Registration Statement, the Prospectus or documents incorporated or deemed to be incorporated therein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 so that, in the case of the Registration Statement, it will not contain an untrue statement of any material fact or omit to state any material fact required to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stated therein or necessary to make the statements therein not misleading and, that in the case of the Prospectus, it will not contain an untrue statement of a material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 or omit to state any material fact required to be stated therein or necessary to make the statements therein, in the light of the circumstances under which they were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not misleading.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0" w:name="page91"/>
    <w:bookmarkEnd w:id="90"/>
    <w:p>
      <w:pPr>
        <w:jc w:val="both"/>
        <w:ind w:firstLine="1206"/>
        <w:spacing w:after="0" w:line="269" w:lineRule="auto"/>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u w:val="single" w:color="auto"/>
          <w:color w:val="auto"/>
        </w:rPr>
        <w:t>  No Misstatement or Material Omission</w:t>
      </w:r>
      <w:r>
        <w:rPr>
          <w:rFonts w:ascii="Times New Roman" w:cs="Times New Roman" w:eastAsia="Times New Roman" w:hAnsi="Times New Roman"/>
          <w:sz w:val="16"/>
          <w:szCs w:val="16"/>
          <w:color w:val="auto"/>
        </w:rPr>
        <w:t>. The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Material Changes</w:t>
      </w:r>
      <w:r>
        <w:rPr>
          <w:rFonts w:ascii="Times New Roman" w:cs="Times New Roman" w:eastAsia="Times New Roman" w:hAnsi="Times New Roman"/>
          <w:sz w:val="17"/>
          <w:szCs w:val="17"/>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or a public announcement by any nationally recognized statistical rating organization that it has under surveillance or review its rating of any of the Company's securities (other than asset backed securities), the effect of which, in the case of any such action by a nationally recognized statistical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Legal Opinions</w:t>
      </w:r>
      <w:r>
        <w:rPr>
          <w:rFonts w:ascii="Times New Roman" w:cs="Times New Roman" w:eastAsia="Times New Roman" w:hAnsi="Times New Roman"/>
          <w:sz w:val="17"/>
          <w:szCs w:val="17"/>
          <w:color w:val="auto"/>
        </w:rPr>
        <w:t xml:space="preserve">. The Agent shall have received the opinions and negative assurance letter of Company Counsel required to be delivered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on or before the date on which such delivery of such opinions is required pursuant to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Comfort Letter</w:t>
      </w:r>
      <w:r>
        <w:rPr>
          <w:rFonts w:ascii="Times New Roman" w:cs="Times New Roman" w:eastAsia="Times New Roman" w:hAnsi="Times New Roman"/>
          <w:sz w:val="17"/>
          <w:szCs w:val="17"/>
          <w:color w:val="auto"/>
        </w:rPr>
        <w:t xml:space="preserve">. The Agent shall have received the Comfort Letter required to be delivered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xml:space="preserve"> on or before the date on which such delivery of such Comfort Letter is required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Representation Certificate</w:t>
      </w:r>
      <w:r>
        <w:rPr>
          <w:rFonts w:ascii="Times New Roman" w:cs="Times New Roman" w:eastAsia="Times New Roman" w:hAnsi="Times New Roman"/>
          <w:sz w:val="17"/>
          <w:szCs w:val="17"/>
          <w:color w:val="auto"/>
        </w:rPr>
        <w:t xml:space="preserve">. The Agent shall have received the certificate required to be delivered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on or before the date on which delivery of such certificate is required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No Suspension</w:t>
      </w:r>
      <w:r>
        <w:rPr>
          <w:rFonts w:ascii="Times New Roman" w:cs="Times New Roman" w:eastAsia="Times New Roman" w:hAnsi="Times New Roman"/>
          <w:sz w:val="17"/>
          <w:szCs w:val="17"/>
          <w:color w:val="auto"/>
        </w:rPr>
        <w:t>. Trading in the Common Stock shall not have been suspended on the Exchange and the Common Stock shall not have been delisted from the Exchange.</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1" w:name="page92"/>
    <w:bookmarkEnd w:id="91"/>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Other Materials</w:t>
      </w:r>
      <w:r>
        <w:rPr>
          <w:rFonts w:ascii="Times New Roman" w:cs="Times New Roman" w:eastAsia="Times New Roman" w:hAnsi="Times New Roman"/>
          <w:sz w:val="17"/>
          <w:szCs w:val="17"/>
          <w:color w:val="auto"/>
        </w:rPr>
        <w:t xml:space="preserve">. On each date on which the Company is required to deliver a certificate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Securities Act Filings Made</w:t>
      </w:r>
      <w:r>
        <w:rPr>
          <w:rFonts w:ascii="Times New Roman" w:cs="Times New Roman" w:eastAsia="Times New Roman" w:hAnsi="Times New Roman"/>
          <w:sz w:val="17"/>
          <w:szCs w:val="17"/>
          <w:color w:val="auto"/>
        </w:rPr>
        <w:t>. All filings with the Commission required by Rule 424 to have been filed prior to the issuance of any Placement Notice hereunder shall have been made within the applicable time period prescribed for such filing by Rule 424.</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Approval for Listing</w:t>
      </w:r>
      <w:r>
        <w:rPr>
          <w:rFonts w:ascii="Times New Roman" w:cs="Times New Roman" w:eastAsia="Times New Roman" w:hAnsi="Times New Roman"/>
          <w:sz w:val="17"/>
          <w:szCs w:val="17"/>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  FINRA</w:t>
      </w:r>
      <w:r>
        <w:rPr>
          <w:rFonts w:ascii="Times New Roman" w:cs="Times New Roman" w:eastAsia="Times New Roman" w:hAnsi="Times New Roman"/>
          <w:sz w:val="17"/>
          <w:szCs w:val="17"/>
          <w:color w:val="auto"/>
        </w:rPr>
        <w:t>. If applicable, FINRA shall have raised no objection to the terms of this offering and the amount of compensation allowable or payable to the Agent as described in the Prospectus.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         </w:t>
      </w:r>
      <w:r>
        <w:rPr>
          <w:rFonts w:ascii="Times New Roman" w:cs="Times New Roman" w:eastAsia="Times New Roman" w:hAnsi="Times New Roman"/>
          <w:sz w:val="17"/>
          <w:szCs w:val="17"/>
          <w:u w:val="single" w:color="auto"/>
          <w:color w:val="auto"/>
        </w:rPr>
        <w:t>  No Termination Event</w:t>
      </w:r>
      <w:r>
        <w:rPr>
          <w:rFonts w:ascii="Times New Roman" w:cs="Times New Roman" w:eastAsia="Times New Roman" w:hAnsi="Times New Roman"/>
          <w:sz w:val="17"/>
          <w:szCs w:val="17"/>
          <w:color w:val="auto"/>
        </w:rPr>
        <w:t>. There shall not have occurred any event that would permit the Agent to terminate this Agreement pursuant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10.         </w:t>
      </w:r>
      <w:r>
        <w:rPr>
          <w:rFonts w:ascii="Times New Roman" w:cs="Times New Roman" w:eastAsia="Times New Roman" w:hAnsi="Times New Roman"/>
          <w:sz w:val="17"/>
          <w:szCs w:val="17"/>
          <w:u w:val="single" w:color="auto"/>
          <w:color w:val="auto"/>
        </w:rPr>
        <w:t>  Indemnification and Contribution</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Company Indemnification</w:t>
      </w:r>
      <w:r>
        <w:rPr>
          <w:rFonts w:ascii="Times New Roman" w:cs="Times New Roman" w:eastAsia="Times New Roman" w:hAnsi="Times New Roman"/>
          <w:sz w:val="17"/>
          <w:szCs w:val="17"/>
          <w:color w:val="auto"/>
        </w:rPr>
        <w:t>. The Company agrees to indemnify and hold harmless the Agent, its affiliates and its partners, members, directors, officers, employees and agents and each person, if any, who controls the Agent or any affiliate within the meaning of Section 15 of the Securities Act or Section 20 of the Exchange Act as follows:</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809"/>
        <w:spacing w:after="0" w:line="246" w:lineRule="auto"/>
        <w:rPr>
          <w:sz w:val="20"/>
          <w:szCs w:val="20"/>
          <w:color w:val="auto"/>
        </w:rPr>
      </w:pPr>
      <w:r>
        <w:rPr>
          <w:rFonts w:ascii="Times New Roman" w:cs="Times New Roman" w:eastAsia="Times New Roman" w:hAnsi="Times New Roman"/>
          <w:sz w:val="17"/>
          <w:szCs w:val="17"/>
          <w:color w:val="auto"/>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809"/>
        <w:spacing w:after="0" w:line="246" w:lineRule="auto"/>
        <w:rPr>
          <w:sz w:val="20"/>
          <w:szCs w:val="20"/>
          <w:color w:val="auto"/>
        </w:rPr>
      </w:pPr>
      <w:r>
        <w:rPr>
          <w:rFonts w:ascii="Times New Roman" w:cs="Times New Roman" w:eastAsia="Times New Roman" w:hAnsi="Times New Roman"/>
          <w:sz w:val="17"/>
          <w:szCs w:val="17"/>
          <w:color w:val="auto"/>
        </w:rPr>
        <w:t xml:space="preserve">(ii)             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10(d)</w:t>
      </w:r>
      <w:r>
        <w:rPr>
          <w:rFonts w:ascii="Times New Roman" w:cs="Times New Roman" w:eastAsia="Times New Roman" w:hAnsi="Times New Roman"/>
          <w:sz w:val="17"/>
          <w:szCs w:val="17"/>
          <w:color w:val="auto"/>
        </w:rPr>
        <w:t xml:space="preserve"> below) any such settlement is effected with the written consent of the Company, which consent shall not unreasonably be delayed or withheld; and</w:t>
      </w:r>
    </w:p>
    <w:p>
      <w:pPr>
        <w:spacing w:after="0" w:line="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2" w:name="page93"/>
    <w:bookmarkEnd w:id="92"/>
    <w:p>
      <w:pPr>
        <w:ind w:left="1820"/>
        <w:spacing w:after="0"/>
        <w:rPr>
          <w:sz w:val="20"/>
          <w:szCs w:val="20"/>
          <w:color w:val="auto"/>
        </w:rPr>
      </w:pPr>
      <w:r>
        <w:rPr>
          <w:rFonts w:ascii="Times New Roman" w:cs="Times New Roman" w:eastAsia="Times New Roman" w:hAnsi="Times New Roman"/>
          <w:sz w:val="16"/>
          <w:szCs w:val="16"/>
          <w:color w:val="auto"/>
        </w:rPr>
        <w:t>(iii)            against any and all expense whatsoever, as incurred (including the reasonable and documented fees and disbursements of counsel),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reasonably incurred in investigating, preparing or defending against any litigation, or any investigation or proceeding by any Governmental Authority, commenced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threatened, or any claim whatsoever based upon any such untrue statement or omission, or any such alleged untrue statement or omission (whether or not a party),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extent that any such expense is not paid under (i) or (ii) above,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this indemnity agreement shall not apply to any loss, liability, claim, damage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expense to the extent arising out of any untrue statement or omission or alleged untrue statement or omission made solely in reliance upon and in conformity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Agent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Agent Indemnification</w:t>
      </w:r>
      <w:r>
        <w:rPr>
          <w:rFonts w:ascii="Times New Roman" w:cs="Times New Roman" w:eastAsia="Times New Roman" w:hAnsi="Times New Roman"/>
          <w:sz w:val="17"/>
          <w:szCs w:val="17"/>
          <w:color w:val="auto"/>
        </w:rPr>
        <w:t xml:space="preserve">. The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7"/>
          <w:szCs w:val="17"/>
          <w:b w:val="1"/>
          <w:bCs w:val="1"/>
          <w:u w:val="single" w:color="auto"/>
          <w:color w:val="auto"/>
        </w:rPr>
        <w:t>Agent Information</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u w:val="single" w:color="auto"/>
          <w:color w:val="auto"/>
        </w:rPr>
        <w:t>  Procedure</w:t>
      </w:r>
      <w:r>
        <w:rPr>
          <w:rFonts w:ascii="Times New Roman" w:cs="Times New Roman" w:eastAsia="Times New Roman" w:hAnsi="Times New Roman"/>
          <w:sz w:val="16"/>
          <w:szCs w:val="16"/>
          <w:color w:val="auto"/>
        </w:rPr>
        <w:t xml:space="preserve">. Any party that proposes to assert the right to be indemnified under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and (ii) any liability that it may have to any indemnified party under the foregoing provisions of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(which consent shall not be unreasonably withheld or delayed),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3" w:name="page94"/>
    <w:bookmarkEnd w:id="93"/>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Settlement Without Consent if Failure to Reimburse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7"/>
          <w:szCs w:val="17"/>
          <w:u w:val="single" w:color="auto"/>
          <w:color w:val="auto"/>
        </w:rPr>
        <w:t>Section 10(a)(ii)</w:t>
      </w:r>
      <w:r>
        <w:rPr>
          <w:rFonts w:ascii="Times New Roman" w:cs="Times New Roman" w:eastAsia="Times New Roman" w:hAnsi="Times New Roman"/>
          <w:sz w:val="17"/>
          <w:szCs w:val="17"/>
          <w:color w:val="auto"/>
        </w:rPr>
        <w:t xml:space="preserve"> effected without its written consent if (1) such settlement is entered into more than 45 days after receipt by such indemnifying party of the aforesaid request and (2) such indemnifying party shall not have reimbursed such indemnified party in accordance with such request prior to the date of such settlement.</w:t>
      </w: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Contribution</w:t>
      </w:r>
      <w:r>
        <w:rPr>
          <w:rFonts w:ascii="Times New Roman" w:cs="Times New Roman" w:eastAsia="Times New Roman" w:hAnsi="Times New Roman"/>
          <w:sz w:val="17"/>
          <w:szCs w:val="17"/>
          <w:color w:val="auto"/>
        </w:rPr>
        <w:t>. In order to provide for just and equitable contribution in circumstances in which the indemnification provided for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foregoing paragraphs of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is applicable in accordance with its terms but for any reason is held to be unavailable or insufficient from the Company or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the Company and the Agent will contribute to the total losses, claims, liabilities, expenses and damages (including any investigative, legal and other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reasonably incurred in connection with, and any amount paid in settlement of, any action, suit or proceeding or any claim asserted) to which the Company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may be subject in such proportion as shall be appropriate to reflect the relative benefits received by the Company on the one hand and the Agent on the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hand. The relative benefits received by the Company on the one hand and the Agent on the other hand shall be deemed to be in the same proportion as the total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from the sale of the Placement Shares (before deducting expenses) received by the Company bear to the total compensation received by the Agent from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 of Placement Shares on behalf of the Company, provided that in no case shall the Agent be responsible for any amounts in excess of the fee applicable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Placement Shares and paid hereunder. If, but only if, the allocation provided by the foregoing sentence is not permitted by applicable law, the allocation of contribution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made in such proportion as is appropriate to reflect not only the relative benefits referred to in the foregoing sentence but also the relative fault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on the one hand, and the Agent, on the other hand, with respect to the statements or omission that resulted in such loss, claim, liability, expense or damage,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action in respect thereof, as well as any other relevant equitable considerations with respect to such offering. Such relative fault shall be determined by reference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among other things, whether the untrue or alleged untrue statement of a material fact or omission or alleged omission to state a material fact relates to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supplied by the Company or the Agent, the intent of the parties and their relative knowledge, access to information and opportunity to correct or prevent such statement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or omission. The Company and the Agent agree that it would not be just and equitable if contributions pursuant to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xml:space="preserve"> were to be determined by pro rata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allocation or by any other method of allocation that does not take into account the equitable considerations referred to herein. The amount paid or payable by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indemnified party as a result of the loss, claim, liability, expense, or damage, or action in respect thereof, referred to above in this </w:t>
      </w:r>
      <w:r>
        <w:rPr>
          <w:rFonts w:ascii="Times New Roman" w:cs="Times New Roman" w:eastAsia="Times New Roman" w:hAnsi="Times New Roman"/>
          <w:sz w:val="17"/>
          <w:szCs w:val="17"/>
          <w:u w:val="single" w:color="auto"/>
          <w:color w:val="auto"/>
        </w:rPr>
        <w:t>Section 10(e)</w:t>
      </w:r>
      <w:r>
        <w:rPr>
          <w:rFonts w:ascii="Times New Roman" w:cs="Times New Roman" w:eastAsia="Times New Roman" w:hAnsi="Times New Roman"/>
          <w:sz w:val="17"/>
          <w:szCs w:val="17"/>
          <w:color w:val="auto"/>
        </w:rPr>
        <w:t xml:space="preserve"> shall be deemed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include, for the purpose of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any legal or other expenses reasonably incurred by such indemnified party in connection with investigating or defending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any such action or claim to the extent consistent with </w:t>
      </w:r>
      <w:r>
        <w:rPr>
          <w:rFonts w:ascii="Times New Roman" w:cs="Times New Roman" w:eastAsia="Times New Roman" w:hAnsi="Times New Roman"/>
          <w:sz w:val="16"/>
          <w:szCs w:val="16"/>
          <w:u w:val="single" w:color="auto"/>
          <w:color w:val="auto"/>
        </w:rPr>
        <w:t>Section 10(c)</w:t>
      </w:r>
      <w:r>
        <w:rPr>
          <w:rFonts w:ascii="Times New Roman" w:cs="Times New Roman" w:eastAsia="Times New Roman" w:hAnsi="Times New Roman"/>
          <w:sz w:val="16"/>
          <w:szCs w:val="16"/>
          <w:color w:val="auto"/>
        </w:rPr>
        <w:t xml:space="preserve"> hereof. Notwithstanding the foregoing provisions of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no Agent shall be required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contribute any amount in excess of the commissions received by the Agent under this Agreement and no person found guilty of fraudulent misrepresentation (within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meaning of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of the Securities Act) will be entitled to contribution from any person who was not guilty of such fraudulent misrepresentation.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purposes of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any person who controls a party to this Agreement within the meaning of the Securities Act, any affiliates of the Agent and any officers,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partners, employees or agents of the Agent or any of its affiliates, will have the same rights to contribution as that party, and each director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officer of the Company who signed the Registration Statement will have the same rights to contribution as the Company, subject in each case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provisions hereof. Any party entitled to contribution, promptly after receipt of notice of commencement of any action against such party in respect of which a claim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contribution may be made under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will notify any such party or parties from whom contribution may be sought, but the omission to so notify will not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relieve that party or parties from whom contribution may be sought from any other obligation it or they may have under this </w:t>
      </w:r>
      <w:r>
        <w:rPr>
          <w:rFonts w:ascii="Times New Roman" w:cs="Times New Roman" w:eastAsia="Times New Roman" w:hAnsi="Times New Roman"/>
          <w:sz w:val="16"/>
          <w:szCs w:val="16"/>
          <w:u w:val="single" w:color="auto"/>
          <w:color w:val="auto"/>
        </w:rPr>
        <w:t>Section 10(e)</w:t>
      </w:r>
      <w:r>
        <w:rPr>
          <w:rFonts w:ascii="Times New Roman" w:cs="Times New Roman" w:eastAsia="Times New Roman" w:hAnsi="Times New Roman"/>
          <w:sz w:val="16"/>
          <w:szCs w:val="16"/>
          <w:color w:val="auto"/>
        </w:rPr>
        <w:t xml:space="preserve"> except to the extent that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failure to so notify such other party materially prejudiced the substantive rights or defenses of the party from whom contribution is sought. Except for a settlement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entered into pursuant to the last sentence of </w:t>
      </w:r>
      <w:r>
        <w:rPr>
          <w:rFonts w:ascii="Times New Roman" w:cs="Times New Roman" w:eastAsia="Times New Roman" w:hAnsi="Times New Roman"/>
          <w:sz w:val="16"/>
          <w:szCs w:val="16"/>
          <w:u w:val="single" w:color="auto"/>
          <w:color w:val="auto"/>
        </w:rPr>
        <w:t>Section 10(c)</w:t>
      </w:r>
      <w:r>
        <w:rPr>
          <w:rFonts w:ascii="Times New Roman" w:cs="Times New Roman" w:eastAsia="Times New Roman" w:hAnsi="Times New Roman"/>
          <w:sz w:val="16"/>
          <w:szCs w:val="16"/>
          <w:color w:val="auto"/>
        </w:rPr>
        <w:t xml:space="preserve"> hereof, no party will be liable for contribution with respect to any action or claim settled without its written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consent if such consent is required pursuant to </w:t>
      </w:r>
      <w:r>
        <w:rPr>
          <w:rFonts w:ascii="Times New Roman" w:cs="Times New Roman" w:eastAsia="Times New Roman" w:hAnsi="Times New Roman"/>
          <w:sz w:val="17"/>
          <w:szCs w:val="17"/>
          <w:u w:val="single" w:color="auto"/>
          <w:color w:val="auto"/>
        </w:rPr>
        <w:t>Section 10(c)</w:t>
      </w:r>
      <w:r>
        <w:rPr>
          <w:rFonts w:ascii="Times New Roman" w:cs="Times New Roman" w:eastAsia="Times New Roman" w:hAnsi="Times New Roman"/>
          <w:sz w:val="17"/>
          <w:szCs w:val="17"/>
          <w:color w:val="auto"/>
        </w:rPr>
        <w:t xml:space="preserve"> 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94" w:name="page95"/>
    <w:bookmarkEnd w:id="94"/>
    <w:p>
      <w:pPr>
        <w:ind w:firstLine="603"/>
        <w:spacing w:after="0" w:line="254"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Representations and Agreements to Survive Delivery</w:t>
      </w:r>
      <w:r>
        <w:rPr>
          <w:rFonts w:ascii="Times New Roman" w:cs="Times New Roman" w:eastAsia="Times New Roman" w:hAnsi="Times New Roman"/>
          <w:sz w:val="17"/>
          <w:szCs w:val="17"/>
          <w:color w:val="auto"/>
        </w:rPr>
        <w:t xml:space="preserve">. The indemnity and contribution agreements contained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its officers, directors, employees or controlling persons), (ii) delivery and acceptance of the Placement Shares and payment therefor or (iii) any termination of this Agreement.  </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 xml:space="preserve">(a)            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(Payment of Expenses),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(Indemnification and Contribution),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(Representations and Agreements to Survive Delivery),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(Governing Law and Time; Waiver of Jury Trial) and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the Agent shall provide the required notice as specified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(Notices).</w:t>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5" w:name="page96"/>
    <w:bookmarkEnd w:id="95"/>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 xml:space="preserve">(c)            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 xml:space="preserve">(d)           This Agreement shall remain in full force and effect unless terminated pursuant to </w:t>
      </w:r>
      <w:r>
        <w:rPr>
          <w:rFonts w:ascii="Times New Roman" w:cs="Times New Roman" w:eastAsia="Times New Roman" w:hAnsi="Times New Roman"/>
          <w:sz w:val="17"/>
          <w:szCs w:val="17"/>
          <w:u w:val="single" w:color="auto"/>
          <w:color w:val="auto"/>
        </w:rPr>
        <w:t>Sections 12(a)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or otherwise by mutual agreement of the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any such termination by mutual agreement shall in all cases be deemed to provide that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shall remain in full force and effect.</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62" w:lineRule="auto"/>
        <w:rPr>
          <w:sz w:val="20"/>
          <w:szCs w:val="20"/>
          <w:color w:val="auto"/>
        </w:rPr>
      </w:pPr>
      <w:r>
        <w:rPr>
          <w:rFonts w:ascii="Times New Roman" w:cs="Times New Roman" w:eastAsia="Times New Roman" w:hAnsi="Times New Roman"/>
          <w:sz w:val="16"/>
          <w:szCs w:val="16"/>
          <w:color w:val="auto"/>
        </w:rPr>
        <w:t xml:space="preserve">(e)            Any termination of this Agreement shall be effective on the date specified in such notice of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430 Park Avenue</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Email: notices@hcwco.com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Ellenoff Grossman &amp; Schole LLP</w:t>
      </w:r>
    </w:p>
    <w:p>
      <w:pPr>
        <w:ind w:left="1200"/>
        <w:spacing w:after="0" w:line="190" w:lineRule="auto"/>
        <w:rPr>
          <w:sz w:val="20"/>
          <w:szCs w:val="20"/>
          <w:color w:val="auto"/>
        </w:rPr>
      </w:pPr>
      <w:r>
        <w:rPr>
          <w:rFonts w:ascii="Times New Roman" w:cs="Times New Roman" w:eastAsia="Times New Roman" w:hAnsi="Times New Roman"/>
          <w:sz w:val="17"/>
          <w:szCs w:val="17"/>
          <w:color w:val="auto"/>
        </w:rPr>
        <w:t>1345 Avenue of the Americas,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xml:space="preserve"> Floor</w:t>
      </w:r>
    </w:p>
    <w:p>
      <w:pPr>
        <w:ind w:left="1200"/>
        <w:spacing w:after="0"/>
        <w:rPr>
          <w:sz w:val="20"/>
          <w:szCs w:val="20"/>
          <w:color w:val="auto"/>
        </w:rPr>
      </w:pPr>
      <w:r>
        <w:rPr>
          <w:rFonts w:ascii="Times New Roman" w:cs="Times New Roman" w:eastAsia="Times New Roman" w:hAnsi="Times New Roman"/>
          <w:sz w:val="17"/>
          <w:szCs w:val="17"/>
          <w:color w:val="auto"/>
        </w:rPr>
        <w:t>New York, NY 10105</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John J. Hart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Email: capmkts@egsllp.com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if to the Company, shall be delivered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Marker Therapeutics, Inc.</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2450 Holcombe Blvd., Suite BCM-A, MS: BCM251</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Houston, TX 77027</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Juan Vera, President and Chief Executive Officer</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jvera@markertherapeutics.com</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Shumaker, Loop &amp; Kendrick, LLP</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101 E. Kennedy Boulevard, Suite 2800</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Tampa, FL 33602</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Julio Esquivel</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Email: jesquivel@shumaker.com</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or e-mail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Exchange and commercial banks in the City of New York are open for business.</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6"/>
          <w:szCs w:val="16"/>
          <w:color w:val="auto"/>
        </w:rPr>
        <w:t>An electronic communication ("</w:t>
      </w:r>
      <w:r>
        <w:rPr>
          <w:rFonts w:ascii="Times New Roman" w:cs="Times New Roman" w:eastAsia="Times New Roman" w:hAnsi="Times New Roman"/>
          <w:sz w:val="16"/>
          <w:szCs w:val="16"/>
          <w:b w:val="1"/>
          <w:bCs w:val="1"/>
          <w:u w:val="single" w:color="auto"/>
          <w:color w:val="auto"/>
        </w:rPr>
        <w:t>Electronic Notice</w:t>
      </w:r>
      <w:r>
        <w:rPr>
          <w:rFonts w:ascii="Times New Roman" w:cs="Times New Roman" w:eastAsia="Times New Roman" w:hAnsi="Times New Roman"/>
          <w:sz w:val="16"/>
          <w:szCs w:val="16"/>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6"/>
          <w:szCs w:val="16"/>
          <w:b w:val="1"/>
          <w:bCs w:val="1"/>
          <w:u w:val="single" w:color="auto"/>
          <w:color w:val="auto"/>
        </w:rPr>
        <w:t>Nonelectronic Notic</w:t>
      </w: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 which shall be sent to the requesting party within ten (10) days of receipt of the written request for Nonelectronic Notice.</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xml:space="preserve">. This Agreement shall inure to the benefit of and be binding upon the Company and the Agent and its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its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Agent may assign its rights and obligations hereunder to an affiliate thereof without obtaining the Company's consent.</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Adjustments for Stock Splits</w:t>
      </w:r>
      <w:r>
        <w:rPr>
          <w:rFonts w:ascii="Times New Roman" w:cs="Times New Roman" w:eastAsia="Times New Roman" w:hAnsi="Times New Roman"/>
          <w:sz w:val="17"/>
          <w:szCs w:val="17"/>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  Entire Agreement; Amendment; Severability; Waiver</w:t>
      </w:r>
      <w:r>
        <w:rPr>
          <w:rFonts w:ascii="Times New Roman" w:cs="Times New Roman" w:eastAsia="Times New Roman" w:hAnsi="Times New Roman"/>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7" w:name="page98"/>
    <w:bookmarkEnd w:id="97"/>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GOVERNING LAW AND TIME; WAIVER OF JURY TRIAL</w:t>
      </w:r>
      <w:r>
        <w:rPr>
          <w:rFonts w:ascii="Times New Roman" w:cs="Times New Roman" w:eastAsia="Times New Roman" w:hAnsi="Times New Roman"/>
          <w:sz w:val="17"/>
          <w:szCs w:val="17"/>
          <w:b w:val="1"/>
          <w:bCs w:val="1"/>
          <w:color w:val="auto"/>
        </w:rPr>
        <w:t>. THIS AGREEMENT SHALL BE GOVERNED BY AND CONSTRUED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CONSENT TO JURISDICTION</w:t>
      </w:r>
      <w:r>
        <w:rPr>
          <w:rFonts w:ascii="Times New Roman" w:cs="Times New Roman" w:eastAsia="Times New Roman" w:hAnsi="Times New Roman"/>
          <w:sz w:val="17"/>
          <w:szCs w:val="17"/>
          <w:b w:val="1"/>
          <w:bCs w:val="1"/>
          <w:color w:val="auto"/>
        </w:rPr>
        <w:t>. EACH PARTY HEREBY IRREVOCABLY SUBMITS TO THE EXCLUSIVE JURISDICTION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98" w:name="page99"/>
    <w:bookmarkEnd w:id="98"/>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any electronic signature covered by the U.S. federal ESIGN Act of 2000, Uniform Electronic Transactions Act, the Electronic Signatures Records Act, or other applicable law, e.g.,</w:t>
      </w:r>
      <w:r>
        <w:rPr>
          <w:rFonts w:ascii="Times New Roman" w:cs="Times New Roman" w:eastAsia="Times New Roman" w:hAnsi="Times New Roman"/>
          <w:sz w:val="17"/>
          <w:szCs w:val="17"/>
          <w:u w:val="single" w:color="auto"/>
          <w:color w:val="auto"/>
        </w:rPr>
        <w:t> www.docusign.com</w:t>
      </w:r>
      <w:r>
        <w:rPr>
          <w:rFonts w:ascii="Times New Roman" w:cs="Times New Roman" w:eastAsia="Times New Roman" w:hAnsi="Times New Roman"/>
          <w:sz w:val="17"/>
          <w:szCs w:val="17"/>
          <w:color w:val="auto"/>
        </w:rPr>
        <w:t>) or other transmission method and any counterpart so delivered shall be deemed to have been duly and validly delivered and be valid and effective for all purposes.</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Construction</w:t>
      </w:r>
      <w:r>
        <w:rPr>
          <w:rFonts w:ascii="Times New Roman" w:cs="Times New Roman" w:eastAsia="Times New Roman" w:hAnsi="Times New Roman"/>
          <w:sz w:val="17"/>
          <w:szCs w:val="17"/>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6"/>
          <w:szCs w:val="16"/>
          <w:color w:val="auto"/>
        </w:rPr>
        <w:t>21.         </w:t>
      </w:r>
      <w:r>
        <w:rPr>
          <w:rFonts w:ascii="Times New Roman" w:cs="Times New Roman" w:eastAsia="Times New Roman" w:hAnsi="Times New Roman"/>
          <w:sz w:val="16"/>
          <w:szCs w:val="16"/>
          <w:u w:val="single" w:color="auto"/>
          <w:color w:val="auto"/>
        </w:rPr>
        <w:t>  Permitted Free Writing Prospectuses</w:t>
      </w:r>
      <w:r>
        <w:rPr>
          <w:rFonts w:ascii="Times New Roman" w:cs="Times New Roman" w:eastAsia="Times New Roman" w:hAnsi="Times New Roman"/>
          <w:sz w:val="16"/>
          <w:szCs w:val="16"/>
          <w:color w:val="auto"/>
        </w:rPr>
        <w:t xml:space="preserve">. The Company represents, warrants and agrees that, unless it obtains the prior written consent of the Agent (which consent shall not be unreasonably withheld or delayed), and the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are Permitted Free Writing Prospectuses.</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Absence of Fiduciary Relationship</w:t>
      </w:r>
      <w:r>
        <w:rPr>
          <w:rFonts w:ascii="Times New Roman" w:cs="Times New Roman" w:eastAsia="Times New Roman" w:hAnsi="Times New Roman"/>
          <w:sz w:val="17"/>
          <w:szCs w:val="17"/>
          <w:color w:val="auto"/>
        </w:rPr>
        <w:t>. The Company acknowledges and agrees that: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are advising the Company on other matters, and the Agent has no obligation to the Company with respect to the transactions contemplated by this Agreement except the obligations expressly set forth in this Agreement;</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(b)            it is capable of evaluating and understanding, and understands and accepts, the terms, risks and conditions of the transactions contemplated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w:t>
      </w:r>
    </w:p>
    <w:p>
      <w:pPr>
        <w:spacing w:after="0" w:line="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(c)            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99" w:name="page100"/>
    <w:bookmarkEnd w:id="99"/>
    <w:p>
      <w:pPr>
        <w:jc w:val="both"/>
        <w:ind w:firstLine="1206"/>
        <w:spacing w:after="0" w:line="253" w:lineRule="auto"/>
        <w:rPr>
          <w:sz w:val="20"/>
          <w:szCs w:val="20"/>
          <w:color w:val="auto"/>
        </w:rPr>
      </w:pPr>
      <w:r>
        <w:rPr>
          <w:rFonts w:ascii="Times New Roman" w:cs="Times New Roman" w:eastAsia="Times New Roman" w:hAnsi="Times New Roman"/>
          <w:sz w:val="17"/>
          <w:szCs w:val="17"/>
          <w:color w:val="auto"/>
        </w:rPr>
        <w:t>(d)           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1206"/>
        <w:spacing w:after="0" w:line="246" w:lineRule="auto"/>
        <w:rPr>
          <w:sz w:val="20"/>
          <w:szCs w:val="20"/>
          <w:color w:val="auto"/>
        </w:rPr>
      </w:pPr>
      <w:r>
        <w:rPr>
          <w:rFonts w:ascii="Times New Roman" w:cs="Times New Roman" w:eastAsia="Times New Roman" w:hAnsi="Times New Roman"/>
          <w:sz w:val="17"/>
          <w:szCs w:val="17"/>
          <w:color w:val="auto"/>
        </w:rPr>
        <w:t>(e)            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u w:val="single" w:color="auto"/>
          <w:color w:val="auto"/>
        </w:rPr>
        <w:t>  Definitions</w:t>
      </w:r>
      <w:r>
        <w:rPr>
          <w:rFonts w:ascii="Times New Roman" w:cs="Times New Roman" w:eastAsia="Times New Roman" w:hAnsi="Times New Roman"/>
          <w:sz w:val="17"/>
          <w:szCs w:val="17"/>
          <w:color w:val="auto"/>
        </w:rPr>
        <w:t>. As used in this Agreement, the following terms have the respective meanings set forth below:</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Time</w:t>
      </w:r>
      <w:r>
        <w:rPr>
          <w:rFonts w:ascii="Times New Roman" w:cs="Times New Roman" w:eastAsia="Times New Roman" w:hAnsi="Times New Roman"/>
          <w:sz w:val="17"/>
          <w:szCs w:val="17"/>
          <w:color w:val="auto"/>
        </w:rPr>
        <w:t>" means (i) each Representation Date, (ii) the time of each sale of any Placement Shares pursuant to this Agreement and (iii) each Settlement Date.</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right="500" w:firstLine="603"/>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Rule 164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172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405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415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424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424(b)</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Rule 430B</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Rule 433</w:t>
      </w:r>
      <w:r>
        <w:rPr>
          <w:rFonts w:ascii="Times New Roman" w:cs="Times New Roman" w:eastAsia="Times New Roman" w:hAnsi="Times New Roman"/>
          <w:sz w:val="17"/>
          <w:szCs w:val="17"/>
          <w:color w:val="auto"/>
        </w:rPr>
        <w:t>" refer to such rules under the Securities Act Regulations.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0" w:name="page101"/>
    <w:bookmarkEnd w:id="100"/>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6"/>
          <w:szCs w:val="16"/>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Signature Page Follows</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1" w:name="page102"/>
    <w:bookmarkEnd w:id="101"/>
    <w:p>
      <w:pPr>
        <w:ind w:firstLine="603"/>
        <w:spacing w:after="0" w:line="256" w:lineRule="auto"/>
        <w:rPr>
          <w:sz w:val="20"/>
          <w:szCs w:val="20"/>
          <w:color w:val="auto"/>
        </w:rPr>
      </w:pPr>
      <w:r>
        <w:rPr>
          <w:rFonts w:ascii="Times New Roman" w:cs="Times New Roman" w:eastAsia="Times New Roman" w:hAnsi="Times New Roman"/>
          <w:sz w:val="17"/>
          <w:szCs w:val="17"/>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/s/Juan Vera</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-123190</wp:posOffset>
            </wp:positionV>
            <wp:extent cx="32080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ACCEPTED as of the date first-above written:</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H.C. WAINWRIGHT &amp; CO., LLC</w:t>
      </w:r>
    </w:p>
    <w:p>
      <w:pPr>
        <w:spacing w:after="0" w:line="190" w:lineRule="exact"/>
        <w:rPr>
          <w:sz w:val="20"/>
          <w:szCs w:val="20"/>
          <w:color w:val="auto"/>
        </w:rPr>
      </w:pPr>
    </w:p>
    <w:tbl>
      <w:tblPr>
        <w:tblLayout w:type="fixed"/>
        <w:tblInd w:w="5640" w:type="dxa"/>
        <w:tblCellMar>
          <w:top w:w="0" w:type="dxa"/>
          <w:left w:w="0" w:type="dxa"/>
          <w:bottom w:w="0" w:type="dxa"/>
          <w:right w:w="0" w:type="dxa"/>
        </w:tblCellMar>
      </w:tblP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Edward D. Silvera</w:t>
            </w:r>
          </w:p>
        </w:tc>
      </w:tr>
      <w:tr>
        <w:trPr>
          <w:trHeight w:val="177"/>
        </w:trPr>
        <w:tc>
          <w:tcPr>
            <w:tcW w:w="5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Edward D. Silvera</w:t>
            </w: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At The Market Offering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 </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Placement Notice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3080" w:type="dxa"/>
            <w:vAlign w:val="bottom"/>
          </w:tcPr>
          <w:p>
            <w:pPr>
              <w:spacing w:after="0"/>
              <w:rPr>
                <w:sz w:val="18"/>
                <w:szCs w:val="18"/>
                <w:color w:val="auto"/>
              </w:rPr>
            </w:pPr>
          </w:p>
        </w:tc>
      </w:tr>
      <w:tr>
        <w:trPr>
          <w:trHeight w:val="223"/>
        </w:trPr>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From:</w:t>
            </w: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Marker Therapeutics, Inc.</w:t>
            </w:r>
          </w:p>
        </w:tc>
      </w:tr>
      <w:tr>
        <w:trPr>
          <w:trHeight w:val="239"/>
        </w:trPr>
        <w:tc>
          <w:tcPr>
            <w:tcW w:w="3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3080" w:type="dxa"/>
            <w:vAlign w:val="bottom"/>
          </w:tcPr>
          <w:p>
            <w:pPr>
              <w:spacing w:after="0"/>
              <w:rPr>
                <w:sz w:val="20"/>
                <w:szCs w:val="20"/>
                <w:color w:val="auto"/>
              </w:rPr>
            </w:pPr>
          </w:p>
        </w:tc>
      </w:tr>
      <w:tr>
        <w:trPr>
          <w:trHeight w:val="239"/>
        </w:trPr>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w:t>
            </w: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H.C. Wainwright &amp; Co., LLC Attention: [•]</w:t>
            </w:r>
          </w:p>
        </w:tc>
      </w:tr>
      <w:tr>
        <w:trPr>
          <w:trHeight w:val="239"/>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39"/>
        </w:trPr>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Subject:</w:t>
            </w: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Placement Notice</w:t>
            </w:r>
          </w:p>
        </w:tc>
      </w:tr>
      <w:tr>
        <w:trPr>
          <w:trHeight w:val="239"/>
        </w:trPr>
        <w:tc>
          <w:tcPr>
            <w:tcW w:w="3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3080" w:type="dxa"/>
            <w:vAlign w:val="bottom"/>
          </w:tcPr>
          <w:p>
            <w:pPr>
              <w:spacing w:after="0"/>
              <w:rPr>
                <w:sz w:val="20"/>
                <w:szCs w:val="20"/>
                <w:color w:val="auto"/>
              </w:rPr>
            </w:pPr>
          </w:p>
        </w:tc>
      </w:tr>
      <w:tr>
        <w:trPr>
          <w:trHeight w:val="239"/>
        </w:trPr>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Date:</w:t>
            </w: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202[•]</w:t>
            </w:r>
          </w:p>
        </w:tc>
      </w:tr>
    </w:tbl>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Pursuant to the terms and subject to the conditions contained in the At The Market Offering Agreement between Marker Therapeutics,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H.C. Wainwright &amp; Co., LLC, dated November 27, 2024, the Company hereby requests that the Agent sell up to [•] of the Company's common stock, par value $0.001 per share, at a minimum market price of $[•] per share, during the time period beginning [month, day, time] and ending [month, day, time].</w:t>
      </w: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firstLine="603"/>
        <w:spacing w:after="0" w:line="246" w:lineRule="auto"/>
        <w:rPr>
          <w:sz w:val="20"/>
          <w:szCs w:val="20"/>
          <w:color w:val="auto"/>
        </w:rPr>
      </w:pPr>
      <w:r>
        <w:rPr>
          <w:rFonts w:ascii="Times New Roman" w:cs="Times New Roman" w:eastAsia="Times New Roman" w:hAnsi="Times New Roman"/>
          <w:sz w:val="17"/>
          <w:szCs w:val="17"/>
          <w:color w:val="auto"/>
        </w:rPr>
        <w:t>The Company shall pay to the Agent in cash, upon each sale of Placement Shares pursuant to this Agreement, an amount equal to 3.0% of the aggregate gross proceeds from each sale of Placement Shares.</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04" w:name="page105"/>
    <w:bookmarkEnd w:id="104"/>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Notice Parties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Juan Vera </w:t>
      </w:r>
      <w:r>
        <w:rPr>
          <w:rFonts w:ascii="Times New Roman" w:cs="Times New Roman" w:eastAsia="Times New Roman" w:hAnsi="Times New Roman"/>
          <w:sz w:val="17"/>
          <w:szCs w:val="17"/>
          <w:u w:val="single" w:color="auto"/>
          <w:color w:val="auto"/>
        </w:rPr>
        <w:t>jvera@markertherapeutics.com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H.C. Wainwright &amp; Co.,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atm@hcwco.com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84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color w:val="auto"/>
        </w:rPr>
        <w:t>Form of Representation Date Certificate Pursuant to Section 7(l)</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3"/>
        <w:spacing w:after="0" w:line="246" w:lineRule="auto"/>
        <w:rPr>
          <w:sz w:val="20"/>
          <w:szCs w:val="20"/>
          <w:color w:val="auto"/>
        </w:rPr>
      </w:pPr>
      <w:r>
        <w:rPr>
          <w:rFonts w:ascii="Times New Roman" w:cs="Times New Roman" w:eastAsia="Times New Roman" w:hAnsi="Times New Roman"/>
          <w:sz w:val="17"/>
          <w:szCs w:val="17"/>
          <w:color w:val="auto"/>
        </w:rPr>
        <w:t>The undersigned, the duly qualified and elected Chief Executive Officer, of Marker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does hereby certify in such capacity and on behalf of the Company,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of the At The Market Offering Agreement, dated November 27, 2024 (the "</w:t>
      </w:r>
      <w:r>
        <w:rPr>
          <w:rFonts w:ascii="Times New Roman" w:cs="Times New Roman" w:eastAsia="Times New Roman" w:hAnsi="Times New Roman"/>
          <w:sz w:val="17"/>
          <w:szCs w:val="17"/>
          <w:u w:val="single" w:color="auto"/>
          <w:color w:val="auto"/>
        </w:rPr>
        <w:t>Sales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between the Company and H.C. Wainwright &amp; Co., LLC that to the best of the knowledge of the undersigned:</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both"/>
        <w:ind w:firstLine="604"/>
        <w:spacing w:after="0" w:line="246" w:lineRule="auto"/>
        <w:tabs>
          <w:tab w:leader="none" w:pos="81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of the Company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representations and warranties also shall be qualified by the disclosure included or incorporated by reference in the Registration Statement and Prospectus; and</w:t>
      </w:r>
    </w:p>
    <w:p>
      <w:pPr>
        <w:spacing w:after="0" w:line="2"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5" w:lineRule="exact"/>
        <w:rPr>
          <w:rFonts w:ascii="Times New Roman" w:cs="Times New Roman" w:eastAsia="Times New Roman" w:hAnsi="Times New Roman"/>
          <w:sz w:val="17"/>
          <w:szCs w:val="17"/>
          <w:color w:val="auto"/>
        </w:rPr>
      </w:pPr>
    </w:p>
    <w:p>
      <w:pPr>
        <w:ind w:firstLine="604"/>
        <w:spacing w:after="0" w:line="246" w:lineRule="auto"/>
        <w:tabs>
          <w:tab w:leader="none" w:pos="85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all agreements and satisfied all conditions on its part to be performed or satisfied pursuant to the Sales Agreement at or prior to the date hereof.</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herein without definition shall have the meanings given to such terms in the Sales Agreement.</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t>
      </w:r>
    </w:p>
    <w:p>
      <w:pPr>
        <w:spacing w:after="0" w:line="2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MARKER THERAPEUTICS,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22225</wp:posOffset>
            </wp:positionV>
            <wp:extent cx="33197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319780"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3" w:lineRule="exact"/>
        <w:rPr>
          <w:sz w:val="20"/>
          <w:szCs w:val="20"/>
          <w:color w:val="auto"/>
        </w:rPr>
      </w:pPr>
    </w:p>
    <w:p>
      <w:pPr>
        <w:ind w:left="20"/>
        <w:spacing w:after="0"/>
        <w:tabs>
          <w:tab w:leader="none" w:pos="5620" w:val="left"/>
          <w:tab w:leader="none" w:pos="748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22225</wp:posOffset>
            </wp:positionV>
            <wp:extent cx="24657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43" w:lineRule="exact"/>
        <w:rPr>
          <w:sz w:val="20"/>
          <w:szCs w:val="20"/>
          <w:color w:val="auto"/>
        </w:rPr>
      </w:pPr>
    </w:p>
    <w:p>
      <w:pPr>
        <w:ind w:left="20"/>
        <w:spacing w:after="0"/>
        <w:tabs>
          <w:tab w:leader="none" w:pos="5620" w:val="left"/>
          <w:tab w:leader="none" w:pos="620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Title:</w:t>
        <w:tab/>
        <w:t>Chief Executive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22225</wp:posOffset>
            </wp:positionV>
            <wp:extent cx="21145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2114550" cy="8255"/>
                    </a:xfrm>
                    <a:prstGeom prst="rect">
                      <a:avLst/>
                    </a:prstGeom>
                    <a:noFill/>
                  </pic:spPr>
                </pic:pic>
              </a:graphicData>
            </a:graphic>
          </wp:anchor>
        </w:drawing>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 </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Permitted Free Writing Prospectus</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274955</wp:posOffset>
            </wp:positionV>
            <wp:extent cx="71418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MARKER THERAPEUTICS, INC.,</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Iss</w:t>
      </w:r>
      <w:r>
        <w:rPr>
          <w:rFonts w:ascii="Times New Roman" w:cs="Times New Roman" w:eastAsia="Times New Roman" w:hAnsi="Times New Roman"/>
          <w:sz w:val="17"/>
          <w:szCs w:val="17"/>
          <w:color w:val="auto"/>
        </w:rPr>
        <w:t>u</w:t>
      </w:r>
      <w:r>
        <w:rPr>
          <w:rFonts w:ascii="Times New Roman" w:cs="Times New Roman" w:eastAsia="Times New Roman" w:hAnsi="Times New Roman"/>
          <w:sz w:val="17"/>
          <w:szCs w:val="17"/>
          <w:b w:val="1"/>
          <w:bCs w:val="1"/>
          <w:color w:val="auto"/>
        </w:rPr>
        <w:t>er</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_______________</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Dated as of [·], 20__</w:t>
      </w:r>
    </w:p>
    <w:p>
      <w:pPr>
        <w:spacing w:after="0" w:line="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_______________</w:t>
      </w:r>
    </w:p>
    <w:p>
      <w:pPr>
        <w:spacing w:after="0" w:line="1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415290</wp:posOffset>
            </wp:positionV>
            <wp:extent cx="71418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1"/>
        </w:trPr>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980" w:type="dxa"/>
            <w:vAlign w:val="bottom"/>
          </w:tcPr>
          <w:p>
            <w:pPr>
              <w:ind w:left="33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tc>
        <w:tc>
          <w:tcPr>
            <w:tcW w:w="1320" w:type="dxa"/>
            <w:vAlign w:val="bottom"/>
          </w:tcPr>
          <w:p>
            <w:pPr>
              <w:spacing w:after="0"/>
              <w:rPr>
                <w:sz w:val="19"/>
                <w:szCs w:val="19"/>
                <w:color w:val="auto"/>
              </w:rPr>
            </w:pPr>
          </w:p>
        </w:tc>
      </w:tr>
      <w:tr>
        <w:trPr>
          <w:trHeight w:val="402"/>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r>
      <w:tr>
        <w:trPr>
          <w:trHeight w:val="4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1</w:t>
            </w:r>
          </w:p>
        </w:tc>
        <w:tc>
          <w:tcPr>
            <w:tcW w:w="84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DEFINITIONS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w:t>
            </w:r>
          </w:p>
        </w:tc>
      </w:tr>
      <w:tr>
        <w:trPr>
          <w:trHeight w:val="427"/>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1.01</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Definitions of Terms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w:t>
            </w:r>
          </w:p>
        </w:tc>
      </w:tr>
      <w:tr>
        <w:trPr>
          <w:trHeight w:val="4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2</w:t>
            </w:r>
          </w:p>
        </w:tc>
        <w:tc>
          <w:tcPr>
            <w:tcW w:w="84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ISSUE, DESCRIPTION, TERMS, EXECUTION, REGISTRATION AND EXCHANGE OF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w:t>
            </w:r>
          </w:p>
        </w:tc>
      </w:tr>
      <w:tr>
        <w:trPr>
          <w:trHeight w:val="427"/>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2.01</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Designation and Terms of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2.02</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 of Securities and Trustee’s Certificate</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8</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2.03</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Denominations: Provisions for Payment</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8</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2.04</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Execution and Authentications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9</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2.05</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Registration of Transfer and Exchange</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10</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2.06</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Temporary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11</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2.07</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Mutilated, Destroyed, Lost or Stolen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12</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2.08</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Cancellation</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13</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2.09</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Benefits of Indenture</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13</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2.10</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Authenticating Agent</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13</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2.11</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Global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14</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2.12</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CUSIP Numbers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15</w:t>
            </w:r>
          </w:p>
        </w:tc>
      </w:tr>
      <w:tr>
        <w:trPr>
          <w:trHeight w:val="4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3</w:t>
            </w:r>
          </w:p>
        </w:tc>
        <w:tc>
          <w:tcPr>
            <w:tcW w:w="84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REDEMPTION OF SECURITIES AND SINKING FUND PROVISIONS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15</w:t>
            </w:r>
          </w:p>
        </w:tc>
      </w:tr>
      <w:tr>
        <w:trPr>
          <w:trHeight w:val="427"/>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3.01</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15</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3.02</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 of Redemption</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15</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3.03</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Upon Redemption</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16</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3.04</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Sinking Fund</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17</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3.05</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Satisfaction of Sinking Fund Payments with Securities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17</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3.06</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of Securities for Sinking Fund</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17</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ARTICLE 4</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COVENANTS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18</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4.01</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Principal, Premium and Interest</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18</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4.02</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Maintenance of Office or Agency</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18</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4.03</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Paying Agents</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19</w:t>
            </w:r>
          </w:p>
        </w:tc>
      </w:tr>
      <w:tr>
        <w:trPr>
          <w:trHeight w:val="402"/>
        </w:trPr>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4.04</w:t>
            </w:r>
          </w:p>
        </w:tc>
        <w:tc>
          <w:tcPr>
            <w:tcW w:w="7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Appointment to Fill Vacancy in Office of Trustee</w:t>
            </w:r>
          </w:p>
        </w:tc>
        <w:tc>
          <w:tcPr>
            <w:tcW w:w="1320" w:type="dxa"/>
            <w:vAlign w:val="bottom"/>
          </w:tcPr>
          <w:p>
            <w:pPr>
              <w:ind w:left="1160"/>
              <w:spacing w:after="0"/>
              <w:rPr>
                <w:sz w:val="20"/>
                <w:szCs w:val="20"/>
                <w:color w:val="auto"/>
              </w:rPr>
            </w:pPr>
            <w:r>
              <w:rPr>
                <w:rFonts w:ascii="Times New Roman" w:cs="Times New Roman" w:eastAsia="Times New Roman" w:hAnsi="Times New Roman"/>
                <w:sz w:val="17"/>
                <w:szCs w:val="17"/>
                <w:color w:val="auto"/>
                <w:w w:val="82"/>
              </w:rPr>
              <w:t>20</w:t>
            </w:r>
          </w:p>
        </w:tc>
      </w:tr>
    </w:tbl>
    <w:p>
      <w:pPr>
        <w:spacing w:after="0" w:line="3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48" w:right="719" w:bottom="1440" w:gutter="0" w:footer="0" w:header="0"/>
        </w:sectPr>
      </w:pPr>
    </w:p>
    <w:bookmarkStart w:id="109" w:name="page110"/>
    <w:bookmarkEnd w:id="109"/>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7"/>
          <w:szCs w:val="17"/>
          <w:b w:val="1"/>
          <w:bCs w:val="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0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r>
      <w:tr>
        <w:trPr>
          <w:trHeight w:val="4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5</w:t>
            </w:r>
          </w:p>
        </w:tc>
        <w:tc>
          <w:tcPr>
            <w:tcW w:w="8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SECURITYHOLDERS’ LISTS AND REPORTS BY THE COMPANY AND THE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628"/>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5.01    Company to Furnish Trustee Names and Addresses of Securityholders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5.02    Preservation Of Information; Communications With Securityholders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5.03    Reports by the Company</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5.04    Reports by the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6</w:t>
            </w:r>
          </w:p>
        </w:tc>
        <w:tc>
          <w:tcPr>
            <w:tcW w:w="8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REMEDIES OF THE TRUSTEE AND SECURITYHOLDERS ON EVENT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27"/>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6.01    Events of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6.02    Collection of Indebtedness and Suits for Enforcement by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6.03    Application of Moneys Collected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6.04    Limitation on Suits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6.05    Rights and Remedies Cumulative; Delay or Omission Not Waiver</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6.06    Control by Securityholders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6.07    Undertaking to Pay Costs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2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ARTICLE 7</w:t>
            </w:r>
          </w:p>
        </w:tc>
        <w:tc>
          <w:tcPr>
            <w:tcW w:w="80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CONCERNING THE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27"/>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7.01    Certain Duties and Responsibilities of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7.02    Certain Rights of Trustee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7.03    Trustee Not Responsible for Recitals or Issuance or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7.04    May Hold Securities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7.05    Moneys Held in Trust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7.06    Compensation and Reimbursement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7.07    Reliance on Officer’s Certificate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7.08    Disqualification; Conflicting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7.09    Corporate Trustee Required; Eligibility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7.10    Resignation and Removal; Appointment of Successor</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7.11    Acceptance of Appointment By Successor</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402"/>
        </w:trPr>
        <w:tc>
          <w:tcPr>
            <w:tcW w:w="91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7.12    Merger, Conversion, Consolidation or Succession to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bl>
    <w:p>
      <w:pPr>
        <w:spacing w:after="0" w:line="3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48" w:right="719" w:bottom="1440" w:gutter="0" w:footer="0" w:header="0"/>
        </w:sectPr>
      </w:pPr>
    </w:p>
    <w:bookmarkStart w:id="110" w:name="page111"/>
    <w:bookmarkEnd w:id="110"/>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7"/>
          <w:szCs w:val="17"/>
          <w:b w:val="1"/>
          <w:bCs w:val="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7.13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Preferential Collection of Claims Against the Company</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7.14</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 of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ARTICLE 8</w:t>
            </w:r>
          </w:p>
        </w:tc>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CONCERNING THE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427"/>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8.01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Evidence of Action by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8.02</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Proof of Execution by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8.03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Who May be Deemed Owners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8.04</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Certain Securities Owned by Company Disregarded</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8.05</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Actions Binding on Future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ARTICLE 9</w:t>
            </w:r>
          </w:p>
        </w:tc>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SUPPLEMENTAL INDENTURES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427"/>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9.01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Supplemental Indentures Without the Consent of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9.02</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Supplemental Indentures With Consent of Securityholders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9.03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 of Supplemental Indentures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9.04</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Securities Affected by Supplemental Indentures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9.05</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Execution of Supplemental Indentures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ARTICLE 10</w:t>
            </w:r>
          </w:p>
        </w:tc>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SUCCESSOR ENTITY</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427"/>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10.01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Company May Consolidate,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10.02</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Successor Entity Substituted</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ARTICLE 11</w:t>
            </w:r>
          </w:p>
        </w:tc>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SATISFACTION AND DISCHARGE</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427"/>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11.01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Satisfaction and Discharge of Indenture</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11.02</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Discharge of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11.03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Deposited Moneys to be Held in Trust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11.04</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 of Moneys Held by Paying Agents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11.05</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Repayment to Company</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42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ARTICLE 12</w:t>
            </w:r>
          </w:p>
        </w:tc>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IMMUNITY OF INCORPORATORS, STOCKHOLDERS, OFFICERS AND DIRECTORS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427"/>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12.01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 Recourse</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ARTICLE 13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MISCELLANEOUS PROVISIONS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13.01</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 on Successors and Assigns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13.02</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Actions by Successor</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402"/>
        </w:trPr>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Section 13.03</w:t>
            </w:r>
          </w:p>
        </w:tc>
        <w:tc>
          <w:tcPr>
            <w:tcW w:w="7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Surrender of Company Powers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bl>
    <w:p>
      <w:pPr>
        <w:spacing w:after="0" w:line="38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860"/>
          </w:cols>
          <w:pgMar w:left="320" w:top="848" w:right="719" w:bottom="1440" w:gutter="0" w:footer="0" w:header="0"/>
        </w:sectPr>
      </w:pPr>
    </w:p>
    <w:bookmarkStart w:id="111" w:name="page112"/>
    <w:bookmarkEnd w:id="111"/>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7"/>
          <w:szCs w:val="17"/>
          <w:b w:val="1"/>
          <w:bCs w:val="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1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1"/>
                <w:szCs w:val="11"/>
                <w:b w:val="1"/>
                <w:bCs w:val="1"/>
                <w:color w:val="auto"/>
              </w:rPr>
              <w:t>age</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13.04</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Notices</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13.05   Governing Law; Jury Trial Waiver</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13.06   Treatment of Securities as Debt</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13.07   Certificates and Opinions as to Conditions Precedent</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13.08   Payments on Business Days</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13.09   Conflict with Trust Indenture Act</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13.10</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Counterparts</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13.11</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Separability</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13.12</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Compliance Certificates</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13.13</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Patriot Act</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Section 13.14</w:t>
            </w:r>
          </w:p>
        </w:tc>
        <w:tc>
          <w:tcPr>
            <w:tcW w:w="6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Force Majeure</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402"/>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13.12   Table of Contents; Headings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3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13970</wp:posOffset>
            </wp:positionV>
            <wp:extent cx="71418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500"/>
          </w:cols>
          <w:pgMar w:left="880" w:top="848" w:right="5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ndenture</w:t>
      </w:r>
      <w:r>
        <w:rPr>
          <w:rFonts w:ascii="Times New Roman" w:cs="Times New Roman" w:eastAsia="Times New Roman" w:hAnsi="Times New Roman"/>
          <w:sz w:val="17"/>
          <w:szCs w:val="17"/>
          <w:color w:val="auto"/>
        </w:rPr>
        <w:t>, dated as of [·], 20__, among</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 (the “Company”), and [</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7"/>
          <w:szCs w:val="17"/>
          <w:color w:val="auto"/>
        </w:rPr>
        <w:t>], as trustee (the “Trustee”):</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for its lawful corporate purposes, the Company has duly authorized the execution and delivery of this Indenture to provide for the issuance of debt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to provide the terms and conditions upon which the Securities are to be authenticated, issued and delivered, the Company has duly authorized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of this Indenture; and</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all things necessary to make this Indenture a valid agreement of the Company, in accordance with its terms, have been done.</w:t>
      </w:r>
    </w:p>
    <w:p>
      <w:pPr>
        <w:spacing w:after="0" w:line="207"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7"/>
          <w:szCs w:val="17"/>
          <w:color w:val="auto"/>
        </w:rPr>
        <w:t>, in consideration of the premises and the purchase of the Securities by the holders thereof, it is mutually covenanted and agreed as follows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equal and ratable benefit of the holders of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1.01</w:t>
      </w:r>
      <w:r>
        <w:rPr>
          <w:sz w:val="20"/>
          <w:szCs w:val="20"/>
          <w:color w:val="auto"/>
        </w:rPr>
        <w:tab/>
      </w:r>
      <w:r>
        <w:rPr>
          <w:rFonts w:ascii="Times New Roman" w:cs="Times New Roman" w:eastAsia="Times New Roman" w:hAnsi="Times New Roman"/>
          <w:sz w:val="16"/>
          <w:szCs w:val="16"/>
          <w:b w:val="1"/>
          <w:bCs w:val="1"/>
          <w:color w:val="auto"/>
        </w:rPr>
        <w:t>Definitions of Terms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2"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Authenticating Agent</w:t>
      </w:r>
      <w:r>
        <w:rPr>
          <w:rFonts w:ascii="Times New Roman" w:cs="Times New Roman" w:eastAsia="Times New Roman" w:hAnsi="Times New Roman"/>
          <w:sz w:val="17"/>
          <w:szCs w:val="17"/>
          <w:color w:val="auto"/>
        </w:rPr>
        <w:t>” means the Trustee or an authenticating agent with respect to all or any of the series of Securities appointed by the Trustee pursuant to Section 2.10.</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Bankruptcy Law</w:t>
      </w:r>
      <w:r>
        <w:rPr>
          <w:rFonts w:ascii="Times New Roman" w:cs="Times New Roman" w:eastAsia="Times New Roman" w:hAnsi="Times New Roman"/>
          <w:sz w:val="17"/>
          <w:szCs w:val="17"/>
          <w:color w:val="auto"/>
        </w:rPr>
        <w:t>” means Title 11, U.S. Code, or any similar federal or state law for the relief of debtors.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means the Board of Directors (or the functional equivalent thereof) of the Company or any duly authorized committee of such Board.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13" w:name="page114"/>
    <w:bookmarkEnd w:id="113"/>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Resolution</w:t>
      </w:r>
      <w:r>
        <w:rPr>
          <w:rFonts w:ascii="Times New Roman" w:cs="Times New Roman" w:eastAsia="Times New Roman" w:hAnsi="Times New Roman"/>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0" w:lineRule="exact"/>
        <w:rPr>
          <w:sz w:val="20"/>
          <w:szCs w:val="20"/>
          <w:color w:val="auto"/>
        </w:rPr>
      </w:pPr>
    </w:p>
    <w:p>
      <w:pPr>
        <w:jc w:val="both"/>
        <w:ind w:firstLine="603"/>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28"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6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Marker Therapeutics, Inc., a corporation duly organized and existing under the laws of the State of Delaware, and, subject to the provisions of Article Ten, shall also include its successors and assigns.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shall be principally administered, which</w:t>
      </w:r>
    </w:p>
    <w:p>
      <w:pPr>
        <w:spacing w:after="0" w:line="37" w:lineRule="exact"/>
        <w:rPr>
          <w:sz w:val="20"/>
          <w:szCs w:val="20"/>
          <w:color w:val="auto"/>
        </w:rPr>
      </w:pPr>
    </w:p>
    <w:p>
      <w:pPr>
        <w:spacing w:after="0"/>
        <w:tabs>
          <w:tab w:leader="none" w:pos="7900" w:val="left"/>
        </w:tabs>
        <w:rPr>
          <w:sz w:val="20"/>
          <w:szCs w:val="20"/>
          <w:color w:val="auto"/>
        </w:rPr>
      </w:pPr>
      <w:r>
        <w:rPr>
          <w:rFonts w:ascii="Times New Roman" w:cs="Times New Roman" w:eastAsia="Times New Roman" w:hAnsi="Times New Roman"/>
          <w:sz w:val="17"/>
          <w:szCs w:val="17"/>
          <w:color w:val="auto"/>
        </w:rPr>
        <w:t>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-19685</wp:posOffset>
            </wp:positionV>
            <wp:extent cx="3456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3456305" cy="8255"/>
                    </a:xfrm>
                    <a:prstGeom prst="rect">
                      <a:avLst/>
                    </a:prstGeom>
                    <a:noFill/>
                  </pic:spPr>
                </pic:pic>
              </a:graphicData>
            </a:graphic>
          </wp:anchor>
        </w:drawing>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Custodian</w:t>
      </w:r>
      <w:r>
        <w:rPr>
          <w:rFonts w:ascii="Times New Roman" w:cs="Times New Roman" w:eastAsia="Times New Roman" w:hAnsi="Times New Roman"/>
          <w:sz w:val="17"/>
          <w:szCs w:val="17"/>
          <w:color w:val="auto"/>
        </w:rPr>
        <w:t>” means any receiver, trustee, assignee, liquidator or similar official under any Bankruptcy Law.</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Defaulted Interest</w:t>
      </w:r>
      <w:r>
        <w:rPr>
          <w:rFonts w:ascii="Times New Roman" w:cs="Times New Roman" w:eastAsia="Times New Roman" w:hAnsi="Times New Roman"/>
          <w:sz w:val="17"/>
          <w:szCs w:val="17"/>
          <w:color w:val="auto"/>
        </w:rPr>
        <w:t>” has the meaning set forth in Section 2.03.</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Depositary</w:t>
      </w:r>
      <w:r>
        <w:rPr>
          <w:rFonts w:ascii="Times New Roman" w:cs="Times New Roman" w:eastAsia="Times New Roman" w:hAnsi="Times New Roman"/>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means, with respect to Securities of a particular series, any event specified in Section 6.01, continued for the period of time, if any, therein designated.</w:t>
      </w:r>
    </w:p>
    <w:p>
      <w:pPr>
        <w:spacing w:after="0" w:line="150"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United States Securities and Exchange Act of 1934, as amended, and the rules and regulations promulgated by the Commission thereunder.</w:t>
      </w:r>
    </w:p>
    <w:p>
      <w:pPr>
        <w:spacing w:after="0" w:line="150"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given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mailed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notify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sent</w:t>
      </w:r>
      <w:r>
        <w:rPr>
          <w:rFonts w:ascii="Times New Roman" w:cs="Times New Roman" w:eastAsia="Times New Roman" w:hAnsi="Times New Roman"/>
          <w:sz w:val="17"/>
          <w:szCs w:val="17"/>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4" w:name="page115"/>
    <w:bookmarkEnd w:id="114"/>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Global Security</w:t>
      </w:r>
      <w:r>
        <w:rPr>
          <w:rFonts w:ascii="Times New Roman" w:cs="Times New Roman" w:eastAsia="Times New Roman" w:hAnsi="Times New Roman"/>
          <w:sz w:val="17"/>
          <w:szCs w:val="17"/>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64"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Obligations</w:t>
      </w:r>
      <w:r>
        <w:rPr>
          <w:rFonts w:ascii="Times New Roman" w:cs="Times New Roman" w:eastAsia="Times New Roman" w:hAnsi="Times New Roman"/>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i w:val="1"/>
          <w:iCs w:val="1"/>
          <w:color w:val="auto"/>
        </w:rPr>
        <w:t>hereunder</w:t>
      </w:r>
      <w:r>
        <w:rPr>
          <w:rFonts w:ascii="Times New Roman" w:cs="Times New Roman" w:eastAsia="Times New Roman" w:hAnsi="Times New Roman"/>
          <w:sz w:val="17"/>
          <w:szCs w:val="17"/>
          <w:color w:val="auto"/>
        </w:rPr>
        <w:t>”, and other words of similar import, refer to this Indenture as a whole and not to any particular Article, Section or other subdivision.</w:t>
      </w:r>
    </w:p>
    <w:p>
      <w:pPr>
        <w:spacing w:after="0" w:line="150" w:lineRule="exact"/>
        <w:rPr>
          <w:sz w:val="20"/>
          <w:szCs w:val="20"/>
          <w:color w:val="auto"/>
        </w:rPr>
      </w:pPr>
    </w:p>
    <w:p>
      <w:pPr>
        <w:jc w:val="both"/>
        <w:ind w:firstLine="603"/>
        <w:spacing w:after="0" w:line="31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28"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Payment Date</w:t>
      </w:r>
      <w:r>
        <w:rPr>
          <w:rFonts w:ascii="Times New Roman" w:cs="Times New Roman" w:eastAsia="Times New Roman" w:hAnsi="Times New Roman"/>
          <w:sz w:val="17"/>
          <w:szCs w:val="17"/>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4"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6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Officer’s Certificate</w:t>
      </w:r>
      <w:r>
        <w:rPr>
          <w:rFonts w:ascii="Times New Roman" w:cs="Times New Roman" w:eastAsia="Times New Roman" w:hAnsi="Times New Roman"/>
          <w:sz w:val="17"/>
          <w:szCs w:val="17"/>
          <w:color w:val="auto"/>
        </w:rPr>
        <w:t>” means a certificate signed by any Officer. Each such certificate shall include the statements provided for in Section 13.07, if and to the extent required by the provisions thereof.</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Opinion of Counsel</w:t>
      </w:r>
      <w:r>
        <w:rPr>
          <w:rFonts w:ascii="Times New Roman" w:cs="Times New Roman" w:eastAsia="Times New Roman" w:hAnsi="Times New Roman"/>
          <w:sz w:val="17"/>
          <w:szCs w:val="17"/>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5" w:name="page116"/>
    <w:bookmarkEnd w:id="115"/>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4"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Predecessor Security</w:t>
      </w:r>
      <w:r>
        <w:rPr>
          <w:rFonts w:ascii="Times New Roman" w:cs="Times New Roman" w:eastAsia="Times New Roman" w:hAnsi="Times New Roman"/>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68"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has the meaning stated in the first recital of this Indenture and more particularly means any Securities authenticated and delivered under this Indenture.</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207" w:lineRule="exact"/>
        <w:rPr>
          <w:sz w:val="20"/>
          <w:szCs w:val="20"/>
          <w:color w:val="auto"/>
        </w:rPr>
      </w:pPr>
    </w:p>
    <w:p>
      <w:pPr>
        <w:ind w:right="520" w:firstLine="603"/>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Securityholder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holder of Securities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registered holder</w:t>
      </w:r>
      <w:r>
        <w:rPr>
          <w:rFonts w:ascii="Times New Roman" w:cs="Times New Roman" w:eastAsia="Times New Roman" w:hAnsi="Times New Roman"/>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 Register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Security Registrar</w:t>
      </w:r>
      <w:r>
        <w:rPr>
          <w:rFonts w:ascii="Times New Roman" w:cs="Times New Roman" w:eastAsia="Times New Roman" w:hAnsi="Times New Roman"/>
          <w:sz w:val="17"/>
          <w:szCs w:val="17"/>
          <w:color w:val="auto"/>
        </w:rPr>
        <w:t>” shall have the meanings as set forth in Section 2.05.</w:t>
      </w:r>
    </w:p>
    <w:p>
      <w:pPr>
        <w:spacing w:after="0" w:line="207" w:lineRule="exact"/>
        <w:rPr>
          <w:sz w:val="20"/>
          <w:szCs w:val="20"/>
          <w:color w:val="auto"/>
        </w:rPr>
      </w:pPr>
    </w:p>
    <w:p>
      <w:pPr>
        <w:jc w:val="both"/>
        <w:ind w:right="20" w:firstLine="603"/>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means _________________________, and, subject to the provisions of Article Seven, shall also include its successors and assigns, and, if at any</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 Indenture Act</w:t>
      </w:r>
      <w:r>
        <w:rPr>
          <w:rFonts w:ascii="Times New Roman" w:cs="Times New Roman" w:eastAsia="Times New Roman" w:hAnsi="Times New Roman"/>
          <w:sz w:val="17"/>
          <w:szCs w:val="17"/>
          <w:color w:val="auto"/>
        </w:rPr>
        <w:t>” means the Trust Indenture Act of 1939, as amended.</w:t>
      </w:r>
    </w:p>
    <w:p>
      <w:pPr>
        <w:spacing w:after="0" w:line="207" w:lineRule="exact"/>
        <w:rPr>
          <w:sz w:val="20"/>
          <w:szCs w:val="20"/>
          <w:color w:val="auto"/>
        </w:rPr>
      </w:pPr>
    </w:p>
    <w:p>
      <w:pPr>
        <w:ind w:firstLine="603"/>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“U.S.A. Patriot Act” </w:t>
      </w:r>
      <w:r>
        <w:rPr>
          <w:rFonts w:ascii="Times New Roman" w:cs="Times New Roman" w:eastAsia="Times New Roman" w:hAnsi="Times New Roman"/>
          <w:sz w:val="17"/>
          <w:szCs w:val="17"/>
          <w:color w:val="auto"/>
        </w:rPr>
        <w:t>means the Uniting and Strengthening America by Providing Appropriate Tools Required to Intercept and Obstruct Terrorism Act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2001, Pub. L. 107-56, as amended and signed into law October 26, 2001.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ISSUE, DESCRIPTION, TERMS, EXECUTION, REGISTRATION AND EXCHANGE OF SECURITIES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2.01</w:t>
      </w:r>
      <w:r>
        <w:rPr>
          <w:sz w:val="20"/>
          <w:szCs w:val="20"/>
          <w:color w:val="auto"/>
        </w:rPr>
        <w:tab/>
      </w:r>
      <w:r>
        <w:rPr>
          <w:rFonts w:ascii="Times New Roman" w:cs="Times New Roman" w:eastAsia="Times New Roman" w:hAnsi="Times New Roman"/>
          <w:sz w:val="16"/>
          <w:szCs w:val="16"/>
          <w:b w:val="1"/>
          <w:bCs w:val="1"/>
          <w:color w:val="auto"/>
        </w:rPr>
        <w:t>Designation and Terms of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5" w:lineRule="auto"/>
        <w:tabs>
          <w:tab w:leader="none" w:pos="2117"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4" w:lineRule="exact"/>
        <w:rPr>
          <w:rFonts w:ascii="Times New Roman" w:cs="Times New Roman" w:eastAsia="Times New Roman" w:hAnsi="Times New Roman"/>
          <w:sz w:val="17"/>
          <w:szCs w:val="17"/>
          <w:b w:val="1"/>
          <w:bCs w:val="1"/>
          <w:color w:val="auto"/>
        </w:rPr>
      </w:pPr>
    </w:p>
    <w:p>
      <w:pPr>
        <w:ind w:left="2640" w:hanging="830"/>
        <w:spacing w:after="0"/>
        <w:tabs>
          <w:tab w:leader="none" w:pos="2640" w:val="left"/>
        </w:tabs>
        <w:numPr>
          <w:ilvl w:val="1"/>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title of the Securities of the series (which shall distinguish the Securities of that series from all other Securities);</w:t>
      </w:r>
    </w:p>
    <w:p>
      <w:pPr>
        <w:spacing w:after="0" w:line="206"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658" w:val="left"/>
        </w:tabs>
        <w:numPr>
          <w:ilvl w:val="1"/>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58" w:lineRule="exact"/>
        <w:rPr>
          <w:rFonts w:ascii="Times New Roman" w:cs="Times New Roman" w:eastAsia="Times New Roman" w:hAnsi="Times New Roman"/>
          <w:sz w:val="17"/>
          <w:szCs w:val="17"/>
          <w:b w:val="1"/>
          <w:bCs w:val="1"/>
          <w:color w:val="auto"/>
        </w:rPr>
      </w:pPr>
    </w:p>
    <w:p>
      <w:pPr>
        <w:ind w:left="2640" w:hanging="830"/>
        <w:spacing w:after="0"/>
        <w:tabs>
          <w:tab w:leader="none" w:pos="2640" w:val="left"/>
        </w:tabs>
        <w:numPr>
          <w:ilvl w:val="1"/>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maturity date or dates on which the principal of the Securities of the series is payable;</w:t>
      </w:r>
    </w:p>
    <w:p>
      <w:pPr>
        <w:spacing w:after="0" w:line="206" w:lineRule="exact"/>
        <w:rPr>
          <w:rFonts w:ascii="Times New Roman" w:cs="Times New Roman" w:eastAsia="Times New Roman" w:hAnsi="Times New Roman"/>
          <w:sz w:val="17"/>
          <w:szCs w:val="17"/>
          <w:b w:val="1"/>
          <w:bCs w:val="1"/>
          <w:color w:val="auto"/>
        </w:rPr>
      </w:pPr>
    </w:p>
    <w:p>
      <w:pPr>
        <w:ind w:left="2640" w:hanging="830"/>
        <w:spacing w:after="0"/>
        <w:tabs>
          <w:tab w:leader="none" w:pos="2640" w:val="left"/>
        </w:tabs>
        <w:numPr>
          <w:ilvl w:val="1"/>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form of the Securities of the series including the form of the certificate of authentication for such series;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17" w:name="page118"/>
    <w:bookmarkEnd w:id="117"/>
    <w:p>
      <w:pPr>
        <w:ind w:left="2540" w:hanging="730"/>
        <w:spacing w:after="0"/>
        <w:tabs>
          <w:tab w:leader="none" w:pos="25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applicability of any guarantees;</w:t>
      </w:r>
    </w:p>
    <w:p>
      <w:pPr>
        <w:spacing w:after="0" w:line="206" w:lineRule="exact"/>
        <w:rPr>
          <w:rFonts w:ascii="Times New Roman" w:cs="Times New Roman" w:eastAsia="Times New Roman" w:hAnsi="Times New Roman"/>
          <w:sz w:val="17"/>
          <w:szCs w:val="17"/>
          <w:b w:val="1"/>
          <w:bCs w:val="1"/>
          <w:color w:val="auto"/>
        </w:rPr>
      </w:pPr>
    </w:p>
    <w:p>
      <w:pPr>
        <w:ind w:left="2540" w:hanging="730"/>
        <w:spacing w:after="0"/>
        <w:tabs>
          <w:tab w:leader="none" w:pos="25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or not the Securities will be secured or unsecured, and the terms of any secured debt;</w:t>
      </w:r>
    </w:p>
    <w:p>
      <w:pPr>
        <w:spacing w:after="0" w:line="206" w:lineRule="exact"/>
        <w:rPr>
          <w:rFonts w:ascii="Times New Roman" w:cs="Times New Roman" w:eastAsia="Times New Roman" w:hAnsi="Times New Roman"/>
          <w:sz w:val="17"/>
          <w:szCs w:val="17"/>
          <w:b w:val="1"/>
          <w:bCs w:val="1"/>
          <w:color w:val="auto"/>
        </w:rPr>
      </w:pPr>
    </w:p>
    <w:p>
      <w:pPr>
        <w:ind w:left="2560" w:hanging="750"/>
        <w:spacing w:after="0"/>
        <w:tabs>
          <w:tab w:leader="none" w:pos="256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whether the Securities rank as senior debt, senior subordinated debt, subordinated debt or any combination thereof, and the terms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subordination;</w:t>
      </w:r>
    </w:p>
    <w:p>
      <w:pPr>
        <w:spacing w:after="0" w:line="190" w:lineRule="exact"/>
        <w:rPr>
          <w:sz w:val="20"/>
          <w:szCs w:val="20"/>
          <w:color w:val="auto"/>
        </w:rPr>
      </w:pPr>
    </w:p>
    <w:p>
      <w:pPr>
        <w:jc w:val="both"/>
        <w:ind w:firstLine="1810"/>
        <w:spacing w:after="0" w:line="283" w:lineRule="auto"/>
        <w:tabs>
          <w:tab w:leader="none" w:pos="2549"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53" w:lineRule="exact"/>
        <w:rPr>
          <w:rFonts w:ascii="Times New Roman" w:cs="Times New Roman" w:eastAsia="Times New Roman" w:hAnsi="Times New Roman"/>
          <w:sz w:val="16"/>
          <w:szCs w:val="16"/>
          <w:b w:val="1"/>
          <w:bCs w:val="1"/>
          <w:color w:val="auto"/>
        </w:rPr>
      </w:pPr>
    </w:p>
    <w:p>
      <w:pPr>
        <w:ind w:firstLine="1810"/>
        <w:spacing w:after="0" w:line="273" w:lineRule="auto"/>
        <w:tabs>
          <w:tab w:leader="none" w:pos="256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58" w:lineRule="exact"/>
        <w:rPr>
          <w:rFonts w:ascii="Times New Roman" w:cs="Times New Roman" w:eastAsia="Times New Roman" w:hAnsi="Times New Roman"/>
          <w:sz w:val="17"/>
          <w:szCs w:val="17"/>
          <w:b w:val="1"/>
          <w:bCs w:val="1"/>
          <w:color w:val="auto"/>
        </w:rPr>
      </w:pPr>
    </w:p>
    <w:p>
      <w:pPr>
        <w:ind w:left="2540" w:hanging="730"/>
        <w:spacing w:after="0"/>
        <w:tabs>
          <w:tab w:leader="none" w:pos="25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right, if any, to defer the payment of interest and the maximum length of any such deferral period;</w:t>
      </w:r>
    </w:p>
    <w:p>
      <w:pPr>
        <w:spacing w:after="0" w:line="206" w:lineRule="exact"/>
        <w:rPr>
          <w:rFonts w:ascii="Times New Roman" w:cs="Times New Roman" w:eastAsia="Times New Roman" w:hAnsi="Times New Roman"/>
          <w:sz w:val="17"/>
          <w:szCs w:val="17"/>
          <w:b w:val="1"/>
          <w:bCs w:val="1"/>
          <w:color w:val="auto"/>
        </w:rPr>
      </w:pPr>
    </w:p>
    <w:p>
      <w:pPr>
        <w:ind w:firstLine="1810"/>
        <w:spacing w:after="0" w:line="305" w:lineRule="auto"/>
        <w:tabs>
          <w:tab w:leader="none" w:pos="2577"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35" w:lineRule="exact"/>
        <w:rPr>
          <w:rFonts w:ascii="Times New Roman" w:cs="Times New Roman" w:eastAsia="Times New Roman" w:hAnsi="Times New Roman"/>
          <w:sz w:val="16"/>
          <w:szCs w:val="16"/>
          <w:b w:val="1"/>
          <w:bCs w:val="1"/>
          <w:color w:val="auto"/>
        </w:rPr>
      </w:pPr>
    </w:p>
    <w:p>
      <w:pPr>
        <w:jc w:val="both"/>
        <w:ind w:firstLine="1810"/>
        <w:spacing w:after="0" w:line="260" w:lineRule="auto"/>
        <w:tabs>
          <w:tab w:leader="none" w:pos="2574"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6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549"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denominations in which the Securities of the series shall be issuable, if other than denominations of one thousand U.S. dollars ($1,000) or any integral multiple thereof;</w:t>
      </w:r>
    </w:p>
    <w:p>
      <w:pPr>
        <w:spacing w:after="0" w:line="15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662"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58"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549"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18" w:name="page119"/>
    <w:bookmarkEnd w:id="118"/>
    <w:p>
      <w:pPr>
        <w:jc w:val="both"/>
        <w:ind w:firstLine="1810"/>
        <w:spacing w:after="0" w:line="276" w:lineRule="auto"/>
        <w:tabs>
          <w:tab w:leader="none" w:pos="2587"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58" w:lineRule="exact"/>
        <w:rPr>
          <w:rFonts w:ascii="Times New Roman" w:cs="Times New Roman" w:eastAsia="Times New Roman" w:hAnsi="Times New Roman"/>
          <w:sz w:val="16"/>
          <w:szCs w:val="16"/>
          <w:b w:val="1"/>
          <w:bCs w:val="1"/>
          <w:color w:val="auto"/>
        </w:rPr>
      </w:pPr>
    </w:p>
    <w:p>
      <w:pPr>
        <w:ind w:firstLine="1810"/>
        <w:spacing w:after="0" w:line="273" w:lineRule="auto"/>
        <w:tabs>
          <w:tab w:leader="none" w:pos="2712"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other than the full principal amount thereof, the portion of the principal amount of Securities of the series which shall be payable upon declaration of acceleration of the maturity thereof pursuant to Section 6.01;</w:t>
      </w:r>
    </w:p>
    <w:p>
      <w:pPr>
        <w:spacing w:after="0" w:line="158" w:lineRule="exact"/>
        <w:rPr>
          <w:rFonts w:ascii="Times New Roman" w:cs="Times New Roman" w:eastAsia="Times New Roman" w:hAnsi="Times New Roman"/>
          <w:sz w:val="17"/>
          <w:szCs w:val="17"/>
          <w:b w:val="1"/>
          <w:bCs w:val="1"/>
          <w:color w:val="auto"/>
        </w:rPr>
      </w:pPr>
    </w:p>
    <w:p>
      <w:pPr>
        <w:ind w:left="2800" w:hanging="990"/>
        <w:spacing w:after="0"/>
        <w:tabs>
          <w:tab w:leader="none" w:pos="280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covenants applicable to the series of Securities being issued, including, among others, the</w:t>
      </w:r>
    </w:p>
    <w:p>
      <w:pPr>
        <w:spacing w:after="0" w:line="2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consolidation, merger or sale covenant;</w:t>
      </w:r>
    </w:p>
    <w:p>
      <w:pPr>
        <w:spacing w:after="0" w:line="190"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624"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58" w:lineRule="exact"/>
        <w:rPr>
          <w:rFonts w:ascii="Times New Roman" w:cs="Times New Roman" w:eastAsia="Times New Roman" w:hAnsi="Times New Roman"/>
          <w:sz w:val="17"/>
          <w:szCs w:val="17"/>
          <w:b w:val="1"/>
          <w:bCs w:val="1"/>
          <w:color w:val="auto"/>
        </w:rPr>
      </w:pPr>
    </w:p>
    <w:p>
      <w:pPr>
        <w:ind w:left="2540" w:hanging="730"/>
        <w:spacing w:after="0"/>
        <w:tabs>
          <w:tab w:leader="none" w:pos="25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206" w:lineRule="exact"/>
        <w:rPr>
          <w:rFonts w:ascii="Times New Roman" w:cs="Times New Roman" w:eastAsia="Times New Roman" w:hAnsi="Times New Roman"/>
          <w:sz w:val="17"/>
          <w:szCs w:val="17"/>
          <w:b w:val="1"/>
          <w:bCs w:val="1"/>
          <w:color w:val="auto"/>
        </w:rPr>
      </w:pPr>
    </w:p>
    <w:p>
      <w:pPr>
        <w:ind w:left="2540" w:hanging="730"/>
        <w:spacing w:after="0"/>
        <w:tabs>
          <w:tab w:leader="none" w:pos="25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provisions relating to satisfaction and discharge of this Indenture;</w:t>
      </w:r>
    </w:p>
    <w:p>
      <w:pPr>
        <w:spacing w:after="0" w:line="206"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712"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provisions relating to the modification of this Indenture both with and without the consent of Securityholders of Securities issued under this Indenture;</w:t>
      </w:r>
    </w:p>
    <w:p>
      <w:pPr>
        <w:spacing w:after="0" w:line="158" w:lineRule="exact"/>
        <w:rPr>
          <w:rFonts w:ascii="Times New Roman" w:cs="Times New Roman" w:eastAsia="Times New Roman" w:hAnsi="Times New Roman"/>
          <w:sz w:val="17"/>
          <w:szCs w:val="17"/>
          <w:b w:val="1"/>
          <w:bCs w:val="1"/>
          <w:color w:val="auto"/>
        </w:rPr>
      </w:pPr>
    </w:p>
    <w:p>
      <w:pPr>
        <w:ind w:left="2660" w:hanging="850"/>
        <w:spacing w:after="0"/>
        <w:tabs>
          <w:tab w:leader="none" w:pos="266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currency of payment of Securities if other than U.S. dollars and the manner of determining the equivalent amount in U.S.</w:t>
      </w:r>
    </w:p>
    <w:p>
      <w:pPr>
        <w:spacing w:after="0" w:line="2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dollars;</w:t>
      </w:r>
    </w:p>
    <w:p>
      <w:pPr>
        <w:spacing w:after="0" w:line="190"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637"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interest will be payable in cash or additional Securities at the Company’s or the Securityholders’ option and the terms and conditions upon which the election may be made;</w:t>
      </w:r>
    </w:p>
    <w:p>
      <w:pPr>
        <w:spacing w:after="0" w:line="15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624"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58" w:lineRule="exact"/>
        <w:rPr>
          <w:rFonts w:ascii="Times New Roman" w:cs="Times New Roman" w:eastAsia="Times New Roman" w:hAnsi="Times New Roman"/>
          <w:sz w:val="17"/>
          <w:szCs w:val="17"/>
          <w:b w:val="1"/>
          <w:bCs w:val="1"/>
          <w:color w:val="auto"/>
        </w:rPr>
      </w:pPr>
    </w:p>
    <w:p>
      <w:pPr>
        <w:ind w:left="2540" w:hanging="730"/>
        <w:spacing w:after="0"/>
        <w:tabs>
          <w:tab w:leader="none" w:pos="25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restrictions on transfer, sale or assignment of the Securities of the series;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19" w:name="page120"/>
    <w:bookmarkEnd w:id="119"/>
    <w:p>
      <w:pPr>
        <w:ind w:firstLine="1810"/>
        <w:spacing w:after="0" w:line="273" w:lineRule="auto"/>
        <w:tabs>
          <w:tab w:leader="none" w:pos="2599"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58"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All Securities of any one series shall be substantially identical except as may otherwise be provided in or pursuant to any such Board Resolution or in any indentures supplemental hereto.</w:t>
      </w:r>
    </w:p>
    <w:p>
      <w:pPr>
        <w:spacing w:after="0" w:line="158"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9"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2.02</w:t>
      </w:r>
      <w:r>
        <w:rPr>
          <w:sz w:val="20"/>
          <w:szCs w:val="20"/>
          <w:color w:val="auto"/>
        </w:rPr>
        <w:tab/>
      </w:r>
      <w:r>
        <w:rPr>
          <w:rFonts w:ascii="Times New Roman" w:cs="Times New Roman" w:eastAsia="Times New Roman" w:hAnsi="Times New Roman"/>
          <w:sz w:val="16"/>
          <w:szCs w:val="16"/>
          <w:b w:val="1"/>
          <w:bCs w:val="1"/>
          <w:color w:val="auto"/>
        </w:rPr>
        <w:t>Form of Securities and Trustee’s Certificate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2.03</w:t>
      </w:r>
      <w:r>
        <w:rPr>
          <w:sz w:val="20"/>
          <w:szCs w:val="20"/>
          <w:color w:val="auto"/>
        </w:rPr>
        <w:tab/>
      </w:r>
      <w:r>
        <w:rPr>
          <w:rFonts w:ascii="Times New Roman" w:cs="Times New Roman" w:eastAsia="Times New Roman" w:hAnsi="Times New Roman"/>
          <w:sz w:val="16"/>
          <w:szCs w:val="16"/>
          <w:b w:val="1"/>
          <w:bCs w:val="1"/>
          <w:color w:val="auto"/>
        </w:rPr>
        <w:t>Denominations: Provisions for Payment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76"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0" w:name="page121"/>
    <w:bookmarkEnd w:id="120"/>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9" w:lineRule="exact"/>
        <w:rPr>
          <w:sz w:val="20"/>
          <w:szCs w:val="20"/>
          <w:color w:val="auto"/>
        </w:rPr>
      </w:pPr>
    </w:p>
    <w:p>
      <w:pPr>
        <w:jc w:val="both"/>
        <w:ind w:firstLine="1810"/>
        <w:spacing w:after="0" w:line="249" w:lineRule="auto"/>
        <w:tabs>
          <w:tab w:leader="none" w:pos="2758"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80"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67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1" w:name="page122"/>
    <w:bookmarkEnd w:id="121"/>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2.04</w:t>
      </w:r>
      <w:r>
        <w:rPr>
          <w:sz w:val="20"/>
          <w:szCs w:val="20"/>
          <w:color w:val="auto"/>
        </w:rPr>
        <w:tab/>
      </w:r>
      <w:r>
        <w:rPr>
          <w:rFonts w:ascii="Times New Roman" w:cs="Times New Roman" w:eastAsia="Times New Roman" w:hAnsi="Times New Roman"/>
          <w:sz w:val="16"/>
          <w:szCs w:val="16"/>
          <w:b w:val="1"/>
          <w:bCs w:val="1"/>
          <w:color w:val="auto"/>
        </w:rPr>
        <w:t>Execution and Authentications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Securities shall be signed on behalf of the Company by one of its Officers. Signatures may be in the form of a manual or facsimile signature.</w:t>
      </w:r>
    </w:p>
    <w:p>
      <w:pPr>
        <w:spacing w:after="0" w:line="207" w:lineRule="exact"/>
        <w:rPr>
          <w:sz w:val="20"/>
          <w:szCs w:val="20"/>
          <w:color w:val="auto"/>
        </w:rPr>
      </w:pPr>
    </w:p>
    <w:p>
      <w:pPr>
        <w:jc w:val="both"/>
        <w:ind w:firstLine="603"/>
        <w:spacing w:after="0" w:line="283" w:lineRule="auto"/>
        <w:rPr>
          <w:sz w:val="20"/>
          <w:szCs w:val="20"/>
          <w:color w:val="auto"/>
        </w:rPr>
      </w:pPr>
      <w:r>
        <w:rPr>
          <w:rFonts w:ascii="Times New Roman" w:cs="Times New Roman" w:eastAsia="Times New Roman" w:hAnsi="Times New Roman"/>
          <w:sz w:val="16"/>
          <w:szCs w:val="16"/>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53"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7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5"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2.05</w:t>
      </w:r>
      <w:r>
        <w:rPr>
          <w:sz w:val="20"/>
          <w:szCs w:val="20"/>
          <w:color w:val="auto"/>
        </w:rPr>
        <w:tab/>
      </w:r>
      <w:r>
        <w:rPr>
          <w:rFonts w:ascii="Times New Roman" w:cs="Times New Roman" w:eastAsia="Times New Roman" w:hAnsi="Times New Roman"/>
          <w:sz w:val="16"/>
          <w:szCs w:val="16"/>
          <w:b w:val="1"/>
          <w:bCs w:val="1"/>
          <w:color w:val="auto"/>
        </w:rPr>
        <w:t>Registration of Transfer and Exchange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3" w:lineRule="auto"/>
        <w:tabs>
          <w:tab w:leader="none" w:pos="2029"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2" w:name="page123"/>
    <w:bookmarkEnd w:id="122"/>
    <w:p>
      <w:pPr>
        <w:jc w:val="both"/>
        <w:ind w:firstLine="1207"/>
        <w:spacing w:after="0" w:line="255" w:lineRule="auto"/>
        <w:tabs>
          <w:tab w:leader="none" w:pos="2051"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75"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initially appoints the Trustee as initial Security Registrar for each series of Securities.</w:t>
      </w:r>
    </w:p>
    <w:p>
      <w:pPr>
        <w:spacing w:after="0" w:line="207"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9" w:lineRule="exact"/>
        <w:rPr>
          <w:sz w:val="20"/>
          <w:szCs w:val="20"/>
          <w:color w:val="auto"/>
        </w:rPr>
      </w:pPr>
    </w:p>
    <w:p>
      <w:pPr>
        <w:jc w:val="both"/>
        <w:ind w:firstLine="1207"/>
        <w:spacing w:after="0" w:line="253" w:lineRule="auto"/>
        <w:tabs>
          <w:tab w:leader="none" w:pos="20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215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76"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3" w:name="page124"/>
    <w:bookmarkEnd w:id="123"/>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2.06</w:t>
      </w:r>
      <w:r>
        <w:rPr>
          <w:sz w:val="20"/>
          <w:szCs w:val="20"/>
          <w:color w:val="auto"/>
        </w:rPr>
        <w:tab/>
      </w:r>
      <w:r>
        <w:rPr>
          <w:rFonts w:ascii="Times New Roman" w:cs="Times New Roman" w:eastAsia="Times New Roman" w:hAnsi="Times New Roman"/>
          <w:sz w:val="16"/>
          <w:szCs w:val="16"/>
          <w:b w:val="1"/>
          <w:bCs w:val="1"/>
          <w:color w:val="auto"/>
        </w:rPr>
        <w:t>Temporary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7" w:lineRule="auto"/>
        <w:rPr>
          <w:sz w:val="20"/>
          <w:szCs w:val="20"/>
          <w:color w:val="auto"/>
        </w:rPr>
      </w:pPr>
      <w:r>
        <w:rPr>
          <w:rFonts w:ascii="Times New Roman" w:cs="Times New Roman" w:eastAsia="Times New Roman" w:hAnsi="Times New Roman"/>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61"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2.07</w:t>
      </w:r>
      <w:r>
        <w:rPr>
          <w:sz w:val="20"/>
          <w:szCs w:val="20"/>
          <w:color w:val="auto"/>
        </w:rPr>
        <w:tab/>
      </w:r>
      <w:r>
        <w:rPr>
          <w:rFonts w:ascii="Times New Roman" w:cs="Times New Roman" w:eastAsia="Times New Roman" w:hAnsi="Times New Roman"/>
          <w:sz w:val="16"/>
          <w:szCs w:val="16"/>
          <w:b w:val="1"/>
          <w:bCs w:val="1"/>
          <w:color w:val="auto"/>
        </w:rPr>
        <w:t>Mutilated, Destroyed, Lost or Stolen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24" w:name="page125"/>
    <w:bookmarkEnd w:id="124"/>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2.08</w:t>
      </w:r>
      <w:r>
        <w:rPr>
          <w:sz w:val="20"/>
          <w:szCs w:val="20"/>
          <w:color w:val="auto"/>
        </w:rPr>
        <w:tab/>
      </w:r>
      <w:r>
        <w:rPr>
          <w:rFonts w:ascii="Times New Roman" w:cs="Times New Roman" w:eastAsia="Times New Roman" w:hAnsi="Times New Roman"/>
          <w:sz w:val="16"/>
          <w:szCs w:val="16"/>
          <w:b w:val="1"/>
          <w:bCs w:val="1"/>
          <w:color w:val="auto"/>
        </w:rPr>
        <w:t>Cancellation</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3"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Section 2.09</w:t>
      </w:r>
      <w:r>
        <w:rPr>
          <w:sz w:val="20"/>
          <w:szCs w:val="20"/>
          <w:color w:val="auto"/>
        </w:rPr>
        <w:tab/>
      </w:r>
      <w:r>
        <w:rPr>
          <w:rFonts w:ascii="Times New Roman" w:cs="Times New Roman" w:eastAsia="Times New Roman" w:hAnsi="Times New Roman"/>
          <w:sz w:val="16"/>
          <w:szCs w:val="16"/>
          <w:b w:val="1"/>
          <w:bCs w:val="1"/>
          <w:color w:val="auto"/>
        </w:rPr>
        <w:t>Benefits of Indenture.</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2.10</w:t>
      </w:r>
      <w:r>
        <w:rPr>
          <w:sz w:val="20"/>
          <w:szCs w:val="20"/>
          <w:color w:val="auto"/>
        </w:rPr>
        <w:tab/>
      </w:r>
      <w:r>
        <w:rPr>
          <w:rFonts w:ascii="Times New Roman" w:cs="Times New Roman" w:eastAsia="Times New Roman" w:hAnsi="Times New Roman"/>
          <w:sz w:val="16"/>
          <w:szCs w:val="16"/>
          <w:b w:val="1"/>
          <w:bCs w:val="1"/>
          <w:color w:val="auto"/>
        </w:rPr>
        <w:t>Authenticating Agent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5" w:name="page126"/>
    <w:bookmarkEnd w:id="125"/>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2"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2.11</w:t>
      </w:r>
      <w:r>
        <w:rPr>
          <w:sz w:val="20"/>
          <w:szCs w:val="20"/>
          <w:color w:val="auto"/>
        </w:rPr>
        <w:tab/>
      </w:r>
      <w:r>
        <w:rPr>
          <w:rFonts w:ascii="Times New Roman" w:cs="Times New Roman" w:eastAsia="Times New Roman" w:hAnsi="Times New Roman"/>
          <w:sz w:val="16"/>
          <w:szCs w:val="16"/>
          <w:b w:val="1"/>
          <w:bCs w:val="1"/>
          <w:color w:val="auto"/>
        </w:rPr>
        <w:t>Global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1" w:lineRule="auto"/>
        <w:tabs>
          <w:tab w:leader="none" w:pos="2029"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211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68" w:lineRule="exact"/>
        <w:rPr>
          <w:rFonts w:ascii="Times New Roman" w:cs="Times New Roman" w:eastAsia="Times New Roman" w:hAnsi="Times New Roman"/>
          <w:sz w:val="17"/>
          <w:szCs w:val="17"/>
          <w:b w:val="1"/>
          <w:bCs w:val="1"/>
          <w:color w:val="auto"/>
        </w:rPr>
      </w:pPr>
    </w:p>
    <w:p>
      <w:pPr>
        <w:jc w:val="both"/>
        <w:ind w:firstLine="1207"/>
        <w:spacing w:after="0" w:line="265" w:lineRule="auto"/>
        <w:tabs>
          <w:tab w:leader="none" w:pos="2108"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6" w:name="page127"/>
    <w:bookmarkEnd w:id="126"/>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2.12</w:t>
      </w:r>
      <w:r>
        <w:rPr>
          <w:sz w:val="20"/>
          <w:szCs w:val="20"/>
          <w:color w:val="auto"/>
        </w:rPr>
        <w:tab/>
      </w:r>
      <w:r>
        <w:rPr>
          <w:rFonts w:ascii="Times New Roman" w:cs="Times New Roman" w:eastAsia="Times New Roman" w:hAnsi="Times New Roman"/>
          <w:sz w:val="16"/>
          <w:szCs w:val="16"/>
          <w:b w:val="1"/>
          <w:bCs w:val="1"/>
          <w:color w:val="auto"/>
        </w:rPr>
        <w:t>CUSIP Numbers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REDEMPTION OF SECURITIES AND SINKING FUND PROVISIONS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3.01</w:t>
      </w:r>
      <w:r>
        <w:rPr>
          <w:sz w:val="20"/>
          <w:szCs w:val="20"/>
          <w:color w:val="auto"/>
        </w:rPr>
        <w:tab/>
      </w:r>
      <w:r>
        <w:rPr>
          <w:rFonts w:ascii="Times New Roman" w:cs="Times New Roman" w:eastAsia="Times New Roman" w:hAnsi="Times New Roman"/>
          <w:sz w:val="16"/>
          <w:szCs w:val="16"/>
          <w:b w:val="1"/>
          <w:bCs w:val="1"/>
          <w:color w:val="auto"/>
        </w:rPr>
        <w:t>Redemption</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Company may redeem the Securities of any series issued hereunder on and after the dates and in accordance with the terms established for such series pursuant to Section 2.01 hereof.</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3.02</w:t>
      </w:r>
      <w:r>
        <w:rPr>
          <w:sz w:val="20"/>
          <w:szCs w:val="20"/>
          <w:color w:val="auto"/>
        </w:rPr>
        <w:tab/>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49" w:lineRule="auto"/>
        <w:tabs>
          <w:tab w:leader="none" w:pos="2105"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27" w:name="page128"/>
    <w:bookmarkEnd w:id="127"/>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6"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9" w:lineRule="exact"/>
        <w:rPr>
          <w:sz w:val="20"/>
          <w:szCs w:val="20"/>
          <w:color w:val="auto"/>
        </w:rPr>
      </w:pPr>
    </w:p>
    <w:p>
      <w:pPr>
        <w:jc w:val="both"/>
        <w:ind w:firstLine="1207"/>
        <w:spacing w:after="0" w:line="249" w:lineRule="auto"/>
        <w:tabs>
          <w:tab w:leader="none" w:pos="2077"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28" w:name="page129"/>
    <w:bookmarkEnd w:id="128"/>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3.03</w:t>
      </w:r>
      <w:r>
        <w:rPr>
          <w:sz w:val="20"/>
          <w:szCs w:val="20"/>
          <w:color w:val="auto"/>
        </w:rPr>
        <w:tab/>
      </w:r>
      <w:r>
        <w:rPr>
          <w:rFonts w:ascii="Times New Roman" w:cs="Times New Roman" w:eastAsia="Times New Roman" w:hAnsi="Times New Roman"/>
          <w:sz w:val="16"/>
          <w:szCs w:val="16"/>
          <w:b w:val="1"/>
          <w:bCs w:val="1"/>
          <w:color w:val="auto"/>
        </w:rPr>
        <w:t>Payment Upon Redemption</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0" w:lineRule="auto"/>
        <w:tabs>
          <w:tab w:leader="none" w:pos="202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80"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2164"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3.04</w:t>
      </w:r>
      <w:r>
        <w:rPr>
          <w:sz w:val="20"/>
          <w:szCs w:val="20"/>
          <w:color w:val="auto"/>
        </w:rPr>
        <w:tab/>
      </w:r>
      <w:r>
        <w:rPr>
          <w:rFonts w:ascii="Times New Roman" w:cs="Times New Roman" w:eastAsia="Times New Roman" w:hAnsi="Times New Roman"/>
          <w:sz w:val="16"/>
          <w:szCs w:val="16"/>
          <w:b w:val="1"/>
          <w:bCs w:val="1"/>
          <w:color w:val="auto"/>
        </w:rPr>
        <w:t>Sinking Fund.</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58"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1"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3.05</w:t>
      </w:r>
      <w:r>
        <w:rPr>
          <w:sz w:val="20"/>
          <w:szCs w:val="20"/>
          <w:color w:val="auto"/>
        </w:rPr>
        <w:tab/>
      </w:r>
      <w:r>
        <w:rPr>
          <w:rFonts w:ascii="Times New Roman" w:cs="Times New Roman" w:eastAsia="Times New Roman" w:hAnsi="Times New Roman"/>
          <w:sz w:val="16"/>
          <w:szCs w:val="16"/>
          <w:b w:val="1"/>
          <w:bCs w:val="1"/>
          <w:color w:val="auto"/>
        </w:rPr>
        <w:t>Satisfaction of Sinking Fund Payments with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29" w:name="page130"/>
    <w:bookmarkEnd w:id="129"/>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3.06</w:t>
      </w:r>
      <w:r>
        <w:rPr>
          <w:sz w:val="20"/>
          <w:szCs w:val="20"/>
          <w:color w:val="auto"/>
        </w:rPr>
        <w:tab/>
      </w:r>
      <w:r>
        <w:rPr>
          <w:rFonts w:ascii="Times New Roman" w:cs="Times New Roman" w:eastAsia="Times New Roman" w:hAnsi="Times New Roman"/>
          <w:sz w:val="16"/>
          <w:szCs w:val="16"/>
          <w:b w:val="1"/>
          <w:bCs w:val="1"/>
          <w:color w:val="auto"/>
        </w:rPr>
        <w:t>Redemption of Securities for Sinking Fund</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4.01</w:t>
      </w:r>
      <w:r>
        <w:rPr>
          <w:sz w:val="20"/>
          <w:szCs w:val="20"/>
          <w:color w:val="auto"/>
        </w:rPr>
        <w:tab/>
      </w:r>
      <w:r>
        <w:rPr>
          <w:rFonts w:ascii="Times New Roman" w:cs="Times New Roman" w:eastAsia="Times New Roman" w:hAnsi="Times New Roman"/>
          <w:sz w:val="16"/>
          <w:szCs w:val="16"/>
          <w:b w:val="1"/>
          <w:bCs w:val="1"/>
          <w:color w:val="auto"/>
        </w:rPr>
        <w:t>Payment of Principal, Premium and Interest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7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4.02</w:t>
      </w:r>
      <w:r>
        <w:rPr>
          <w:sz w:val="20"/>
          <w:szCs w:val="20"/>
          <w:color w:val="auto"/>
        </w:rPr>
        <w:tab/>
      </w:r>
      <w:r>
        <w:rPr>
          <w:rFonts w:ascii="Times New Roman" w:cs="Times New Roman" w:eastAsia="Times New Roman" w:hAnsi="Times New Roman"/>
          <w:sz w:val="16"/>
          <w:szCs w:val="16"/>
          <w:b w:val="1"/>
          <w:bCs w:val="1"/>
          <w:color w:val="auto"/>
        </w:rPr>
        <w:t>Maintenance of Office or Agency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30" w:name="page131"/>
    <w:bookmarkEnd w:id="130"/>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4.03</w:t>
      </w:r>
      <w:r>
        <w:rPr>
          <w:sz w:val="20"/>
          <w:szCs w:val="20"/>
          <w:color w:val="auto"/>
        </w:rPr>
        <w:tab/>
      </w:r>
      <w:r>
        <w:rPr>
          <w:rFonts w:ascii="Times New Roman" w:cs="Times New Roman" w:eastAsia="Times New Roman" w:hAnsi="Times New Roman"/>
          <w:sz w:val="16"/>
          <w:szCs w:val="16"/>
          <w:b w:val="1"/>
          <w:bCs w:val="1"/>
          <w:color w:val="auto"/>
        </w:rPr>
        <w:t>Paying Agents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60" w:lineRule="auto"/>
        <w:tabs>
          <w:tab w:leader="none" w:pos="2109"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8"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758"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809"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5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821"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58" w:lineRule="exact"/>
        <w:rPr>
          <w:rFonts w:ascii="Times New Roman" w:cs="Times New Roman" w:eastAsia="Times New Roman" w:hAnsi="Times New Roman"/>
          <w:sz w:val="17"/>
          <w:szCs w:val="17"/>
          <w:b w:val="1"/>
          <w:bCs w:val="1"/>
          <w:color w:val="auto"/>
        </w:rPr>
      </w:pPr>
    </w:p>
    <w:p>
      <w:pPr>
        <w:ind w:left="2640" w:hanging="830"/>
        <w:spacing w:after="0"/>
        <w:tabs>
          <w:tab w:leader="none" w:pos="2640" w:val="left"/>
        </w:tabs>
        <w:numPr>
          <w:ilvl w:val="1"/>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perform all other duties of paying agent as set forth in this Indenture.</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2164"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31" w:name="page132"/>
    <w:bookmarkEnd w:id="131"/>
    <w:p>
      <w:pPr>
        <w:jc w:val="both"/>
        <w:ind w:firstLine="1207"/>
        <w:spacing w:after="0" w:line="253" w:lineRule="auto"/>
        <w:tabs>
          <w:tab w:leader="none" w:pos="2083"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4.04</w:t>
      </w:r>
      <w:r>
        <w:rPr>
          <w:sz w:val="20"/>
          <w:szCs w:val="20"/>
          <w:color w:val="auto"/>
        </w:rPr>
        <w:tab/>
      </w:r>
      <w:r>
        <w:rPr>
          <w:rFonts w:ascii="Times New Roman" w:cs="Times New Roman" w:eastAsia="Times New Roman" w:hAnsi="Times New Roman"/>
          <w:sz w:val="16"/>
          <w:szCs w:val="16"/>
          <w:b w:val="1"/>
          <w:bCs w:val="1"/>
          <w:color w:val="auto"/>
        </w:rPr>
        <w:t>Appointment to Fill Vacancy in Office of Trustee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Company, whenever necessary to avoid or fill a vacancy in the office of Trustee, will appoint, in the manner provided in Section 7.10, a Trustee, so that there shall at all times be a Trustee hereunder.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SECURITYHOLDERS’ LISTS AND REPORTS BY THE COMPANY AND THE TRUSTEE</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5.01</w:t>
      </w:r>
      <w:r>
        <w:rPr>
          <w:sz w:val="20"/>
          <w:szCs w:val="20"/>
          <w:color w:val="auto"/>
        </w:rPr>
        <w:tab/>
      </w:r>
      <w:r>
        <w:rPr>
          <w:rFonts w:ascii="Times New Roman" w:cs="Times New Roman" w:eastAsia="Times New Roman" w:hAnsi="Times New Roman"/>
          <w:sz w:val="16"/>
          <w:szCs w:val="16"/>
          <w:b w:val="1"/>
          <w:bCs w:val="1"/>
          <w:color w:val="auto"/>
        </w:rPr>
        <w:t>Company to Furnish Trustee Names and Addresses of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5.02</w:t>
      </w:r>
      <w:r>
        <w:rPr>
          <w:sz w:val="20"/>
          <w:szCs w:val="20"/>
          <w:color w:val="auto"/>
        </w:rPr>
        <w:tab/>
      </w:r>
      <w:r>
        <w:rPr>
          <w:rFonts w:ascii="Times New Roman" w:cs="Times New Roman" w:eastAsia="Times New Roman" w:hAnsi="Times New Roman"/>
          <w:sz w:val="16"/>
          <w:szCs w:val="16"/>
          <w:b w:val="1"/>
          <w:bCs w:val="1"/>
          <w:color w:val="auto"/>
        </w:rPr>
        <w:t>Preservation Of Information; Communications With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60" w:lineRule="auto"/>
        <w:tabs>
          <w:tab w:leader="none" w:pos="2055"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2" w:name="page133"/>
    <w:bookmarkEnd w:id="132"/>
    <w:p>
      <w:pPr>
        <w:ind w:left="2040" w:hanging="833"/>
        <w:spacing w:after="0"/>
        <w:tabs>
          <w:tab w:leader="none" w:pos="20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destroy any list furnished to it as provided in Section 5.01 upon receipt of a new list so furnished.</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2121"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5.03</w:t>
      </w:r>
      <w:r>
        <w:rPr>
          <w:sz w:val="20"/>
          <w:szCs w:val="20"/>
          <w:color w:val="auto"/>
        </w:rPr>
        <w:tab/>
      </w:r>
      <w:r>
        <w:rPr>
          <w:rFonts w:ascii="Times New Roman" w:cs="Times New Roman" w:eastAsia="Times New Roman" w:hAnsi="Times New Roman"/>
          <w:sz w:val="16"/>
          <w:szCs w:val="16"/>
          <w:b w:val="1"/>
          <w:bCs w:val="1"/>
          <w:color w:val="auto"/>
        </w:rPr>
        <w:t>Reports by the Company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0" w:lineRule="auto"/>
        <w:tabs>
          <w:tab w:leader="none" w:pos="213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51" w:lineRule="auto"/>
        <w:tabs>
          <w:tab w:leader="none" w:pos="2064"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73"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5.04</w:t>
      </w:r>
      <w:r>
        <w:rPr>
          <w:sz w:val="20"/>
          <w:szCs w:val="20"/>
          <w:color w:val="auto"/>
        </w:rPr>
        <w:tab/>
      </w:r>
      <w:r>
        <w:rPr>
          <w:rFonts w:ascii="Times New Roman" w:cs="Times New Roman" w:eastAsia="Times New Roman" w:hAnsi="Times New Roman"/>
          <w:sz w:val="16"/>
          <w:szCs w:val="16"/>
          <w:b w:val="1"/>
          <w:bCs w:val="1"/>
          <w:color w:val="auto"/>
        </w:rPr>
        <w:t>Reports by the Trustee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firstLine="1207"/>
        <w:spacing w:after="0" w:line="273" w:lineRule="auto"/>
        <w:tabs>
          <w:tab w:leader="none" w:pos="2331"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3" w:name="page134"/>
    <w:bookmarkEnd w:id="133"/>
    <w:p>
      <w:pPr>
        <w:ind w:left="2040" w:hanging="833"/>
        <w:spacing w:after="0"/>
        <w:tabs>
          <w:tab w:leader="none" w:pos="204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comply with Section 313(b) and 313(c) of the Trust Indenture Act.</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20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REMEDIES OF THE TRUSTEE AND SECURITYHOLDERS ON EVENT OF DEFAULT</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6.01</w:t>
      </w:r>
      <w:r>
        <w:rPr>
          <w:sz w:val="20"/>
          <w:szCs w:val="20"/>
          <w:color w:val="auto"/>
        </w:rPr>
        <w:tab/>
      </w:r>
      <w:r>
        <w:rPr>
          <w:rFonts w:ascii="Times New Roman" w:cs="Times New Roman" w:eastAsia="Times New Roman" w:hAnsi="Times New Roman"/>
          <w:sz w:val="16"/>
          <w:szCs w:val="16"/>
          <w:b w:val="1"/>
          <w:bCs w:val="1"/>
          <w:color w:val="auto"/>
        </w:rPr>
        <w:t>Events of Default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firstLine="1207"/>
        <w:spacing w:after="0" w:line="273" w:lineRule="auto"/>
        <w:tabs>
          <w:tab w:leader="none" w:pos="2042"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used herein with respect to Securities of a particular series, “Event of Default” means any one or more of the following events that has occurred and is continuing:</w:t>
      </w:r>
    </w:p>
    <w:p>
      <w:pPr>
        <w:spacing w:after="0" w:line="158"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746" w:val="left"/>
        </w:tabs>
        <w:numPr>
          <w:ilvl w:val="1"/>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68" w:lineRule="exact"/>
        <w:rPr>
          <w:rFonts w:ascii="Times New Roman" w:cs="Times New Roman" w:eastAsia="Times New Roman" w:hAnsi="Times New Roman"/>
          <w:sz w:val="17"/>
          <w:szCs w:val="17"/>
          <w:b w:val="1"/>
          <w:bCs w:val="1"/>
          <w:color w:val="auto"/>
        </w:rPr>
      </w:pPr>
    </w:p>
    <w:p>
      <w:pPr>
        <w:jc w:val="both"/>
        <w:ind w:firstLine="1810"/>
        <w:spacing w:after="0" w:line="255" w:lineRule="auto"/>
        <w:tabs>
          <w:tab w:leader="none" w:pos="2633" w:val="left"/>
        </w:tabs>
        <w:numPr>
          <w:ilvl w:val="1"/>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4" w:lineRule="exact"/>
        <w:rPr>
          <w:rFonts w:ascii="Times New Roman" w:cs="Times New Roman" w:eastAsia="Times New Roman" w:hAnsi="Times New Roman"/>
          <w:sz w:val="17"/>
          <w:szCs w:val="17"/>
          <w:b w:val="1"/>
          <w:bCs w:val="1"/>
          <w:color w:val="auto"/>
        </w:rPr>
      </w:pPr>
    </w:p>
    <w:p>
      <w:pPr>
        <w:jc w:val="both"/>
        <w:ind w:firstLine="1810"/>
        <w:spacing w:after="0" w:line="252" w:lineRule="auto"/>
        <w:tabs>
          <w:tab w:leader="none" w:pos="2733" w:val="left"/>
        </w:tabs>
        <w:numPr>
          <w:ilvl w:val="1"/>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75"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758" w:val="left"/>
        </w:tabs>
        <w:numPr>
          <w:ilvl w:val="1"/>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4" w:name="page135"/>
    <w:bookmarkEnd w:id="134"/>
    <w:p>
      <w:pPr>
        <w:jc w:val="both"/>
        <w:ind w:firstLine="1810"/>
        <w:spacing w:after="0" w:line="260" w:lineRule="auto"/>
        <w:tabs>
          <w:tab w:leader="none" w:pos="2796" w:val="left"/>
        </w:tabs>
        <w:numPr>
          <w:ilvl w:val="1"/>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68" w:lineRule="exact"/>
        <w:rPr>
          <w:rFonts w:ascii="Times New Roman" w:cs="Times New Roman" w:eastAsia="Times New Roman" w:hAnsi="Times New Roman"/>
          <w:sz w:val="17"/>
          <w:szCs w:val="17"/>
          <w:b w:val="1"/>
          <w:bCs w:val="1"/>
          <w:color w:val="auto"/>
        </w:rPr>
      </w:pPr>
    </w:p>
    <w:p>
      <w:pPr>
        <w:jc w:val="both"/>
        <w:ind w:firstLine="1207"/>
        <w:spacing w:after="0" w:line="251" w:lineRule="auto"/>
        <w:tabs>
          <w:tab w:leader="none" w:pos="2139"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146"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such rescission and annulment shall extend to or shall affect any subsequent default or impair any right consequent thereon.</w:t>
      </w:r>
    </w:p>
    <w:p>
      <w:pPr>
        <w:spacing w:after="0" w:line="207" w:lineRule="exact"/>
        <w:rPr>
          <w:sz w:val="20"/>
          <w:szCs w:val="20"/>
          <w:color w:val="auto"/>
        </w:rPr>
      </w:pPr>
    </w:p>
    <w:p>
      <w:pPr>
        <w:jc w:val="both"/>
        <w:ind w:firstLine="1207"/>
        <w:spacing w:after="0" w:line="276" w:lineRule="auto"/>
        <w:tabs>
          <w:tab w:leader="none" w:pos="224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5" w:name="page136"/>
    <w:bookmarkEnd w:id="135"/>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6.02</w:t>
      </w:r>
      <w:r>
        <w:rPr>
          <w:sz w:val="20"/>
          <w:szCs w:val="20"/>
          <w:color w:val="auto"/>
        </w:rPr>
        <w:tab/>
      </w:r>
      <w:r>
        <w:rPr>
          <w:rFonts w:ascii="Times New Roman" w:cs="Times New Roman" w:eastAsia="Times New Roman" w:hAnsi="Times New Roman"/>
          <w:sz w:val="16"/>
          <w:szCs w:val="16"/>
          <w:b w:val="1"/>
          <w:bCs w:val="1"/>
          <w:color w:val="auto"/>
        </w:rPr>
        <w:t>Collection of Indebtedness and Suits for Enforcement by Trustee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0" w:lineRule="auto"/>
        <w:tabs>
          <w:tab w:leader="none" w:pos="1791"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1825"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2045"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3" w:lineRule="exact"/>
        <w:rPr>
          <w:rFonts w:ascii="Times New Roman" w:cs="Times New Roman" w:eastAsia="Times New Roman" w:hAnsi="Times New Roman"/>
          <w:sz w:val="17"/>
          <w:szCs w:val="17"/>
          <w:b w:val="1"/>
          <w:bCs w:val="1"/>
          <w:color w:val="auto"/>
        </w:rPr>
      </w:pPr>
    </w:p>
    <w:p>
      <w:pPr>
        <w:jc w:val="both"/>
        <w:ind w:firstLine="1207"/>
        <w:spacing w:after="0" w:line="257" w:lineRule="auto"/>
        <w:tabs>
          <w:tab w:leader="none" w:pos="1704"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rights of action and of asserting claims under this Indenture, or under any of the terms established with respect to Securities of that series,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6" w:name="page137"/>
    <w:bookmarkEnd w:id="136"/>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75"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6.03</w:t>
      </w:r>
      <w:r>
        <w:rPr>
          <w:sz w:val="20"/>
          <w:szCs w:val="20"/>
          <w:color w:val="auto"/>
        </w:rPr>
        <w:tab/>
      </w:r>
      <w:r>
        <w:rPr>
          <w:rFonts w:ascii="Times New Roman" w:cs="Times New Roman" w:eastAsia="Times New Roman" w:hAnsi="Times New Roman"/>
          <w:sz w:val="16"/>
          <w:szCs w:val="16"/>
          <w:b w:val="1"/>
          <w:bCs w:val="1"/>
          <w:color w:val="auto"/>
        </w:rPr>
        <w:t>Application of Moneys Collected</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FIRST: To the payment of costs and expenses of collection and of all amounts payable to the Trustee under Section 7.06;</w:t>
      </w:r>
    </w:p>
    <w:p>
      <w:pPr>
        <w:spacing w:after="0" w:line="207"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THIRD: To the payment of the remainder, if any, to the Company or any other Person lawfully entitled thereto.</w:t>
      </w:r>
    </w:p>
    <w:p>
      <w:pPr>
        <w:spacing w:after="0" w:line="203"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6.04</w:t>
      </w:r>
      <w:r>
        <w:rPr>
          <w:sz w:val="20"/>
          <w:szCs w:val="20"/>
          <w:color w:val="auto"/>
        </w:rPr>
        <w:tab/>
      </w:r>
      <w:r>
        <w:rPr>
          <w:rFonts w:ascii="Times New Roman" w:cs="Times New Roman" w:eastAsia="Times New Roman" w:hAnsi="Times New Roman"/>
          <w:sz w:val="16"/>
          <w:szCs w:val="16"/>
          <w:b w:val="1"/>
          <w:bCs w:val="1"/>
          <w:color w:val="auto"/>
        </w:rPr>
        <w:t>Limitation on Suits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2" w:lineRule="auto"/>
        <w:rPr>
          <w:sz w:val="20"/>
          <w:szCs w:val="20"/>
          <w:color w:val="auto"/>
        </w:rPr>
      </w:pPr>
      <w:r>
        <w:rPr>
          <w:rFonts w:ascii="Times New Roman" w:cs="Times New Roman" w:eastAsia="Times New Roman" w:hAnsi="Times New Roman"/>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w:t>
      </w:r>
    </w:p>
    <w:p>
      <w:pPr>
        <w:spacing w:after="0" w:line="1" w:lineRule="exact"/>
        <w:rPr>
          <w:sz w:val="20"/>
          <w:szCs w:val="20"/>
          <w:color w:val="auto"/>
        </w:rPr>
      </w:pPr>
    </w:p>
    <w:p>
      <w:pPr>
        <w:jc w:val="both"/>
        <w:ind w:firstLine="1"/>
        <w:spacing w:after="0" w:line="247" w:lineRule="auto"/>
        <w:tabs>
          <w:tab w:leader="none" w:pos="20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7" w:name="page138"/>
    <w:bookmarkEnd w:id="137"/>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6.05</w:t>
      </w:r>
      <w:r>
        <w:rPr>
          <w:sz w:val="20"/>
          <w:szCs w:val="20"/>
          <w:color w:val="auto"/>
        </w:rPr>
        <w:tab/>
      </w:r>
      <w:r>
        <w:rPr>
          <w:rFonts w:ascii="Times New Roman" w:cs="Times New Roman" w:eastAsia="Times New Roman" w:hAnsi="Times New Roman"/>
          <w:sz w:val="16"/>
          <w:szCs w:val="16"/>
          <w:b w:val="1"/>
          <w:bCs w:val="1"/>
          <w:color w:val="auto"/>
        </w:rPr>
        <w:t>Rights and Remedies Cumulative; Delay or Omission Not Waiver</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5" w:lineRule="auto"/>
        <w:tabs>
          <w:tab w:leader="none" w:pos="1803"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4" w:lineRule="exact"/>
        <w:rPr>
          <w:rFonts w:ascii="Times New Roman" w:cs="Times New Roman" w:eastAsia="Times New Roman" w:hAnsi="Times New Roman"/>
          <w:sz w:val="17"/>
          <w:szCs w:val="17"/>
          <w:b w:val="1"/>
          <w:bCs w:val="1"/>
          <w:color w:val="auto"/>
        </w:rPr>
      </w:pPr>
    </w:p>
    <w:p>
      <w:pPr>
        <w:jc w:val="both"/>
        <w:ind w:firstLine="1207"/>
        <w:spacing w:after="0" w:line="255" w:lineRule="auto"/>
        <w:tabs>
          <w:tab w:leader="none" w:pos="1888"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38" w:name="page139"/>
    <w:bookmarkEnd w:id="138"/>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6.06</w:t>
      </w:r>
      <w:r>
        <w:rPr>
          <w:sz w:val="20"/>
          <w:szCs w:val="20"/>
          <w:color w:val="auto"/>
        </w:rPr>
        <w:tab/>
      </w:r>
      <w:r>
        <w:rPr>
          <w:rFonts w:ascii="Times New Roman" w:cs="Times New Roman" w:eastAsia="Times New Roman" w:hAnsi="Times New Roman"/>
          <w:sz w:val="16"/>
          <w:szCs w:val="16"/>
          <w:b w:val="1"/>
          <w:bCs w:val="1"/>
          <w:color w:val="auto"/>
        </w:rPr>
        <w:t>Control by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6.07</w:t>
      </w:r>
      <w:r>
        <w:rPr>
          <w:sz w:val="20"/>
          <w:szCs w:val="20"/>
          <w:color w:val="auto"/>
        </w:rPr>
        <w:tab/>
      </w:r>
      <w:r>
        <w:rPr>
          <w:rFonts w:ascii="Times New Roman" w:cs="Times New Roman" w:eastAsia="Times New Roman" w:hAnsi="Times New Roman"/>
          <w:sz w:val="16"/>
          <w:szCs w:val="16"/>
          <w:b w:val="1"/>
          <w:bCs w:val="1"/>
          <w:color w:val="auto"/>
        </w:rPr>
        <w:t>Undertaking to Pay Costs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2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CONCERNING THE TRUSTEE</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7.01</w:t>
      </w:r>
      <w:r>
        <w:rPr>
          <w:sz w:val="20"/>
          <w:szCs w:val="20"/>
          <w:color w:val="auto"/>
        </w:rPr>
        <w:tab/>
      </w:r>
      <w:r>
        <w:rPr>
          <w:rFonts w:ascii="Times New Roman" w:cs="Times New Roman" w:eastAsia="Times New Roman" w:hAnsi="Times New Roman"/>
          <w:sz w:val="16"/>
          <w:szCs w:val="16"/>
          <w:b w:val="1"/>
          <w:bCs w:val="1"/>
          <w:color w:val="auto"/>
        </w:rPr>
        <w:t>Certain Duties and Responsibilities of Trustee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2" w:lineRule="auto"/>
        <w:tabs>
          <w:tab w:leader="none" w:pos="1879"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39" w:name="page140"/>
    <w:bookmarkEnd w:id="139"/>
    <w:p>
      <w:pPr>
        <w:ind w:firstLine="1207"/>
        <w:spacing w:after="0" w:line="273" w:lineRule="auto"/>
        <w:tabs>
          <w:tab w:leader="none" w:pos="1788"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provision of this Indenture shall be construed to relieve the Trustee from liability for its own negligent action, its own negligent failure to act, or its own willful misconduct, except that:</w:t>
      </w:r>
    </w:p>
    <w:p>
      <w:pPr>
        <w:spacing w:after="0" w:line="158" w:lineRule="exact"/>
        <w:rPr>
          <w:sz w:val="20"/>
          <w:szCs w:val="20"/>
          <w:color w:val="auto"/>
        </w:rPr>
      </w:pPr>
    </w:p>
    <w:p>
      <w:pPr>
        <w:ind w:firstLine="1207"/>
        <w:spacing w:after="0" w:line="273" w:lineRule="auto"/>
        <w:tabs>
          <w:tab w:leader="none" w:pos="1791"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occurrence of an Event of Default with respect to the Securities of a series and after the curing or waiving of all such Events of Default with respect to that series that may have occurred:</w:t>
      </w:r>
    </w:p>
    <w:p>
      <w:pPr>
        <w:spacing w:after="0" w:line="158"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461" w:val="left"/>
        </w:tabs>
        <w:numPr>
          <w:ilvl w:val="1"/>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68" w:lineRule="exact"/>
        <w:rPr>
          <w:rFonts w:ascii="Times New Roman" w:cs="Times New Roman" w:eastAsia="Times New Roman" w:hAnsi="Times New Roman"/>
          <w:sz w:val="17"/>
          <w:szCs w:val="17"/>
          <w:b w:val="1"/>
          <w:bCs w:val="1"/>
          <w:color w:val="auto"/>
        </w:rPr>
      </w:pPr>
    </w:p>
    <w:p>
      <w:pPr>
        <w:jc w:val="both"/>
        <w:ind w:firstLine="1810"/>
        <w:spacing w:after="0" w:line="255" w:lineRule="auto"/>
        <w:tabs>
          <w:tab w:leader="none" w:pos="2351" w:val="left"/>
        </w:tabs>
        <w:numPr>
          <w:ilvl w:val="1"/>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74"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09"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5" w:lineRule="auto"/>
        <w:tabs>
          <w:tab w:leader="none" w:pos="1788"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4"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1909"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0" w:name="page141"/>
    <w:bookmarkEnd w:id="140"/>
    <w:p>
      <w:pPr>
        <w:ind w:left="1780" w:hanging="573"/>
        <w:spacing w:after="0"/>
        <w:tabs>
          <w:tab w:leader="none" w:pos="178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required to give any bond or surety in respect of the performance of its powers or duties hereunder;</w:t>
      </w:r>
    </w:p>
    <w:p>
      <w:pPr>
        <w:spacing w:after="0" w:line="206" w:lineRule="exact"/>
        <w:rPr>
          <w:rFonts w:ascii="Times New Roman" w:cs="Times New Roman" w:eastAsia="Times New Roman" w:hAnsi="Times New Roman"/>
          <w:sz w:val="17"/>
          <w:szCs w:val="17"/>
          <w:b w:val="1"/>
          <w:bCs w:val="1"/>
          <w:color w:val="auto"/>
        </w:rPr>
      </w:pPr>
    </w:p>
    <w:p>
      <w:pPr>
        <w:ind w:left="1780" w:hanging="573"/>
        <w:spacing w:after="0"/>
        <w:tabs>
          <w:tab w:leader="none" w:pos="178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permissive right of the Trustee to do things enumerated in this Indenture shall not be construed as a duty of the Trustee; and</w:t>
      </w:r>
    </w:p>
    <w:p>
      <w:pPr>
        <w:spacing w:after="0" w:line="206" w:lineRule="exact"/>
        <w:rPr>
          <w:rFonts w:ascii="Times New Roman" w:cs="Times New Roman" w:eastAsia="Times New Roman" w:hAnsi="Times New Roman"/>
          <w:sz w:val="17"/>
          <w:szCs w:val="17"/>
          <w:b w:val="1"/>
          <w:bCs w:val="1"/>
          <w:color w:val="auto"/>
        </w:rPr>
      </w:pPr>
    </w:p>
    <w:p>
      <w:pPr>
        <w:ind w:left="1780" w:hanging="573"/>
        <w:spacing w:after="0"/>
        <w:tabs>
          <w:tab w:leader="none" w:pos="178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Trustee shall have any duty or responsibility for any act or omission of any other Trustee appointed with respect to a series of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w:t>
      </w:r>
    </w:p>
    <w:p>
      <w:pPr>
        <w:spacing w:after="0" w:line="186"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7.02</w:t>
      </w:r>
      <w:r>
        <w:rPr>
          <w:sz w:val="20"/>
          <w:szCs w:val="20"/>
          <w:color w:val="auto"/>
        </w:rPr>
        <w:tab/>
      </w:r>
      <w:r>
        <w:rPr>
          <w:rFonts w:ascii="Times New Roman" w:cs="Times New Roman" w:eastAsia="Times New Roman" w:hAnsi="Times New Roman"/>
          <w:sz w:val="16"/>
          <w:szCs w:val="16"/>
          <w:b w:val="1"/>
          <w:bCs w:val="1"/>
          <w:color w:val="auto"/>
        </w:rPr>
        <w:t>Certain Rights of Trustee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Except as otherwise provided in Section 7.01:</w:t>
      </w:r>
    </w:p>
    <w:p>
      <w:pPr>
        <w:spacing w:after="0" w:line="207" w:lineRule="exact"/>
        <w:rPr>
          <w:sz w:val="20"/>
          <w:szCs w:val="20"/>
          <w:color w:val="auto"/>
        </w:rPr>
      </w:pPr>
    </w:p>
    <w:p>
      <w:pPr>
        <w:jc w:val="both"/>
        <w:ind w:firstLine="1207"/>
        <w:spacing w:after="0" w:line="260" w:lineRule="auto"/>
        <w:tabs>
          <w:tab w:leader="none" w:pos="1904"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68"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913"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58"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769"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2" w:lineRule="auto"/>
        <w:tabs>
          <w:tab w:leader="none" w:pos="1788"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75"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781"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for any action taken or omitted to be taken by it in good faith and believed by it to be authorized or within the discretion or rights or powers conferred upon it by this Indenture;</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1" w:name="page142"/>
    <w:bookmarkEnd w:id="141"/>
    <w:p>
      <w:pPr>
        <w:jc w:val="both"/>
        <w:ind w:firstLine="1207"/>
        <w:spacing w:after="0" w:line="250" w:lineRule="auto"/>
        <w:tabs>
          <w:tab w:leader="none" w:pos="1776"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80"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12"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18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1804"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68"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002"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2" w:name="page143"/>
    <w:bookmarkEnd w:id="142"/>
    <w:p>
      <w:pPr>
        <w:jc w:val="both"/>
        <w:ind w:firstLine="1207"/>
        <w:spacing w:after="0" w:line="260" w:lineRule="auto"/>
        <w:tabs>
          <w:tab w:leader="none" w:pos="1758"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68"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1909"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7.03</w:t>
      </w:r>
      <w:r>
        <w:rPr>
          <w:sz w:val="20"/>
          <w:szCs w:val="20"/>
          <w:color w:val="auto"/>
        </w:rPr>
        <w:tab/>
      </w:r>
      <w:r>
        <w:rPr>
          <w:rFonts w:ascii="Times New Roman" w:cs="Times New Roman" w:eastAsia="Times New Roman" w:hAnsi="Times New Roman"/>
          <w:sz w:val="16"/>
          <w:szCs w:val="16"/>
          <w:b w:val="1"/>
          <w:bCs w:val="1"/>
          <w:color w:val="auto"/>
        </w:rPr>
        <w:t>Trustee Not Responsible for Recitals or Issuance or Securities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60" w:lineRule="auto"/>
        <w:tabs>
          <w:tab w:leader="none" w:pos="1778"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68" w:lineRule="exact"/>
        <w:rPr>
          <w:rFonts w:ascii="Times New Roman" w:cs="Times New Roman" w:eastAsia="Times New Roman" w:hAnsi="Times New Roman"/>
          <w:sz w:val="17"/>
          <w:szCs w:val="17"/>
          <w:b w:val="1"/>
          <w:bCs w:val="1"/>
          <w:color w:val="auto"/>
        </w:rPr>
      </w:pPr>
    </w:p>
    <w:p>
      <w:pPr>
        <w:ind w:left="1780" w:hanging="573"/>
        <w:spacing w:after="0"/>
        <w:tabs>
          <w:tab w:leader="none" w:pos="178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makes no representations as to the validity or sufficiency of this Indenture or of the Securities.</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1769"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7.04</w:t>
      </w:r>
      <w:r>
        <w:rPr>
          <w:sz w:val="20"/>
          <w:szCs w:val="20"/>
          <w:color w:val="auto"/>
        </w:rPr>
        <w:tab/>
      </w:r>
      <w:r>
        <w:rPr>
          <w:rFonts w:ascii="Times New Roman" w:cs="Times New Roman" w:eastAsia="Times New Roman" w:hAnsi="Times New Roman"/>
          <w:sz w:val="16"/>
          <w:szCs w:val="16"/>
          <w:b w:val="1"/>
          <w:bCs w:val="1"/>
          <w:color w:val="auto"/>
        </w:rPr>
        <w:t>May Hold Securities.</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7.05</w:t>
      </w:r>
      <w:r>
        <w:rPr>
          <w:sz w:val="20"/>
          <w:szCs w:val="20"/>
          <w:color w:val="auto"/>
        </w:rPr>
        <w:tab/>
      </w:r>
      <w:r>
        <w:rPr>
          <w:rFonts w:ascii="Times New Roman" w:cs="Times New Roman" w:eastAsia="Times New Roman" w:hAnsi="Times New Roman"/>
          <w:sz w:val="16"/>
          <w:szCs w:val="16"/>
          <w:b w:val="1"/>
          <w:bCs w:val="1"/>
          <w:color w:val="auto"/>
        </w:rPr>
        <w:t>Moneys Held in Trust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7.06</w:t>
      </w:r>
      <w:r>
        <w:rPr>
          <w:sz w:val="20"/>
          <w:szCs w:val="20"/>
          <w:color w:val="auto"/>
        </w:rPr>
        <w:tab/>
      </w:r>
      <w:r>
        <w:rPr>
          <w:rFonts w:ascii="Times New Roman" w:cs="Times New Roman" w:eastAsia="Times New Roman" w:hAnsi="Times New Roman"/>
          <w:sz w:val="16"/>
          <w:szCs w:val="16"/>
          <w:b w:val="1"/>
          <w:bCs w:val="1"/>
          <w:color w:val="auto"/>
        </w:rPr>
        <w:t>Compensation and Reimbursement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5" w:lineRule="auto"/>
        <w:tabs>
          <w:tab w:leader="none" w:pos="1829"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3" w:name="page144"/>
    <w:bookmarkEnd w:id="143"/>
    <w:p>
      <w:pPr>
        <w:jc w:val="both"/>
        <w:ind w:firstLine="1207"/>
        <w:spacing w:after="0" w:line="252" w:lineRule="auto"/>
        <w:tabs>
          <w:tab w:leader="none" w:pos="1788"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75"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19"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negligence or bad faith.</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1863"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7.07</w:t>
      </w:r>
      <w:r>
        <w:rPr>
          <w:sz w:val="20"/>
          <w:szCs w:val="20"/>
          <w:color w:val="auto"/>
        </w:rPr>
        <w:tab/>
      </w:r>
      <w:r>
        <w:rPr>
          <w:rFonts w:ascii="Times New Roman" w:cs="Times New Roman" w:eastAsia="Times New Roman" w:hAnsi="Times New Roman"/>
          <w:sz w:val="16"/>
          <w:szCs w:val="16"/>
          <w:b w:val="1"/>
          <w:bCs w:val="1"/>
          <w:color w:val="auto"/>
        </w:rPr>
        <w:t>Reliance on Officer’s Certificate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7.08</w:t>
      </w:r>
      <w:r>
        <w:rPr>
          <w:sz w:val="20"/>
          <w:szCs w:val="20"/>
          <w:color w:val="auto"/>
        </w:rPr>
        <w:tab/>
      </w:r>
      <w:r>
        <w:rPr>
          <w:rFonts w:ascii="Times New Roman" w:cs="Times New Roman" w:eastAsia="Times New Roman" w:hAnsi="Times New Roman"/>
          <w:sz w:val="16"/>
          <w:szCs w:val="16"/>
          <w:b w:val="1"/>
          <w:bCs w:val="1"/>
          <w:color w:val="auto"/>
        </w:rPr>
        <w:t>Disqualification; Conflicting Interests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4" w:name="page145"/>
    <w:bookmarkEnd w:id="144"/>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7.09</w:t>
      </w:r>
      <w:r>
        <w:rPr>
          <w:sz w:val="20"/>
          <w:szCs w:val="20"/>
          <w:color w:val="auto"/>
        </w:rPr>
        <w:tab/>
      </w:r>
      <w:r>
        <w:rPr>
          <w:rFonts w:ascii="Times New Roman" w:cs="Times New Roman" w:eastAsia="Times New Roman" w:hAnsi="Times New Roman"/>
          <w:sz w:val="16"/>
          <w:szCs w:val="16"/>
          <w:b w:val="1"/>
          <w:bCs w:val="1"/>
          <w:color w:val="auto"/>
        </w:rPr>
        <w:t>Corporate Trustee Required; Eligibility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75"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7.10</w:t>
      </w:r>
      <w:r>
        <w:rPr>
          <w:sz w:val="20"/>
          <w:szCs w:val="20"/>
          <w:color w:val="auto"/>
        </w:rPr>
        <w:tab/>
      </w:r>
      <w:r>
        <w:rPr>
          <w:rFonts w:ascii="Times New Roman" w:cs="Times New Roman" w:eastAsia="Times New Roman" w:hAnsi="Times New Roman"/>
          <w:sz w:val="16"/>
          <w:szCs w:val="16"/>
          <w:color w:val="auto"/>
        </w:rPr>
        <w:t>Resignation and Removal; Appointment of Successor.</w:t>
      </w:r>
    </w:p>
    <w:p>
      <w:pPr>
        <w:spacing w:after="0" w:line="211" w:lineRule="exact"/>
        <w:rPr>
          <w:sz w:val="20"/>
          <w:szCs w:val="20"/>
          <w:color w:val="auto"/>
        </w:rPr>
      </w:pPr>
    </w:p>
    <w:p>
      <w:pPr>
        <w:jc w:val="both"/>
        <w:ind w:firstLine="1207"/>
        <w:spacing w:after="0" w:line="250" w:lineRule="auto"/>
        <w:tabs>
          <w:tab w:leader="none" w:pos="1917"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0" w:lineRule="exact"/>
        <w:rPr>
          <w:rFonts w:ascii="Times New Roman" w:cs="Times New Roman" w:eastAsia="Times New Roman" w:hAnsi="Times New Roman"/>
          <w:sz w:val="17"/>
          <w:szCs w:val="17"/>
          <w:b w:val="1"/>
          <w:bCs w:val="1"/>
          <w:color w:val="auto"/>
        </w:rPr>
      </w:pPr>
    </w:p>
    <w:p>
      <w:pPr>
        <w:ind w:left="1780" w:hanging="573"/>
        <w:spacing w:after="0"/>
        <w:tabs>
          <w:tab w:leader="none" w:pos="178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any one of the following shall occur:</w:t>
      </w:r>
    </w:p>
    <w:p>
      <w:pPr>
        <w:spacing w:after="0" w:line="206"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491" w:val="left"/>
        </w:tabs>
        <w:numPr>
          <w:ilvl w:val="1"/>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58" w:lineRule="exact"/>
        <w:rPr>
          <w:rFonts w:ascii="Times New Roman" w:cs="Times New Roman" w:eastAsia="Times New Roman" w:hAnsi="Times New Roman"/>
          <w:sz w:val="17"/>
          <w:szCs w:val="17"/>
          <w:b w:val="1"/>
          <w:bCs w:val="1"/>
          <w:color w:val="auto"/>
        </w:rPr>
      </w:pPr>
    </w:p>
    <w:p>
      <w:pPr>
        <w:ind w:firstLine="1810"/>
        <w:spacing w:after="0" w:line="273" w:lineRule="auto"/>
        <w:tabs>
          <w:tab w:leader="none" w:pos="2357" w:val="left"/>
        </w:tabs>
        <w:numPr>
          <w:ilvl w:val="1"/>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cease to be eligible in accordance with the provisions of Section 7.09 and shall fail to resign after written request therefor by the Company or by any such Securityholder; or</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45" w:name="page146"/>
    <w:bookmarkEnd w:id="145"/>
    <w:p>
      <w:pPr>
        <w:jc w:val="both"/>
        <w:ind w:firstLine="1810"/>
        <w:spacing w:after="0" w:line="260" w:lineRule="auto"/>
        <w:tabs>
          <w:tab w:leader="none" w:pos="2387"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76" w:lineRule="exact"/>
        <w:rPr>
          <w:sz w:val="20"/>
          <w:szCs w:val="20"/>
          <w:color w:val="auto"/>
        </w:rPr>
      </w:pPr>
    </w:p>
    <w:p>
      <w:pPr>
        <w:ind w:firstLine="1207"/>
        <w:spacing w:after="0" w:line="305" w:lineRule="auto"/>
        <w:tabs>
          <w:tab w:leader="none" w:pos="1777"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35" w:lineRule="exact"/>
        <w:rPr>
          <w:rFonts w:ascii="Times New Roman" w:cs="Times New Roman" w:eastAsia="Times New Roman" w:hAnsi="Times New Roman"/>
          <w:sz w:val="16"/>
          <w:szCs w:val="16"/>
          <w:b w:val="1"/>
          <w:bCs w:val="1"/>
          <w:color w:val="auto"/>
        </w:rPr>
      </w:pPr>
    </w:p>
    <w:p>
      <w:pPr>
        <w:ind w:firstLine="1207"/>
        <w:spacing w:after="0" w:line="273" w:lineRule="auto"/>
        <w:tabs>
          <w:tab w:leader="none" w:pos="18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54"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1707"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successor trustee appointed pursuant to this Section may be appointed with respect to the Securities of one or more series or all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series, and at any time there shall be only one Trustee with respect to the Securities of any particular series.</w:t>
      </w:r>
    </w:p>
    <w:p>
      <w:pPr>
        <w:spacing w:after="0" w:line="150"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7.11</w:t>
      </w:r>
      <w:r>
        <w:rPr>
          <w:sz w:val="20"/>
          <w:szCs w:val="20"/>
          <w:color w:val="auto"/>
        </w:rPr>
        <w:tab/>
      </w:r>
      <w:r>
        <w:rPr>
          <w:rFonts w:ascii="Times New Roman" w:cs="Times New Roman" w:eastAsia="Times New Roman" w:hAnsi="Times New Roman"/>
          <w:sz w:val="16"/>
          <w:szCs w:val="16"/>
          <w:b w:val="1"/>
          <w:bCs w:val="1"/>
          <w:color w:val="auto"/>
        </w:rPr>
        <w:t>Acceptance of Appointment By Successor</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2" w:lineRule="auto"/>
        <w:tabs>
          <w:tab w:leader="none" w:pos="1879"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6" w:name="page147"/>
    <w:bookmarkEnd w:id="146"/>
    <w:p>
      <w:pPr>
        <w:jc w:val="both"/>
        <w:ind w:firstLine="1207"/>
        <w:spacing w:after="0" w:line="248" w:lineRule="auto"/>
        <w:tabs>
          <w:tab w:leader="none" w:pos="1838"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5"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32"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8" w:lineRule="exact"/>
        <w:rPr>
          <w:rFonts w:ascii="Times New Roman" w:cs="Times New Roman" w:eastAsia="Times New Roman" w:hAnsi="Times New Roman"/>
          <w:sz w:val="17"/>
          <w:szCs w:val="17"/>
          <w:b w:val="1"/>
          <w:bCs w:val="1"/>
          <w:color w:val="auto"/>
        </w:rPr>
      </w:pPr>
    </w:p>
    <w:p>
      <w:pPr>
        <w:ind w:left="1820" w:hanging="613"/>
        <w:spacing w:after="0"/>
        <w:tabs>
          <w:tab w:leader="none" w:pos="182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successor trustee shall accept its appointment unless at the time of such acceptance such successor trustee shall be qualified and eligible</w:t>
      </w:r>
    </w:p>
    <w:p>
      <w:pPr>
        <w:spacing w:after="0" w:line="3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under this Article.</w:t>
      </w:r>
    </w:p>
    <w:p>
      <w:pPr>
        <w:spacing w:after="0" w:line="190" w:lineRule="exact"/>
        <w:rPr>
          <w:rFonts w:ascii="Times New Roman" w:cs="Times New Roman" w:eastAsia="Times New Roman" w:hAnsi="Times New Roman"/>
          <w:sz w:val="16"/>
          <w:szCs w:val="16"/>
          <w:b w:val="1"/>
          <w:bCs w:val="1"/>
          <w:color w:val="auto"/>
        </w:rPr>
      </w:pPr>
    </w:p>
    <w:p>
      <w:pPr>
        <w:jc w:val="both"/>
        <w:ind w:firstLine="1207"/>
        <w:spacing w:after="0" w:line="260" w:lineRule="auto"/>
        <w:tabs>
          <w:tab w:leader="none" w:pos="1794"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7.12</w:t>
      </w:r>
      <w:r>
        <w:rPr>
          <w:sz w:val="20"/>
          <w:szCs w:val="20"/>
          <w:color w:val="auto"/>
        </w:rPr>
        <w:tab/>
      </w:r>
      <w:r>
        <w:rPr>
          <w:rFonts w:ascii="Times New Roman" w:cs="Times New Roman" w:eastAsia="Times New Roman" w:hAnsi="Times New Roman"/>
          <w:sz w:val="16"/>
          <w:szCs w:val="16"/>
          <w:b w:val="1"/>
          <w:bCs w:val="1"/>
          <w:color w:val="auto"/>
        </w:rPr>
        <w:t>Merger, Conversion, Consolidation or Succession to Business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47" w:name="page148"/>
    <w:bookmarkEnd w:id="147"/>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7.13</w:t>
      </w:r>
      <w:r>
        <w:rPr>
          <w:sz w:val="20"/>
          <w:szCs w:val="20"/>
          <w:color w:val="auto"/>
        </w:rPr>
        <w:tab/>
      </w:r>
      <w:r>
        <w:rPr>
          <w:rFonts w:ascii="Times New Roman" w:cs="Times New Roman" w:eastAsia="Times New Roman" w:hAnsi="Times New Roman"/>
          <w:sz w:val="16"/>
          <w:szCs w:val="16"/>
          <w:b w:val="1"/>
          <w:bCs w:val="1"/>
          <w:color w:val="auto"/>
        </w:rPr>
        <w:t>Preferential Collection of Claims Against the Company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7.14</w:t>
      </w:r>
      <w:r>
        <w:rPr>
          <w:sz w:val="20"/>
          <w:szCs w:val="20"/>
          <w:color w:val="auto"/>
        </w:rPr>
        <w:tab/>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CONCERNING THE SECURITYHOLDERS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8.01</w:t>
      </w:r>
      <w:r>
        <w:rPr>
          <w:sz w:val="20"/>
          <w:szCs w:val="20"/>
          <w:color w:val="auto"/>
        </w:rPr>
        <w:tab/>
      </w:r>
      <w:r>
        <w:rPr>
          <w:rFonts w:ascii="Times New Roman" w:cs="Times New Roman" w:eastAsia="Times New Roman" w:hAnsi="Times New Roman"/>
          <w:sz w:val="16"/>
          <w:szCs w:val="16"/>
          <w:b w:val="1"/>
          <w:bCs w:val="1"/>
          <w:color w:val="auto"/>
        </w:rPr>
        <w:t>Evidence of Action by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75"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48" w:name="page149"/>
    <w:bookmarkEnd w:id="148"/>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8.02</w:t>
      </w:r>
      <w:r>
        <w:rPr>
          <w:sz w:val="20"/>
          <w:szCs w:val="20"/>
          <w:color w:val="auto"/>
        </w:rPr>
        <w:tab/>
      </w:r>
      <w:r>
        <w:rPr>
          <w:rFonts w:ascii="Times New Roman" w:cs="Times New Roman" w:eastAsia="Times New Roman" w:hAnsi="Times New Roman"/>
          <w:sz w:val="16"/>
          <w:szCs w:val="16"/>
          <w:b w:val="1"/>
          <w:bCs w:val="1"/>
          <w:color w:val="auto"/>
        </w:rPr>
        <w:t>Proof of Execution by Securityholders.</w:t>
      </w:r>
    </w:p>
    <w:p>
      <w:pPr>
        <w:spacing w:after="0" w:line="211" w:lineRule="exact"/>
        <w:rPr>
          <w:sz w:val="20"/>
          <w:szCs w:val="20"/>
          <w:color w:val="auto"/>
        </w:rPr>
      </w:pPr>
    </w:p>
    <w:p>
      <w:pPr>
        <w:ind w:firstLine="603"/>
        <w:spacing w:after="0" w:line="273" w:lineRule="auto"/>
        <w:rPr>
          <w:sz w:val="20"/>
          <w:szCs w:val="20"/>
          <w:color w:val="auto"/>
        </w:rPr>
      </w:pPr>
      <w:r>
        <w:rPr>
          <w:rFonts w:ascii="Times New Roman" w:cs="Times New Roman" w:eastAsia="Times New Roman" w:hAnsi="Times New Roman"/>
          <w:sz w:val="17"/>
          <w:szCs w:val="17"/>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58" w:lineRule="exact"/>
        <w:rPr>
          <w:sz w:val="20"/>
          <w:szCs w:val="20"/>
          <w:color w:val="auto"/>
        </w:rPr>
      </w:pPr>
    </w:p>
    <w:p>
      <w:pPr>
        <w:ind w:left="1780" w:hanging="573"/>
        <w:spacing w:after="0"/>
        <w:tabs>
          <w:tab w:leader="none" w:pos="178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fact and date of the execution by any such Person of any instrument may be proved in any reasonable manner acceptable to the Trustee.</w:t>
      </w:r>
    </w:p>
    <w:p>
      <w:pPr>
        <w:spacing w:after="0" w:line="218" w:lineRule="exact"/>
        <w:rPr>
          <w:rFonts w:ascii="Times New Roman" w:cs="Times New Roman" w:eastAsia="Times New Roman" w:hAnsi="Times New Roman"/>
          <w:sz w:val="16"/>
          <w:szCs w:val="16"/>
          <w:b w:val="1"/>
          <w:bCs w:val="1"/>
          <w:color w:val="auto"/>
        </w:rPr>
      </w:pPr>
    </w:p>
    <w:p>
      <w:pPr>
        <w:ind w:right="160" w:firstLine="1207"/>
        <w:spacing w:after="0" w:line="491" w:lineRule="auto"/>
        <w:tabs>
          <w:tab w:leader="none" w:pos="1788"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8.03</w:t>
      </w:r>
      <w:r>
        <w:rPr>
          <w:sz w:val="20"/>
          <w:szCs w:val="20"/>
          <w:color w:val="auto"/>
        </w:rPr>
        <w:tab/>
      </w:r>
      <w:r>
        <w:rPr>
          <w:rFonts w:ascii="Times New Roman" w:cs="Times New Roman" w:eastAsia="Times New Roman" w:hAnsi="Times New Roman"/>
          <w:sz w:val="16"/>
          <w:szCs w:val="16"/>
          <w:b w:val="1"/>
          <w:bCs w:val="1"/>
          <w:color w:val="auto"/>
        </w:rPr>
        <w:t>Who May be Deemed Owners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8.04</w:t>
      </w:r>
      <w:r>
        <w:rPr>
          <w:sz w:val="20"/>
          <w:szCs w:val="20"/>
          <w:color w:val="auto"/>
        </w:rPr>
        <w:tab/>
      </w:r>
      <w:r>
        <w:rPr>
          <w:rFonts w:ascii="Times New Roman" w:cs="Times New Roman" w:eastAsia="Times New Roman" w:hAnsi="Times New Roman"/>
          <w:sz w:val="16"/>
          <w:szCs w:val="16"/>
          <w:b w:val="1"/>
          <w:bCs w:val="1"/>
          <w:color w:val="auto"/>
        </w:rPr>
        <w:t>Certain Securities Owned by Company Disregarded</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49" w:name="page150"/>
    <w:bookmarkEnd w:id="149"/>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8.05</w:t>
      </w:r>
      <w:r>
        <w:rPr>
          <w:sz w:val="20"/>
          <w:szCs w:val="20"/>
          <w:color w:val="auto"/>
        </w:rPr>
        <w:tab/>
      </w:r>
      <w:r>
        <w:rPr>
          <w:rFonts w:ascii="Times New Roman" w:cs="Times New Roman" w:eastAsia="Times New Roman" w:hAnsi="Times New Roman"/>
          <w:sz w:val="16"/>
          <w:szCs w:val="16"/>
          <w:b w:val="1"/>
          <w:bCs w:val="1"/>
          <w:color w:val="auto"/>
        </w:rPr>
        <w:t>Actions Binding on Future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SUPPLEMENTAL INDENTURES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9.01</w:t>
      </w:r>
      <w:r>
        <w:rPr>
          <w:sz w:val="20"/>
          <w:szCs w:val="20"/>
          <w:color w:val="auto"/>
        </w:rPr>
        <w:tab/>
      </w:r>
      <w:r>
        <w:rPr>
          <w:rFonts w:ascii="Times New Roman" w:cs="Times New Roman" w:eastAsia="Times New Roman" w:hAnsi="Times New Roman"/>
          <w:sz w:val="16"/>
          <w:szCs w:val="16"/>
          <w:b w:val="1"/>
          <w:bCs w:val="1"/>
          <w:color w:val="auto"/>
        </w:rPr>
        <w:t>Supplemental Indentures Without the Consent of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69" w:lineRule="exact"/>
        <w:rPr>
          <w:sz w:val="20"/>
          <w:szCs w:val="20"/>
          <w:color w:val="auto"/>
        </w:rPr>
      </w:pPr>
    </w:p>
    <w:p>
      <w:pPr>
        <w:ind w:left="1780" w:hanging="573"/>
        <w:spacing w:after="0"/>
        <w:tabs>
          <w:tab w:leader="none" w:pos="178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cure any ambiguity, defect, or inconsistency herein or in the Securities of any series;</w:t>
      </w:r>
    </w:p>
    <w:p>
      <w:pPr>
        <w:spacing w:after="0" w:line="206" w:lineRule="exact"/>
        <w:rPr>
          <w:rFonts w:ascii="Times New Roman" w:cs="Times New Roman" w:eastAsia="Times New Roman" w:hAnsi="Times New Roman"/>
          <w:sz w:val="17"/>
          <w:szCs w:val="17"/>
          <w:b w:val="1"/>
          <w:bCs w:val="1"/>
          <w:color w:val="auto"/>
        </w:rPr>
      </w:pPr>
    </w:p>
    <w:p>
      <w:pPr>
        <w:ind w:left="1780" w:hanging="573"/>
        <w:spacing w:after="0"/>
        <w:tabs>
          <w:tab w:leader="none" w:pos="178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comply with Article Ten;</w:t>
      </w:r>
    </w:p>
    <w:p>
      <w:pPr>
        <w:spacing w:after="0" w:line="206" w:lineRule="exact"/>
        <w:rPr>
          <w:rFonts w:ascii="Times New Roman" w:cs="Times New Roman" w:eastAsia="Times New Roman" w:hAnsi="Times New Roman"/>
          <w:sz w:val="17"/>
          <w:szCs w:val="17"/>
          <w:b w:val="1"/>
          <w:bCs w:val="1"/>
          <w:color w:val="auto"/>
        </w:rPr>
      </w:pPr>
    </w:p>
    <w:p>
      <w:pPr>
        <w:ind w:left="1760" w:hanging="553"/>
        <w:spacing w:after="0"/>
        <w:tabs>
          <w:tab w:leader="none" w:pos="17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1821"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0" w:name="page151"/>
    <w:bookmarkEnd w:id="150"/>
    <w:p>
      <w:pPr>
        <w:ind w:firstLine="1207"/>
        <w:spacing w:after="0" w:line="273" w:lineRule="auto"/>
        <w:tabs>
          <w:tab w:leader="none" w:pos="1966"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Securities, as herein set forth;</w:t>
      </w:r>
    </w:p>
    <w:p>
      <w:pPr>
        <w:spacing w:after="0" w:line="158" w:lineRule="exact"/>
        <w:rPr>
          <w:rFonts w:ascii="Times New Roman" w:cs="Times New Roman" w:eastAsia="Times New Roman" w:hAnsi="Times New Roman"/>
          <w:sz w:val="17"/>
          <w:szCs w:val="17"/>
          <w:b w:val="1"/>
          <w:bCs w:val="1"/>
          <w:color w:val="auto"/>
        </w:rPr>
      </w:pPr>
    </w:p>
    <w:p>
      <w:pPr>
        <w:ind w:left="1760" w:hanging="553"/>
        <w:spacing w:after="0"/>
        <w:tabs>
          <w:tab w:leader="none" w:pos="176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make any change that does not adversely affect the rights of any Securityholder in any material respect;</w:t>
      </w:r>
    </w:p>
    <w:p>
      <w:pPr>
        <w:spacing w:after="0" w:line="206" w:lineRule="exact"/>
        <w:rPr>
          <w:rFonts w:ascii="Times New Roman" w:cs="Times New Roman" w:eastAsia="Times New Roman" w:hAnsi="Times New Roman"/>
          <w:sz w:val="17"/>
          <w:szCs w:val="17"/>
          <w:b w:val="1"/>
          <w:bCs w:val="1"/>
          <w:color w:val="auto"/>
        </w:rPr>
      </w:pPr>
    </w:p>
    <w:p>
      <w:pPr>
        <w:jc w:val="both"/>
        <w:ind w:firstLine="1207"/>
        <w:spacing w:after="0" w:line="260" w:lineRule="auto"/>
        <w:tabs>
          <w:tab w:leader="none" w:pos="1774"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68" w:lineRule="exact"/>
        <w:rPr>
          <w:rFonts w:ascii="Times New Roman" w:cs="Times New Roman" w:eastAsia="Times New Roman" w:hAnsi="Times New Roman"/>
          <w:sz w:val="17"/>
          <w:szCs w:val="17"/>
          <w:b w:val="1"/>
          <w:bCs w:val="1"/>
          <w:color w:val="auto"/>
        </w:rPr>
      </w:pPr>
    </w:p>
    <w:p>
      <w:pPr>
        <w:ind w:left="1740" w:hanging="533"/>
        <w:spacing w:after="0"/>
        <w:tabs>
          <w:tab w:leader="none" w:pos="174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evidence and provide for the acceptance of appointment hereunder by a successor trustee; or</w:t>
      </w:r>
    </w:p>
    <w:p>
      <w:pPr>
        <w:spacing w:after="0" w:line="206" w:lineRule="exact"/>
        <w:rPr>
          <w:rFonts w:ascii="Times New Roman" w:cs="Times New Roman" w:eastAsia="Times New Roman" w:hAnsi="Times New Roman"/>
          <w:sz w:val="17"/>
          <w:szCs w:val="17"/>
          <w:b w:val="1"/>
          <w:bCs w:val="1"/>
          <w:color w:val="auto"/>
        </w:rPr>
      </w:pPr>
    </w:p>
    <w:p>
      <w:pPr>
        <w:ind w:left="1800" w:hanging="593"/>
        <w:spacing w:after="0"/>
        <w:tabs>
          <w:tab w:leader="none" w:pos="180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comply with any requirements of the Commission or any successor in connection with the qualification of this Indenture under the Trust</w:t>
      </w:r>
    </w:p>
    <w:p>
      <w:pPr>
        <w:spacing w:after="0" w:line="3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Indenture Act.</w:t>
      </w:r>
    </w:p>
    <w:p>
      <w:pPr>
        <w:spacing w:after="0" w:line="190"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9"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9.02</w:t>
      </w:r>
      <w:r>
        <w:rPr>
          <w:sz w:val="20"/>
          <w:szCs w:val="20"/>
          <w:color w:val="auto"/>
        </w:rPr>
        <w:tab/>
      </w:r>
      <w:r>
        <w:rPr>
          <w:rFonts w:ascii="Times New Roman" w:cs="Times New Roman" w:eastAsia="Times New Roman" w:hAnsi="Times New Roman"/>
          <w:sz w:val="16"/>
          <w:szCs w:val="16"/>
          <w:b w:val="1"/>
          <w:bCs w:val="1"/>
          <w:color w:val="auto"/>
        </w:rPr>
        <w:t>Supplemental Indentures With Consent of Securityholders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8" w:lineRule="auto"/>
        <w:rPr>
          <w:sz w:val="20"/>
          <w:szCs w:val="20"/>
          <w:color w:val="auto"/>
        </w:rPr>
      </w:pPr>
      <w:r>
        <w:rPr>
          <w:rFonts w:ascii="Times New Roman" w:cs="Times New Roman" w:eastAsia="Times New Roman" w:hAnsi="Times New Roman"/>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1" w:name="page152"/>
    <w:bookmarkEnd w:id="151"/>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9.03</w:t>
      </w:r>
      <w:r>
        <w:rPr>
          <w:sz w:val="20"/>
          <w:szCs w:val="20"/>
          <w:color w:val="auto"/>
        </w:rPr>
        <w:tab/>
      </w:r>
      <w:r>
        <w:rPr>
          <w:rFonts w:ascii="Times New Roman" w:cs="Times New Roman" w:eastAsia="Times New Roman" w:hAnsi="Times New Roman"/>
          <w:sz w:val="16"/>
          <w:szCs w:val="16"/>
          <w:b w:val="1"/>
          <w:bCs w:val="1"/>
          <w:color w:val="auto"/>
        </w:rPr>
        <w:t>Effect of Supplemental Indentures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9.04</w:t>
      </w:r>
      <w:r>
        <w:rPr>
          <w:sz w:val="20"/>
          <w:szCs w:val="20"/>
          <w:color w:val="auto"/>
        </w:rPr>
        <w:tab/>
      </w:r>
      <w:r>
        <w:rPr>
          <w:rFonts w:ascii="Times New Roman" w:cs="Times New Roman" w:eastAsia="Times New Roman" w:hAnsi="Times New Roman"/>
          <w:sz w:val="16"/>
          <w:szCs w:val="16"/>
          <w:b w:val="1"/>
          <w:bCs w:val="1"/>
          <w:color w:val="auto"/>
        </w:rPr>
        <w:t>Securities Affected by Supplemental Indentures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9.05</w:t>
      </w:r>
      <w:r>
        <w:rPr>
          <w:sz w:val="20"/>
          <w:szCs w:val="20"/>
          <w:color w:val="auto"/>
        </w:rPr>
        <w:tab/>
      </w:r>
      <w:r>
        <w:rPr>
          <w:rFonts w:ascii="Times New Roman" w:cs="Times New Roman" w:eastAsia="Times New Roman" w:hAnsi="Times New Roman"/>
          <w:sz w:val="16"/>
          <w:szCs w:val="16"/>
          <w:b w:val="1"/>
          <w:bCs w:val="1"/>
          <w:color w:val="auto"/>
        </w:rPr>
        <w:t>Execution of Supplemental Indentures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2" w:name="page153"/>
    <w:bookmarkEnd w:id="152"/>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SUCCESSOR ENTITY</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10.01</w:t>
      </w:r>
      <w:r>
        <w:rPr>
          <w:sz w:val="20"/>
          <w:szCs w:val="20"/>
          <w:color w:val="auto"/>
        </w:rPr>
        <w:tab/>
      </w:r>
      <w:r>
        <w:rPr>
          <w:rFonts w:ascii="Times New Roman" w:cs="Times New Roman" w:eastAsia="Times New Roman" w:hAnsi="Times New Roman"/>
          <w:sz w:val="16"/>
          <w:szCs w:val="16"/>
          <w:b w:val="1"/>
          <w:bCs w:val="1"/>
          <w:color w:val="auto"/>
        </w:rPr>
        <w:t>Company May Consolidate, Etc.</w:t>
      </w:r>
    </w:p>
    <w:p>
      <w:pPr>
        <w:spacing w:after="0" w:line="211"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78"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Section 10.02</w:t>
      </w:r>
      <w:r>
        <w:rPr>
          <w:sz w:val="20"/>
          <w:szCs w:val="20"/>
          <w:color w:val="auto"/>
        </w:rPr>
        <w:tab/>
      </w:r>
      <w:r>
        <w:rPr>
          <w:rFonts w:ascii="Times New Roman" w:cs="Times New Roman" w:eastAsia="Times New Roman" w:hAnsi="Times New Roman"/>
          <w:sz w:val="16"/>
          <w:szCs w:val="16"/>
          <w:b w:val="1"/>
          <w:bCs w:val="1"/>
          <w:color w:val="auto"/>
        </w:rPr>
        <w:t>Successor Entity Substituted</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5" w:lineRule="auto"/>
        <w:tabs>
          <w:tab w:leader="none" w:pos="1791"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74"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25"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3" w:name="page154"/>
    <w:bookmarkEnd w:id="153"/>
    <w:p>
      <w:pPr>
        <w:jc w:val="both"/>
        <w:ind w:firstLine="1207"/>
        <w:spacing w:after="0" w:line="260" w:lineRule="auto"/>
        <w:tabs>
          <w:tab w:leader="none" w:pos="1844"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SATISFACTION AND DISCHARGE</w:t>
      </w:r>
    </w:p>
    <w:p>
      <w:pPr>
        <w:spacing w:after="0" w:line="207"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11.01</w:t>
      </w:r>
      <w:r>
        <w:rPr>
          <w:sz w:val="20"/>
          <w:szCs w:val="20"/>
          <w:color w:val="auto"/>
        </w:rPr>
        <w:tab/>
      </w:r>
      <w:r>
        <w:rPr>
          <w:rFonts w:ascii="Times New Roman" w:cs="Times New Roman" w:eastAsia="Times New Roman" w:hAnsi="Times New Roman"/>
          <w:sz w:val="16"/>
          <w:szCs w:val="16"/>
          <w:b w:val="1"/>
          <w:bCs w:val="1"/>
          <w:color w:val="auto"/>
        </w:rPr>
        <w:t>Satisfaction and Discharge of Indenture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48" w:lineRule="auto"/>
        <w:rPr>
          <w:sz w:val="20"/>
          <w:szCs w:val="20"/>
          <w:color w:val="auto"/>
        </w:rPr>
      </w:pPr>
      <w:r>
        <w:rPr>
          <w:rFonts w:ascii="Times New Roman" w:cs="Times New Roman" w:eastAsia="Times New Roman" w:hAnsi="Times New Roman"/>
          <w:sz w:val="17"/>
          <w:szCs w:val="17"/>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84"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11.02</w:t>
      </w:r>
      <w:r>
        <w:rPr>
          <w:sz w:val="20"/>
          <w:szCs w:val="20"/>
          <w:color w:val="auto"/>
        </w:rPr>
        <w:tab/>
      </w:r>
      <w:r>
        <w:rPr>
          <w:rFonts w:ascii="Times New Roman" w:cs="Times New Roman" w:eastAsia="Times New Roman" w:hAnsi="Times New Roman"/>
          <w:sz w:val="16"/>
          <w:szCs w:val="16"/>
          <w:b w:val="1"/>
          <w:bCs w:val="1"/>
          <w:color w:val="auto"/>
        </w:rPr>
        <w:t>Discharge of Obligations.</w:t>
      </w:r>
    </w:p>
    <w:p>
      <w:pPr>
        <w:spacing w:after="0" w:line="211"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4" w:name="page155"/>
    <w:bookmarkEnd w:id="154"/>
    <w:p>
      <w:pPr>
        <w:ind w:left="600"/>
        <w:spacing w:after="0"/>
        <w:rPr>
          <w:sz w:val="20"/>
          <w:szCs w:val="20"/>
          <w:color w:val="auto"/>
        </w:rPr>
      </w:pPr>
      <w:r>
        <w:rPr>
          <w:rFonts w:ascii="Times New Roman" w:cs="Times New Roman" w:eastAsia="Times New Roman" w:hAnsi="Times New Roman"/>
          <w:sz w:val="17"/>
          <w:szCs w:val="17"/>
          <w:color w:val="auto"/>
        </w:rPr>
        <w:t>Thereafter, Sections 7.06 and 11.05 shall survive.</w:t>
      </w:r>
    </w:p>
    <w:p>
      <w:pPr>
        <w:spacing w:after="0" w:line="203"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11.03</w:t>
      </w:r>
      <w:r>
        <w:rPr>
          <w:sz w:val="20"/>
          <w:szCs w:val="20"/>
          <w:color w:val="auto"/>
        </w:rPr>
        <w:tab/>
      </w:r>
      <w:r>
        <w:rPr>
          <w:rFonts w:ascii="Times New Roman" w:cs="Times New Roman" w:eastAsia="Times New Roman" w:hAnsi="Times New Roman"/>
          <w:sz w:val="16"/>
          <w:szCs w:val="16"/>
          <w:b w:val="1"/>
          <w:bCs w:val="1"/>
          <w:color w:val="auto"/>
        </w:rPr>
        <w:t>Deposited Moneys to be Held in Trust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65"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11.04</w:t>
      </w:r>
      <w:r>
        <w:rPr>
          <w:sz w:val="20"/>
          <w:szCs w:val="20"/>
          <w:color w:val="auto"/>
        </w:rPr>
        <w:tab/>
      </w:r>
      <w:r>
        <w:rPr>
          <w:rFonts w:ascii="Times New Roman" w:cs="Times New Roman" w:eastAsia="Times New Roman" w:hAnsi="Times New Roman"/>
          <w:sz w:val="16"/>
          <w:szCs w:val="16"/>
          <w:b w:val="1"/>
          <w:bCs w:val="1"/>
          <w:color w:val="auto"/>
        </w:rPr>
        <w:t>Payment of Moneys Held by Paying Agents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65"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11.05</w:t>
      </w:r>
      <w:r>
        <w:rPr>
          <w:sz w:val="20"/>
          <w:szCs w:val="20"/>
          <w:color w:val="auto"/>
        </w:rPr>
        <w:tab/>
      </w:r>
      <w:r>
        <w:rPr>
          <w:rFonts w:ascii="Times New Roman" w:cs="Times New Roman" w:eastAsia="Times New Roman" w:hAnsi="Times New Roman"/>
          <w:sz w:val="16"/>
          <w:szCs w:val="16"/>
          <w:b w:val="1"/>
          <w:bCs w:val="1"/>
          <w:color w:val="auto"/>
        </w:rPr>
        <w:t>Repayment to Company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2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IMMUNITY OF INCORPORATORS, STOCKHOLDERS, OFFICERS AND DIRECTORS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12.01</w:t>
      </w:r>
      <w:r>
        <w:rPr>
          <w:sz w:val="20"/>
          <w:szCs w:val="20"/>
          <w:color w:val="auto"/>
        </w:rPr>
        <w:tab/>
      </w:r>
      <w:r>
        <w:rPr>
          <w:rFonts w:ascii="Times New Roman" w:cs="Times New Roman" w:eastAsia="Times New Roman" w:hAnsi="Times New Roman"/>
          <w:sz w:val="16"/>
          <w:szCs w:val="16"/>
          <w:b w:val="1"/>
          <w:bCs w:val="1"/>
          <w:color w:val="auto"/>
        </w:rPr>
        <w:t>No Recourse</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ARTICLE 13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 PROVISIONS</w:t>
      </w:r>
    </w:p>
    <w:p>
      <w:pPr>
        <w:spacing w:after="0" w:line="207"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13.01</w:t>
      </w:r>
      <w:r>
        <w:rPr>
          <w:sz w:val="20"/>
          <w:szCs w:val="20"/>
          <w:color w:val="auto"/>
        </w:rPr>
        <w:tab/>
      </w:r>
      <w:r>
        <w:rPr>
          <w:rFonts w:ascii="Times New Roman" w:cs="Times New Roman" w:eastAsia="Times New Roman" w:hAnsi="Times New Roman"/>
          <w:sz w:val="16"/>
          <w:szCs w:val="16"/>
          <w:b w:val="1"/>
          <w:bCs w:val="1"/>
          <w:color w:val="auto"/>
        </w:rPr>
        <w:t>Effect on Successors and Assigns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All the covenants, stipulations, promises and agreements in this Indenture made by or on behalf of the Company shall bind its successors and assigns, whether so expressed or not.</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13.02</w:t>
      </w:r>
      <w:r>
        <w:rPr>
          <w:sz w:val="20"/>
          <w:szCs w:val="20"/>
          <w:color w:val="auto"/>
        </w:rPr>
        <w:tab/>
      </w:r>
      <w:r>
        <w:rPr>
          <w:rFonts w:ascii="Times New Roman" w:cs="Times New Roman" w:eastAsia="Times New Roman" w:hAnsi="Times New Roman"/>
          <w:sz w:val="16"/>
          <w:szCs w:val="16"/>
          <w:b w:val="1"/>
          <w:bCs w:val="1"/>
          <w:color w:val="auto"/>
        </w:rPr>
        <w:t>Actions by Successor.</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Section 13.03  Surrender of Company Powers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Section 13.04  Notices</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jc w:val="both"/>
        <w:ind w:firstLine="603"/>
        <w:spacing w:after="0" w:line="269" w:lineRule="auto"/>
        <w:rPr>
          <w:sz w:val="20"/>
          <w:szCs w:val="20"/>
          <w:color w:val="auto"/>
        </w:rPr>
      </w:pPr>
      <w:r>
        <w:rPr>
          <w:rFonts w:ascii="Times New Roman" w:cs="Times New Roman" w:eastAsia="Times New Roman" w:hAnsi="Times New Roman"/>
          <w:sz w:val="16"/>
          <w:szCs w:val="16"/>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-283210</wp:posOffset>
            </wp:positionV>
            <wp:extent cx="31134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6" w:name="page157"/>
    <w:bookmarkEnd w:id="156"/>
    <w:p>
      <w:pPr>
        <w:ind w:left="600"/>
        <w:spacing w:after="0"/>
        <w:tabs>
          <w:tab w:leader="none" w:pos="1700" w:val="left"/>
        </w:tabs>
        <w:rPr>
          <w:sz w:val="20"/>
          <w:szCs w:val="20"/>
          <w:color w:val="auto"/>
        </w:rPr>
      </w:pPr>
      <w:r>
        <w:rPr>
          <w:rFonts w:ascii="Times New Roman" w:cs="Times New Roman" w:eastAsia="Times New Roman" w:hAnsi="Times New Roman"/>
          <w:sz w:val="17"/>
          <w:szCs w:val="17"/>
          <w:b w:val="1"/>
          <w:bCs w:val="1"/>
          <w:color w:val="auto"/>
        </w:rPr>
        <w:t>Section 13.05</w:t>
      </w:r>
      <w:r>
        <w:rPr>
          <w:sz w:val="20"/>
          <w:szCs w:val="20"/>
          <w:color w:val="auto"/>
        </w:rPr>
        <w:tab/>
      </w:r>
      <w:r>
        <w:rPr>
          <w:rFonts w:ascii="Times New Roman" w:cs="Times New Roman" w:eastAsia="Times New Roman" w:hAnsi="Times New Roman"/>
          <w:sz w:val="16"/>
          <w:szCs w:val="16"/>
          <w:b w:val="1"/>
          <w:bCs w:val="1"/>
          <w:color w:val="auto"/>
        </w:rPr>
        <w:t>Governing Law; Jury Trial Waiver</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This Indenture and each Security shall be governed by, and construed in accordance with, the internal laws of the State of New York, except to the extent that the Trust Indenture Act is applicable.</w:t>
      </w:r>
    </w:p>
    <w:p>
      <w:pPr>
        <w:spacing w:after="0" w:line="158"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13.06</w:t>
      </w:r>
      <w:r>
        <w:rPr>
          <w:sz w:val="20"/>
          <w:szCs w:val="20"/>
          <w:color w:val="auto"/>
        </w:rPr>
        <w:tab/>
      </w:r>
      <w:r>
        <w:rPr>
          <w:rFonts w:ascii="Times New Roman" w:cs="Times New Roman" w:eastAsia="Times New Roman" w:hAnsi="Times New Roman"/>
          <w:sz w:val="16"/>
          <w:szCs w:val="16"/>
          <w:b w:val="1"/>
          <w:bCs w:val="1"/>
          <w:color w:val="auto"/>
        </w:rPr>
        <w:t>Treatment of Securities as Debt.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It is intended that the Securities will be treated as indebtedness and not as equity for federal income tax purposes. The provisions of this Indenture shall be interpreted to further this intention.</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13.07</w:t>
      </w:r>
      <w:r>
        <w:rPr>
          <w:sz w:val="20"/>
          <w:szCs w:val="20"/>
          <w:color w:val="auto"/>
        </w:rPr>
        <w:tab/>
      </w:r>
      <w:r>
        <w:rPr>
          <w:rFonts w:ascii="Times New Roman" w:cs="Times New Roman" w:eastAsia="Times New Roman" w:hAnsi="Times New Roman"/>
          <w:sz w:val="16"/>
          <w:szCs w:val="16"/>
          <w:b w:val="1"/>
          <w:bCs w:val="1"/>
          <w:color w:val="auto"/>
        </w:rPr>
        <w:t>Certificates and Opinions as to Conditions Precedent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1207"/>
        <w:spacing w:after="0" w:line="252" w:lineRule="auto"/>
        <w:tabs>
          <w:tab w:leader="none" w:pos="1954"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75" w:lineRule="exact"/>
        <w:rPr>
          <w:rFonts w:ascii="Times New Roman" w:cs="Times New Roman" w:eastAsia="Times New Roman" w:hAnsi="Times New Roman"/>
          <w:sz w:val="17"/>
          <w:szCs w:val="17"/>
          <w:b w:val="1"/>
          <w:bCs w:val="1"/>
          <w:color w:val="auto"/>
        </w:rPr>
      </w:pPr>
    </w:p>
    <w:p>
      <w:pPr>
        <w:jc w:val="both"/>
        <w:ind w:firstLine="1207"/>
        <w:spacing w:after="0" w:line="252" w:lineRule="auto"/>
        <w:tabs>
          <w:tab w:leader="none" w:pos="1964"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7" w:name="page158"/>
    <w:bookmarkEnd w:id="157"/>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13.08</w:t>
      </w:r>
      <w:r>
        <w:rPr>
          <w:sz w:val="20"/>
          <w:szCs w:val="20"/>
          <w:color w:val="auto"/>
        </w:rPr>
        <w:tab/>
      </w:r>
      <w:r>
        <w:rPr>
          <w:rFonts w:ascii="Times New Roman" w:cs="Times New Roman" w:eastAsia="Times New Roman" w:hAnsi="Times New Roman"/>
          <w:sz w:val="16"/>
          <w:szCs w:val="16"/>
          <w:b w:val="1"/>
          <w:bCs w:val="1"/>
          <w:color w:val="auto"/>
        </w:rPr>
        <w:t>Payments on Business Days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1"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13.09</w:t>
      </w:r>
      <w:r>
        <w:rPr>
          <w:sz w:val="20"/>
          <w:szCs w:val="20"/>
          <w:color w:val="auto"/>
        </w:rPr>
        <w:tab/>
      </w:r>
      <w:r>
        <w:rPr>
          <w:rFonts w:ascii="Times New Roman" w:cs="Times New Roman" w:eastAsia="Times New Roman" w:hAnsi="Times New Roman"/>
          <w:sz w:val="16"/>
          <w:szCs w:val="16"/>
          <w:b w:val="1"/>
          <w:bCs w:val="1"/>
          <w:color w:val="auto"/>
        </w:rPr>
        <w:t>Conflict with Trust Indenture Act.</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If and to the extent that any provision of this Indenture limits, qualifies or conflicts with the duties imposed by Section 318(c) of the Trust Indenture Act, such imposed duties shall control.</w:t>
      </w:r>
    </w:p>
    <w:p>
      <w:pPr>
        <w:spacing w:after="0" w:line="154"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13.10</w:t>
      </w:r>
      <w:r>
        <w:rPr>
          <w:sz w:val="20"/>
          <w:szCs w:val="20"/>
          <w:color w:val="auto"/>
        </w:rPr>
        <w:tab/>
      </w: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600"/>
        <w:spacing w:after="0"/>
        <w:tabs>
          <w:tab w:leader="none" w:pos="1720" w:val="left"/>
        </w:tabs>
        <w:rPr>
          <w:sz w:val="20"/>
          <w:szCs w:val="20"/>
          <w:color w:val="auto"/>
        </w:rPr>
      </w:pPr>
      <w:r>
        <w:rPr>
          <w:rFonts w:ascii="Times New Roman" w:cs="Times New Roman" w:eastAsia="Times New Roman" w:hAnsi="Times New Roman"/>
          <w:sz w:val="17"/>
          <w:szCs w:val="17"/>
          <w:b w:val="1"/>
          <w:bCs w:val="1"/>
          <w:color w:val="auto"/>
        </w:rPr>
        <w:t>Section 13.11</w:t>
      </w:r>
      <w:r>
        <w:rPr>
          <w:sz w:val="20"/>
          <w:szCs w:val="20"/>
          <w:color w:val="auto"/>
        </w:rPr>
        <w:tab/>
      </w:r>
      <w:r>
        <w:rPr>
          <w:rFonts w:ascii="Times New Roman" w:cs="Times New Roman" w:eastAsia="Times New Roman" w:hAnsi="Times New Roman"/>
          <w:sz w:val="16"/>
          <w:szCs w:val="16"/>
          <w:b w:val="1"/>
          <w:bCs w:val="1"/>
          <w:color w:val="auto"/>
        </w:rPr>
        <w:t>Separability</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65"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13.12</w:t>
      </w:r>
      <w:r>
        <w:rPr>
          <w:sz w:val="20"/>
          <w:szCs w:val="20"/>
          <w:color w:val="auto"/>
        </w:rPr>
        <w:tab/>
      </w:r>
      <w:r>
        <w:rPr>
          <w:rFonts w:ascii="Times New Roman" w:cs="Times New Roman" w:eastAsia="Times New Roman" w:hAnsi="Times New Roman"/>
          <w:sz w:val="16"/>
          <w:szCs w:val="16"/>
          <w:b w:val="1"/>
          <w:bCs w:val="1"/>
          <w:color w:val="auto"/>
        </w:rPr>
        <w:t>Compliance Certificates</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8" w:name="page159"/>
    <w:bookmarkEnd w:id="158"/>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13.13</w:t>
      </w:r>
      <w:r>
        <w:rPr>
          <w:sz w:val="20"/>
          <w:szCs w:val="20"/>
          <w:color w:val="auto"/>
        </w:rPr>
        <w:tab/>
      </w:r>
      <w:r>
        <w:rPr>
          <w:rFonts w:ascii="Times New Roman" w:cs="Times New Roman" w:eastAsia="Times New Roman" w:hAnsi="Times New Roman"/>
          <w:sz w:val="16"/>
          <w:szCs w:val="16"/>
          <w:b w:val="1"/>
          <w:bCs w:val="1"/>
          <w:color w:val="auto"/>
        </w:rPr>
        <w:t>U.S.A Patriot Act</w:t>
      </w:r>
      <w:r>
        <w:rPr>
          <w:rFonts w:ascii="Times New Roman" w:cs="Times New Roman" w:eastAsia="Times New Roman" w:hAnsi="Times New Roman"/>
          <w:sz w:val="16"/>
          <w:szCs w:val="16"/>
          <w:color w:val="auto"/>
        </w:rPr>
        <w:t>.</w:t>
      </w:r>
    </w:p>
    <w:p>
      <w:pPr>
        <w:spacing w:after="0" w:line="211"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1"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13.14</w:t>
      </w:r>
      <w:r>
        <w:rPr>
          <w:sz w:val="20"/>
          <w:szCs w:val="20"/>
          <w:color w:val="auto"/>
        </w:rPr>
        <w:tab/>
      </w:r>
      <w:r>
        <w:rPr>
          <w:rFonts w:ascii="Times New Roman" w:cs="Times New Roman" w:eastAsia="Times New Roman" w:hAnsi="Times New Roman"/>
          <w:sz w:val="16"/>
          <w:szCs w:val="16"/>
          <w:b w:val="1"/>
          <w:bCs w:val="1"/>
          <w:color w:val="auto"/>
        </w:rPr>
        <w:t>Force Majeure.</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72" w:lineRule="exact"/>
        <w:rPr>
          <w:sz w:val="20"/>
          <w:szCs w:val="20"/>
          <w:color w:val="auto"/>
        </w:rPr>
      </w:pPr>
    </w:p>
    <w:p>
      <w:pPr>
        <w:ind w:left="6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Section 13.15</w:t>
      </w:r>
      <w:r>
        <w:rPr>
          <w:sz w:val="20"/>
          <w:szCs w:val="20"/>
          <w:color w:val="auto"/>
        </w:rPr>
        <w:tab/>
      </w:r>
      <w:r>
        <w:rPr>
          <w:rFonts w:ascii="Times New Roman" w:cs="Times New Roman" w:eastAsia="Times New Roman" w:hAnsi="Times New Roman"/>
          <w:sz w:val="16"/>
          <w:szCs w:val="16"/>
          <w:b w:val="1"/>
          <w:bCs w:val="1"/>
          <w:color w:val="auto"/>
        </w:rPr>
        <w:t>Table of Contents; Headings.</w:t>
      </w:r>
    </w:p>
    <w:p>
      <w:pPr>
        <w:spacing w:after="0" w:line="211" w:lineRule="exact"/>
        <w:rPr>
          <w:sz w:val="20"/>
          <w:szCs w:val="20"/>
          <w:color w:val="auto"/>
        </w:rPr>
      </w:pPr>
    </w:p>
    <w:p>
      <w:pPr>
        <w:jc w:val="both"/>
        <w:ind w:firstLine="603"/>
        <w:spacing w:after="0" w:line="273" w:lineRule="auto"/>
        <w:rPr>
          <w:sz w:val="20"/>
          <w:szCs w:val="20"/>
          <w:color w:val="auto"/>
        </w:rPr>
      </w:pPr>
      <w:r>
        <w:rPr>
          <w:rFonts w:ascii="Times New Roman" w:cs="Times New Roman" w:eastAsia="Times New Roman" w:hAnsi="Times New Roman"/>
          <w:sz w:val="17"/>
          <w:szCs w:val="17"/>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7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 xml:space="preserve">[TRUSTEE], </w:t>
      </w:r>
      <w:r>
        <w:rPr>
          <w:rFonts w:ascii="Times New Roman" w:cs="Times New Roman" w:eastAsia="Times New Roman" w:hAnsi="Times New Roman"/>
          <w:sz w:val="17"/>
          <w:szCs w:val="17"/>
          <w:color w:val="auto"/>
        </w:rPr>
        <w:t>as Trustee</w:t>
      </w:r>
    </w:p>
    <w:p>
      <w:pPr>
        <w:spacing w:after="0" w:line="2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5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11430</wp:posOffset>
            </wp:positionV>
            <wp:extent cx="32797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3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13970</wp:posOffset>
            </wp:positionV>
            <wp:extent cx="71418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48"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1"/>
        </w:trPr>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CROSS-REFERENCE TABLE (1)</w:t>
            </w:r>
          </w:p>
        </w:tc>
        <w:tc>
          <w:tcPr>
            <w:tcW w:w="1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02"/>
        </w:trPr>
        <w:tc>
          <w:tcPr>
            <w:tcW w:w="80" w:type="dxa"/>
            <w:vAlign w:val="bottom"/>
          </w:tcPr>
          <w:p>
            <w:pPr>
              <w:spacing w:after="0"/>
              <w:rPr>
                <w:sz w:val="24"/>
                <w:szCs w:val="24"/>
                <w:color w:val="auto"/>
              </w:rPr>
            </w:pPr>
          </w:p>
        </w:tc>
        <w:tc>
          <w:tcPr>
            <w:tcW w:w="79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7"/>
                <w:szCs w:val="17"/>
                <w:b w:val="1"/>
                <w:bCs w:val="1"/>
                <w:color w:val="auto"/>
              </w:rPr>
              <w:t>Section of Trust Indenture Act of 1939, as Amended</w:t>
            </w:r>
          </w:p>
        </w:tc>
        <w:tc>
          <w:tcPr>
            <w:tcW w:w="180" w:type="dxa"/>
            <w:vAlign w:val="bottom"/>
          </w:tcPr>
          <w:p>
            <w:pPr>
              <w:spacing w:after="0"/>
              <w:rPr>
                <w:sz w:val="24"/>
                <w:szCs w:val="24"/>
                <w:color w:val="auto"/>
              </w:rPr>
            </w:pPr>
          </w:p>
        </w:tc>
        <w:tc>
          <w:tcPr>
            <w:tcW w:w="2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Section of Indenture</w:t>
            </w:r>
          </w:p>
        </w:tc>
      </w:tr>
      <w:tr>
        <w:trPr>
          <w:trHeight w:val="177"/>
        </w:trPr>
        <w:tc>
          <w:tcPr>
            <w:tcW w:w="80" w:type="dxa"/>
            <w:vAlign w:val="bottom"/>
          </w:tcPr>
          <w:p>
            <w:pPr>
              <w:spacing w:after="0"/>
              <w:rPr>
                <w:sz w:val="15"/>
                <w:szCs w:val="15"/>
                <w:color w:val="auto"/>
              </w:rPr>
            </w:pPr>
          </w:p>
        </w:tc>
        <w:tc>
          <w:tcPr>
            <w:tcW w:w="79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310(a)</w:t>
            </w:r>
          </w:p>
        </w:tc>
        <w:tc>
          <w:tcPr>
            <w:tcW w:w="180" w:type="dxa"/>
            <w:vAlign w:val="bottom"/>
          </w:tcPr>
          <w:p>
            <w:pPr>
              <w:spacing w:after="0"/>
              <w:rPr>
                <w:sz w:val="15"/>
                <w:szCs w:val="15"/>
                <w:color w:val="auto"/>
              </w:rPr>
            </w:pPr>
          </w:p>
        </w:tc>
        <w:tc>
          <w:tcPr>
            <w:tcW w:w="29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7.09</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310(b)</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7.08</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7.10</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310(c)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7.13</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311(b)</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7.13</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5.01</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5.02(a)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5.02(c)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5.02(c)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313(a)</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5.04(a)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5.04(b)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5.04(a)</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5.04(b)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5.04(c)</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5.03</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13.12</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314(b)</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314(c)</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13.07(a)</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314(e)</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13.07(b)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314(f)</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Inapplicable</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315(a)</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7.01(a)</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7.01(b)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315(b)</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7.14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315(c)</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7.01</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315(d)</w:t>
            </w:r>
          </w:p>
        </w:tc>
        <w:tc>
          <w:tcPr>
            <w:tcW w:w="18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7.01(b)</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315(e)</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6.07</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6.06</w:t>
            </w:r>
          </w:p>
        </w:tc>
      </w:tr>
      <w:tr>
        <w:trPr>
          <w:trHeight w:val="201"/>
        </w:trPr>
        <w:tc>
          <w:tcPr>
            <w:tcW w:w="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8.04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316(b)</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6.04</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316(c)</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8.01</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317(a)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6.02</w:t>
            </w:r>
          </w:p>
        </w:tc>
      </w:tr>
      <w:tr>
        <w:trPr>
          <w:trHeight w:val="201"/>
        </w:trPr>
        <w:tc>
          <w:tcPr>
            <w:tcW w:w="80" w:type="dxa"/>
            <w:vAlign w:val="bottom"/>
          </w:tcPr>
          <w:p>
            <w:pPr>
              <w:spacing w:after="0"/>
              <w:rPr>
                <w:sz w:val="17"/>
                <w:szCs w:val="17"/>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317(b)</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4.03</w:t>
            </w:r>
          </w:p>
        </w:tc>
      </w:tr>
      <w:tr>
        <w:trPr>
          <w:trHeight w:val="217"/>
        </w:trPr>
        <w:tc>
          <w:tcPr>
            <w:tcW w:w="80" w:type="dxa"/>
            <w:vAlign w:val="bottom"/>
          </w:tcPr>
          <w:p>
            <w:pPr>
              <w:spacing w:after="0"/>
              <w:rPr>
                <w:sz w:val="18"/>
                <w:szCs w:val="18"/>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318(a)</w:t>
            </w: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1787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91" w:lineRule="exact"/>
        <w:rPr>
          <w:sz w:val="20"/>
          <w:szCs w:val="20"/>
          <w:color w:val="auto"/>
        </w:rPr>
      </w:pPr>
    </w:p>
    <w:p>
      <w:pPr>
        <w:jc w:val="center"/>
        <w:ind w:left="5520" w:right="580" w:hanging="5519"/>
        <w:spacing w:after="0" w:line="767" w:lineRule="auto"/>
        <w:tabs>
          <w:tab w:leader="none" w:pos="30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Cross-Reference Table does not constitute part of the Indenture and shall not have any bearing on the interpretation of any of its terms or provisions.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71418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60"/>
          </w:cols>
          <w:pgMar w:left="320" w:top="848" w:right="4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_____________, AS WARRANT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COMMON STOCK</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WARRANT AGREEMENT</w:t>
      </w:r>
    </w:p>
    <w:p>
      <w:pPr>
        <w:spacing w:after="0" w:line="18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DATED AS OF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542925</wp:posOffset>
            </wp:positionV>
            <wp:extent cx="71418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45"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b w:val="1"/>
          <w:bCs w:val="1"/>
          <w:color w:val="auto"/>
        </w:rPr>
        <w:t>MARKER THERAPEUTICS, INC. FORM OF COMMON STOCK WARRANT AGREEMENT</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THIS COMMON STOCK WARRANT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dated as of [●], between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proposes to sell [If Warrants are sold with other securities —[title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Common Stock of the Company, par value $0.001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68" w:lineRule="exact"/>
        <w:rPr>
          <w:sz w:val="20"/>
          <w:szCs w:val="20"/>
          <w:color w:val="auto"/>
        </w:rPr>
      </w:pPr>
    </w:p>
    <w:p>
      <w:pPr>
        <w:jc w:val="both"/>
        <w:ind w:firstLine="603"/>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Company desires the Warrant Agent to act on behalf of the Company, and the Warrant Agent is willing so to act, in connection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DELIVERY OF WARRANT CERTIFICATES</w:t>
      </w:r>
    </w:p>
    <w:p>
      <w:pPr>
        <w:spacing w:after="0" w:line="18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and 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 and each Warrant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172"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 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 the 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63" w:name="page164"/>
    <w:bookmarkEnd w:id="163"/>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2"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1.3 Issuance of Warrant Certificates. </w:t>
      </w:r>
      <w:r>
        <w:rPr>
          <w:rFonts w:ascii="Times New Roman" w:cs="Times New Roman" w:eastAsia="Times New Roman" w:hAnsi="Times New Roman"/>
          <w:sz w:val="17"/>
          <w:szCs w:val="17"/>
          <w:color w:val="auto"/>
        </w:rPr>
        <w:t>Warrant Certificates evidencing the right to purchase Warrant Securities may be executed by the Company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PRICE, DURATION AND EXERCISE OF WARRANTS</w:t>
      </w:r>
    </w:p>
    <w:p>
      <w:pPr>
        <w:spacing w:after="0" w:line="207"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2.1 Warrant Price. </w:t>
      </w:r>
      <w:r>
        <w:rPr>
          <w:rFonts w:ascii="Times New Roman" w:cs="Times New Roman" w:eastAsia="Times New Roman" w:hAnsi="Times New Roman"/>
          <w:sz w:val="17"/>
          <w:szCs w:val="17"/>
          <w:color w:val="auto"/>
        </w:rPr>
        <w:t>During the period specified in Section 2.2, each Warrant shall, subject to the terms of this Agreement and the applicable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2.2 Duration of Warrants. </w:t>
      </w:r>
      <w:r>
        <w:rPr>
          <w:rFonts w:ascii="Times New Roman" w:cs="Times New Roman" w:eastAsia="Times New Roman" w:hAnsi="Times New Roman"/>
          <w:sz w:val="17"/>
          <w:szCs w:val="17"/>
          <w:color w:val="auto"/>
        </w:rPr>
        <w:t>Each Warrant may be exercised in whole or in part at any time, as specified herein, on or after [the date thereof] [●] and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168" w:lineRule="exact"/>
        <w:rPr>
          <w:sz w:val="20"/>
          <w:szCs w:val="20"/>
          <w:color w:val="auto"/>
        </w:rPr>
      </w:pPr>
    </w:p>
    <w:p>
      <w:pPr>
        <w:ind w:left="60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Exercise of Warrants.</w:t>
      </w:r>
    </w:p>
    <w:p>
      <w:pPr>
        <w:spacing w:after="0" w:line="211" w:lineRule="exact"/>
        <w:rPr>
          <w:sz w:val="20"/>
          <w:szCs w:val="20"/>
          <w:color w:val="auto"/>
        </w:rPr>
      </w:pPr>
    </w:p>
    <w:p>
      <w:pPr>
        <w:jc w:val="both"/>
        <w:ind w:firstLine="1207"/>
        <w:spacing w:after="0" w:line="248" w:lineRule="auto"/>
        <w:tabs>
          <w:tab w:leader="none" w:pos="1912"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4" w:name="page165"/>
    <w:bookmarkEnd w:id="164"/>
    <w:p>
      <w:pPr>
        <w:jc w:val="both"/>
        <w:ind w:firstLine="1207"/>
        <w:spacing w:after="0" w:line="255" w:lineRule="auto"/>
        <w:tabs>
          <w:tab w:leader="none" w:pos="1934"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74" w:lineRule="exact"/>
        <w:rPr>
          <w:rFonts w:ascii="Times New Roman" w:cs="Times New Roman" w:eastAsia="Times New Roman" w:hAnsi="Times New Roman"/>
          <w:sz w:val="17"/>
          <w:szCs w:val="17"/>
          <w:b w:val="1"/>
          <w:bCs w:val="1"/>
          <w:color w:val="auto"/>
        </w:rPr>
      </w:pPr>
    </w:p>
    <w:p>
      <w:pPr>
        <w:jc w:val="both"/>
        <w:ind w:firstLine="1207"/>
        <w:spacing w:after="0" w:line="276" w:lineRule="auto"/>
        <w:tabs>
          <w:tab w:leader="none" w:pos="205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58" w:lineRule="exact"/>
        <w:rPr>
          <w:rFonts w:ascii="Times New Roman" w:cs="Times New Roman" w:eastAsia="Times New Roman" w:hAnsi="Times New Roman"/>
          <w:sz w:val="16"/>
          <w:szCs w:val="16"/>
          <w:b w:val="1"/>
          <w:bCs w:val="1"/>
          <w:color w:val="auto"/>
        </w:rPr>
      </w:pPr>
    </w:p>
    <w:p>
      <w:pPr>
        <w:jc w:val="both"/>
        <w:ind w:firstLine="1207"/>
        <w:spacing w:after="0" w:line="283" w:lineRule="auto"/>
        <w:tabs>
          <w:tab w:leader="none" w:pos="1909"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53" w:lineRule="exact"/>
        <w:rPr>
          <w:rFonts w:ascii="Times New Roman" w:cs="Times New Roman" w:eastAsia="Times New Roman" w:hAnsi="Times New Roman"/>
          <w:sz w:val="16"/>
          <w:szCs w:val="16"/>
          <w:b w:val="1"/>
          <w:bCs w:val="1"/>
          <w:color w:val="auto"/>
        </w:rPr>
      </w:pPr>
    </w:p>
    <w:p>
      <w:pPr>
        <w:ind w:firstLine="1207"/>
        <w:spacing w:after="0" w:line="273" w:lineRule="auto"/>
        <w:tabs>
          <w:tab w:leader="none" w:pos="1903"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CERTIFICATES</w:t>
      </w:r>
    </w:p>
    <w:p>
      <w:pPr>
        <w:spacing w:after="0" w:line="186"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3.1 No Rights as Warrant Securityholder Conferred by Warrants or Warrant Certificates. </w:t>
      </w:r>
      <w:r>
        <w:rPr>
          <w:rFonts w:ascii="Times New Roman" w:cs="Times New Roman" w:eastAsia="Times New Roman" w:hAnsi="Times New Roman"/>
          <w:sz w:val="17"/>
          <w:szCs w:val="17"/>
          <w:color w:val="auto"/>
        </w:rPr>
        <w:t>No Warrant Certificate or Warrant evidenced thereby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5" w:name="page166"/>
    <w:bookmarkEnd w:id="165"/>
    <w:p>
      <w:pPr>
        <w:jc w:val="both"/>
        <w:ind w:firstLine="603"/>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3.2 Lost, Stolen, Mutilated or Destroyed Warrant Certificates. </w:t>
      </w:r>
      <w:r>
        <w:rPr>
          <w:rFonts w:ascii="Times New Roman" w:cs="Times New Roman" w:eastAsia="Times New Roman" w:hAnsi="Times New Roman"/>
          <w:sz w:val="17"/>
          <w:szCs w:val="17"/>
          <w:color w:val="auto"/>
        </w:rPr>
        <w:t>Upon receipt by the Warrant Agent of evidence reasonably satisfactory to it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0"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3.3 Holder of Warrant Certificate May Enforce Rights. </w:t>
      </w:r>
      <w:r>
        <w:rPr>
          <w:rFonts w:ascii="Times New Roman" w:cs="Times New Roman" w:eastAsia="Times New Roman" w:hAnsi="Times New Roman"/>
          <w:sz w:val="17"/>
          <w:szCs w:val="17"/>
          <w:color w:val="auto"/>
        </w:rPr>
        <w:t>Notwithstanding any of the provisions of this Agreement, any holder of a Warrant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2" w:lineRule="exact"/>
        <w:rPr>
          <w:sz w:val="20"/>
          <w:szCs w:val="20"/>
          <w:color w:val="auto"/>
        </w:rPr>
      </w:pPr>
    </w:p>
    <w:p>
      <w:pPr>
        <w:ind w:left="60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3.4</w:t>
      </w:r>
      <w:r>
        <w:rPr>
          <w:sz w:val="20"/>
          <w:szCs w:val="20"/>
          <w:color w:val="auto"/>
        </w:rPr>
        <w:tab/>
      </w:r>
      <w:r>
        <w:rPr>
          <w:rFonts w:ascii="Times New Roman" w:cs="Times New Roman" w:eastAsia="Times New Roman" w:hAnsi="Times New Roman"/>
          <w:sz w:val="16"/>
          <w:szCs w:val="16"/>
          <w:b w:val="1"/>
          <w:bCs w:val="1"/>
          <w:color w:val="auto"/>
        </w:rPr>
        <w:t>Adjustments.</w:t>
      </w:r>
    </w:p>
    <w:p>
      <w:pPr>
        <w:spacing w:after="0" w:line="211" w:lineRule="exact"/>
        <w:rPr>
          <w:sz w:val="20"/>
          <w:szCs w:val="20"/>
          <w:color w:val="auto"/>
        </w:rPr>
      </w:pPr>
    </w:p>
    <w:p>
      <w:pPr>
        <w:jc w:val="both"/>
        <w:ind w:firstLine="1207"/>
        <w:spacing w:after="0" w:line="253" w:lineRule="auto"/>
        <w:tabs>
          <w:tab w:leader="none" w:pos="1862"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76"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96"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58" w:lineRule="exact"/>
        <w:rPr>
          <w:rFonts w:ascii="Times New Roman" w:cs="Times New Roman" w:eastAsia="Times New Roman" w:hAnsi="Times New Roman"/>
          <w:sz w:val="17"/>
          <w:szCs w:val="17"/>
          <w:b w:val="1"/>
          <w:bCs w:val="1"/>
          <w:color w:val="auto"/>
        </w:rPr>
      </w:pPr>
    </w:p>
    <w:p>
      <w:pPr>
        <w:jc w:val="both"/>
        <w:ind w:firstLine="1810"/>
        <w:spacing w:after="0" w:line="305" w:lineRule="auto"/>
        <w:tabs>
          <w:tab w:leader="none" w:pos="2772" w:val="left"/>
        </w:tabs>
        <w:numPr>
          <w:ilvl w:val="1"/>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66" w:name="page167"/>
    <w:bookmarkEnd w:id="166"/>
    <w:p>
      <w:pPr>
        <w:ind w:left="2480" w:hanging="670"/>
        <w:spacing w:after="0"/>
        <w:tabs>
          <w:tab w:leader="none" w:pos="2480" w:val="left"/>
        </w:tabs>
        <w:numPr>
          <w:ilvl w:val="1"/>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cash paid or payable otherwise than as a cash dividend paid or payable out of the Company’s current or retained earnings;</w:t>
      </w:r>
    </w:p>
    <w:p>
      <w:pPr>
        <w:spacing w:after="0" w:line="206" w:lineRule="exact"/>
        <w:rPr>
          <w:rFonts w:ascii="Times New Roman" w:cs="Times New Roman" w:eastAsia="Times New Roman" w:hAnsi="Times New Roman"/>
          <w:sz w:val="17"/>
          <w:szCs w:val="17"/>
          <w:b w:val="1"/>
          <w:bCs w:val="1"/>
          <w:color w:val="auto"/>
        </w:rPr>
      </w:pPr>
    </w:p>
    <w:p>
      <w:pPr>
        <w:ind w:left="2440" w:hanging="630"/>
        <w:spacing w:after="0"/>
        <w:tabs>
          <w:tab w:leader="none" w:pos="2440" w:val="left"/>
        </w:tabs>
        <w:numPr>
          <w:ilvl w:val="1"/>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evidence of the Company’s indebtedness or rights to subscribe for or purchase the Company’s indebtedness; or</w:t>
      </w:r>
    </w:p>
    <w:p>
      <w:pPr>
        <w:spacing w:after="0" w:line="206" w:lineRule="exact"/>
        <w:rPr>
          <w:rFonts w:ascii="Times New Roman" w:cs="Times New Roman" w:eastAsia="Times New Roman" w:hAnsi="Times New Roman"/>
          <w:sz w:val="17"/>
          <w:szCs w:val="17"/>
          <w:b w:val="1"/>
          <w:bCs w:val="1"/>
          <w:color w:val="auto"/>
        </w:rPr>
      </w:pPr>
    </w:p>
    <w:p>
      <w:pPr>
        <w:jc w:val="both"/>
        <w:ind w:firstLine="1810"/>
        <w:spacing w:after="0" w:line="251" w:lineRule="auto"/>
        <w:tabs>
          <w:tab w:leader="none" w:pos="2583" w:val="left"/>
        </w:tabs>
        <w:numPr>
          <w:ilvl w:val="1"/>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64" w:lineRule="auto"/>
        <w:tabs>
          <w:tab w:leader="none" w:pos="2016"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6"/>
          <w:szCs w:val="16"/>
          <w:b w:val="1"/>
          <w:bCs w:val="1"/>
          <w:i w:val="1"/>
          <w:iCs w:val="1"/>
          <w:color w:val="auto"/>
        </w:rPr>
        <w:t>Reorganization Event</w:t>
      </w:r>
      <w:r>
        <w:rPr>
          <w:rFonts w:ascii="Times New Roman" w:cs="Times New Roman" w:eastAsia="Times New Roman" w:hAnsi="Times New Roman"/>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77" w:lineRule="exact"/>
        <w:rPr>
          <w:rFonts w:ascii="Times New Roman" w:cs="Times New Roman" w:eastAsia="Times New Roman" w:hAnsi="Times New Roman"/>
          <w:sz w:val="16"/>
          <w:szCs w:val="16"/>
          <w:b w:val="1"/>
          <w:bCs w:val="1"/>
          <w:color w:val="auto"/>
        </w:rPr>
      </w:pPr>
    </w:p>
    <w:p>
      <w:pPr>
        <w:jc w:val="both"/>
        <w:ind w:firstLine="1207"/>
        <w:spacing w:after="0" w:line="260" w:lineRule="auto"/>
        <w:tabs>
          <w:tab w:leader="none" w:pos="2047"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7" w:name="page168"/>
    <w:bookmarkEnd w:id="167"/>
    <w:p>
      <w:pPr>
        <w:jc w:val="both"/>
        <w:ind w:firstLine="1207"/>
        <w:spacing w:after="0" w:line="260" w:lineRule="auto"/>
        <w:tabs>
          <w:tab w:leader="none" w:pos="1966"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68" w:lineRule="exact"/>
        <w:rPr>
          <w:rFonts w:ascii="Times New Roman" w:cs="Times New Roman" w:eastAsia="Times New Roman" w:hAnsi="Times New Roman"/>
          <w:sz w:val="17"/>
          <w:szCs w:val="17"/>
          <w:b w:val="1"/>
          <w:bCs w:val="1"/>
          <w:color w:val="auto"/>
        </w:rPr>
      </w:pPr>
    </w:p>
    <w:p>
      <w:pPr>
        <w:jc w:val="both"/>
        <w:ind w:firstLine="1207"/>
        <w:spacing w:after="0" w:line="266" w:lineRule="auto"/>
        <w:tabs>
          <w:tab w:leader="none" w:pos="1926"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6"/>
          <w:szCs w:val="16"/>
          <w:b w:val="1"/>
          <w:bCs w:val="1"/>
          <w:i w:val="1"/>
          <w:iCs w:val="1"/>
          <w:color w:val="auto"/>
        </w:rPr>
        <w:t>OTC Bulletin Board</w:t>
      </w:r>
      <w:r>
        <w:rPr>
          <w:rFonts w:ascii="Times New Roman" w:cs="Times New Roman" w:eastAsia="Times New Roman" w:hAnsi="Times New Roman"/>
          <w:sz w:val="16"/>
          <w:szCs w:val="16"/>
          <w:color w:val="auto"/>
        </w:rPr>
        <w:t>”) operated by the Financial Industry Regulatory Authority, Inc. (“</w:t>
      </w:r>
      <w:r>
        <w:rPr>
          <w:rFonts w:ascii="Times New Roman" w:cs="Times New Roman" w:eastAsia="Times New Roman" w:hAnsi="Times New Roman"/>
          <w:sz w:val="16"/>
          <w:szCs w:val="16"/>
          <w:b w:val="1"/>
          <w:bCs w:val="1"/>
          <w:i w:val="1"/>
          <w:iCs w:val="1"/>
          <w:color w:val="auto"/>
        </w:rPr>
        <w:t>FINRA</w:t>
      </w:r>
      <w:r>
        <w:rPr>
          <w:rFonts w:ascii="Times New Roman" w:cs="Times New Roman" w:eastAsia="Times New Roman" w:hAnsi="Times New Roman"/>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66" w:lineRule="exact"/>
        <w:rPr>
          <w:rFonts w:ascii="Times New Roman" w:cs="Times New Roman" w:eastAsia="Times New Roman" w:hAnsi="Times New Roman"/>
          <w:sz w:val="16"/>
          <w:szCs w:val="16"/>
          <w:b w:val="1"/>
          <w:bCs w:val="1"/>
          <w:color w:val="auto"/>
        </w:rPr>
      </w:pPr>
    </w:p>
    <w:p>
      <w:pPr>
        <w:jc w:val="both"/>
        <w:ind w:firstLine="1207"/>
        <w:spacing w:after="0" w:line="260" w:lineRule="auto"/>
        <w:tabs>
          <w:tab w:leader="none" w:pos="1908"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8"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183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to the contrary herein, in no event shall the Warrant Price, as adjusted in accordance with the terms hereof, be less than the par value per share of Common Stock.</w:t>
      </w:r>
    </w:p>
    <w:p>
      <w:pPr>
        <w:spacing w:after="0" w:line="154"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3.5 Notice to Warrantholders. </w:t>
      </w:r>
      <w:r>
        <w:rPr>
          <w:rFonts w:ascii="Times New Roman" w:cs="Times New Roman" w:eastAsia="Times New Roman" w:hAnsi="Times New Roman"/>
          <w:sz w:val="17"/>
          <w:szCs w:val="17"/>
          <w:color w:val="auto"/>
        </w:rPr>
        <w:t>In case the Company shall (a) effect any dividend or distribution described in Section 3.4(b), (b) effect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68" w:name="page169"/>
    <w:bookmarkEnd w:id="168"/>
    <w:p>
      <w:pPr>
        <w:ind w:left="60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6"/>
          <w:szCs w:val="16"/>
          <w:color w:val="auto"/>
        </w:rPr>
        <w:t>[If the Warrants are Subject to Acceleration by the Company, Insert — Acceleration of Warrants by the Company.</w:t>
      </w:r>
    </w:p>
    <w:p>
      <w:pPr>
        <w:spacing w:after="0" w:line="211" w:lineRule="exact"/>
        <w:rPr>
          <w:sz w:val="20"/>
          <w:szCs w:val="20"/>
          <w:color w:val="auto"/>
        </w:rPr>
      </w:pPr>
    </w:p>
    <w:p>
      <w:pPr>
        <w:jc w:val="both"/>
        <w:ind w:firstLine="1207"/>
        <w:spacing w:after="0" w:line="255" w:lineRule="auto"/>
        <w:tabs>
          <w:tab w:leader="none" w:pos="1887"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7"/>
          <w:szCs w:val="17"/>
          <w:b w:val="1"/>
          <w:bCs w:val="1"/>
          <w:i w:val="1"/>
          <w:iCs w:val="1"/>
          <w:color w:val="auto"/>
        </w:rPr>
        <w:t>Acceleration Date</w:t>
      </w:r>
      <w:r>
        <w:rPr>
          <w:rFonts w:ascii="Times New Roman" w:cs="Times New Roman" w:eastAsia="Times New Roman" w:hAnsi="Times New Roman"/>
          <w:sz w:val="17"/>
          <w:szCs w:val="17"/>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0"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1871"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Price</w:t>
      </w:r>
      <w:r>
        <w:rPr>
          <w:rFonts w:ascii="Times New Roman" w:cs="Times New Roman" w:eastAsia="Times New Roman" w:hAnsi="Times New Roman"/>
          <w:sz w:val="17"/>
          <w:szCs w:val="17"/>
          <w:color w:val="auto"/>
        </w:rPr>
        <w:t>” for each Trading Day shall be, if the Common Stock is listed or admitted to trading on any registered national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76" w:lineRule="exact"/>
        <w:rPr>
          <w:rFonts w:ascii="Times New Roman" w:cs="Times New Roman" w:eastAsia="Times New Roman" w:hAnsi="Times New Roman"/>
          <w:sz w:val="17"/>
          <w:szCs w:val="17"/>
          <w:b w:val="1"/>
          <w:bCs w:val="1"/>
          <w:color w:val="auto"/>
        </w:rPr>
      </w:pPr>
    </w:p>
    <w:p>
      <w:pPr>
        <w:jc w:val="both"/>
        <w:ind w:firstLine="1207"/>
        <w:spacing w:after="0" w:line="276" w:lineRule="auto"/>
        <w:tabs>
          <w:tab w:leader="none" w:pos="1915"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58" w:lineRule="exact"/>
        <w:rPr>
          <w:rFonts w:ascii="Times New Roman" w:cs="Times New Roman" w:eastAsia="Times New Roman" w:hAnsi="Times New Roman"/>
          <w:sz w:val="16"/>
          <w:szCs w:val="16"/>
          <w:b w:val="1"/>
          <w:bCs w:val="1"/>
          <w:color w:val="auto"/>
        </w:rPr>
      </w:pPr>
    </w:p>
    <w:p>
      <w:pPr>
        <w:ind w:firstLine="1207"/>
        <w:spacing w:after="0" w:line="273" w:lineRule="auto"/>
        <w:tabs>
          <w:tab w:leader="none" w:pos="202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Warrant accelerated may be exercised until [●] p.m., [City] time, on the business day next preceding the Acceleration Date. The Warrant Price shall be payable as provided in Section 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AND TRANSFER OF WARRANT CERTIFICATES</w:t>
      </w:r>
    </w:p>
    <w:p>
      <w:pPr>
        <w:spacing w:after="0" w:line="207"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Exchange and Transfer of Warrant Certificates. Upon surrender at the corporate trust office of the Warrant Agent, Warrant Certificates evidencing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1"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4.2 Treatment of Holders of Warrant Certificates. </w:t>
      </w:r>
      <w:r>
        <w:rPr>
          <w:rFonts w:ascii="Times New Roman" w:cs="Times New Roman" w:eastAsia="Times New Roman" w:hAnsi="Times New Roman"/>
          <w:sz w:val="17"/>
          <w:szCs w:val="17"/>
          <w:color w:val="auto"/>
        </w:rPr>
        <w:t>The Company, the Warrant Agent and all other persons may treat the registered holder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 as the absolute owner thereof for any purpose and as the person entitled to exercise the rights represented by the Warrants evidenced thereby, any notice to the contrary notwithstanding.</w:t>
      </w:r>
    </w:p>
    <w:p>
      <w:pPr>
        <w:spacing w:after="0" w:line="164"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4.3 Cancellation of Warrant Certificates. </w:t>
      </w:r>
      <w:r>
        <w:rPr>
          <w:rFonts w:ascii="Times New Roman" w:cs="Times New Roman" w:eastAsia="Times New Roman" w:hAnsi="Times New Roman"/>
          <w:sz w:val="17"/>
          <w:szCs w:val="17"/>
          <w:color w:val="auto"/>
        </w:rPr>
        <w:t>Any Warrant Certificate surrendered for exchange, registration of transfer or exercise of the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WARRANT AGENT</w:t>
      </w:r>
    </w:p>
    <w:p>
      <w:pPr>
        <w:spacing w:after="0" w:line="207"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5.1 Warrant Agent. </w:t>
      </w:r>
      <w:r>
        <w:rPr>
          <w:rFonts w:ascii="Times New Roman" w:cs="Times New Roman" w:eastAsia="Times New Roman" w:hAnsi="Times New Roman"/>
          <w:sz w:val="17"/>
          <w:szCs w:val="17"/>
          <w:color w:val="auto"/>
        </w:rPr>
        <w:t>The Company hereby appoints [●] as Warrant Agent of the Company in respect of the Warrants and the Warrant Certificates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2"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5.2 Conditions of Warrant Agent’s Obligations. </w:t>
      </w:r>
      <w:r>
        <w:rPr>
          <w:rFonts w:ascii="Times New Roman" w:cs="Times New Roman" w:eastAsia="Times New Roman" w:hAnsi="Times New Roman"/>
          <w:sz w:val="17"/>
          <w:szCs w:val="17"/>
          <w:color w:val="auto"/>
        </w:rPr>
        <w:t>The Warrant Agent accepts its obligations herein set forth upon the terms and conditions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following to all of which the Company agrees and to all of which the rights hereunder of the holders from time to time of the Warrant Certificates shall be subject: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0" w:name="page171"/>
    <w:bookmarkEnd w:id="170"/>
    <w:p>
      <w:pPr>
        <w:jc w:val="both"/>
        <w:ind w:firstLine="1207"/>
        <w:spacing w:after="0" w:line="253" w:lineRule="auto"/>
        <w:tabs>
          <w:tab w:leader="none" w:pos="191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Compensation and Indemnification. </w:t>
      </w:r>
      <w:r>
        <w:rPr>
          <w:rFonts w:ascii="Times New Roman" w:cs="Times New Roman" w:eastAsia="Times New Roman" w:hAnsi="Times New Roman"/>
          <w:sz w:val="17"/>
          <w:szCs w:val="17"/>
          <w:color w:val="auto"/>
        </w:rPr>
        <w:t>The Company agrees promptly to pay the Warrant Agent the compensation to be agreed upon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1"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01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Agent for the Company. </w:t>
      </w:r>
      <w:r>
        <w:rPr>
          <w:rFonts w:ascii="Times New Roman" w:cs="Times New Roman" w:eastAsia="Times New Roman" w:hAnsi="Times New Roman"/>
          <w:sz w:val="17"/>
          <w:szCs w:val="17"/>
          <w:color w:val="auto"/>
        </w:rPr>
        <w:t>In acting under this Agreement and in connection with the Warrant Certificates, the Warrant Agent is acting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as agent of the Company and does not assume any obligations or relationship of agency or trust for or with any of the holders of Warrant Certificates or beneficial owners of Warrants.</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1991"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Counsel. </w:t>
      </w:r>
      <w:r>
        <w:rPr>
          <w:rFonts w:ascii="Times New Roman" w:cs="Times New Roman" w:eastAsia="Times New Roman" w:hAnsi="Times New Roman"/>
          <w:sz w:val="17"/>
          <w:szCs w:val="17"/>
          <w:color w:val="auto"/>
        </w:rPr>
        <w:t>The Warrant Agent may consult with counsel satisfactory to it, which may include counsel for the Company, and the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02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Documents. </w:t>
      </w:r>
      <w:r>
        <w:rPr>
          <w:rFonts w:ascii="Times New Roman" w:cs="Times New Roman" w:eastAsia="Times New Roman" w:hAnsi="Times New Roman"/>
          <w:sz w:val="17"/>
          <w:szCs w:val="17"/>
          <w:color w:val="auto"/>
        </w:rPr>
        <w:t>The Warrant Agent shall be protected and shall incur no liability for or in respect of any action taken or omitted by it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54" w:lineRule="auto"/>
        <w:tabs>
          <w:tab w:leader="none" w:pos="189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Certain Transactions. </w:t>
      </w:r>
      <w:r>
        <w:rPr>
          <w:rFonts w:ascii="Times New Roman" w:cs="Times New Roman" w:eastAsia="Times New Roman" w:hAnsi="Times New Roman"/>
          <w:sz w:val="17"/>
          <w:szCs w:val="17"/>
          <w:color w:val="auto"/>
        </w:rPr>
        <w:t>The Warrant Agent, and its officers, directors and employees, may become the owner of, or acquire any interest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71"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187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Interest. </w:t>
      </w:r>
      <w:r>
        <w:rPr>
          <w:rFonts w:ascii="Times New Roman" w:cs="Times New Roman" w:eastAsia="Times New Roman" w:hAnsi="Times New Roman"/>
          <w:sz w:val="17"/>
          <w:szCs w:val="17"/>
          <w:color w:val="auto"/>
        </w:rPr>
        <w:t>Unless otherwise agreed with the Company, the Warrant Agent shall have no liability for interest on any monies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any time received by it pursuant to any of the provisions of this Agreement or of the Warrant Certificates.</w:t>
      </w:r>
    </w:p>
    <w:p>
      <w:pPr>
        <w:spacing w:after="0" w:line="150"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2038"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Invalidity. </w:t>
      </w:r>
      <w:r>
        <w:rPr>
          <w:rFonts w:ascii="Times New Roman" w:cs="Times New Roman" w:eastAsia="Times New Roman" w:hAnsi="Times New Roman"/>
          <w:sz w:val="17"/>
          <w:szCs w:val="17"/>
          <w:color w:val="auto"/>
        </w:rPr>
        <w:t>The Warrant Agent shall have no liability with respect to any invalidity of this Agreement or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(except as to the Warrant Agent’s countersignature thereon).</w:t>
      </w:r>
    </w:p>
    <w:p>
      <w:pPr>
        <w:spacing w:after="0" w:line="150"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192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Responsibility for Representations. </w:t>
      </w:r>
      <w:r>
        <w:rPr>
          <w:rFonts w:ascii="Times New Roman" w:cs="Times New Roman" w:eastAsia="Times New Roman" w:hAnsi="Times New Roman"/>
          <w:sz w:val="17"/>
          <w:szCs w:val="17"/>
          <w:color w:val="auto"/>
        </w:rPr>
        <w:t>The Warrant Agent shall not be responsible for any of the recitals or representations herein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Warrant Certificates (except as to the Warrant Agent’s countersignature thereon), all of which are made solely by the Company.</w:t>
      </w:r>
    </w:p>
    <w:p>
      <w:pPr>
        <w:spacing w:after="0" w:line="150"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1955"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Implied Obligations. </w:t>
      </w:r>
      <w:r>
        <w:rPr>
          <w:rFonts w:ascii="Times New Roman" w:cs="Times New Roman" w:eastAsia="Times New Roman" w:hAnsi="Times New Roman"/>
          <w:sz w:val="17"/>
          <w:szCs w:val="17"/>
          <w:color w:val="auto"/>
        </w:rPr>
        <w:t>The Warrant Agent shall be obligated to perform only such duties as are herein and in the Warrant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1" w:name="page172"/>
    <w:bookmarkEnd w:id="171"/>
    <w:p>
      <w:pPr>
        <w:ind w:left="60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Resignation, Removal and Appointment of Successors.</w:t>
      </w:r>
    </w:p>
    <w:p>
      <w:pPr>
        <w:spacing w:after="0" w:line="211" w:lineRule="exact"/>
        <w:rPr>
          <w:sz w:val="20"/>
          <w:szCs w:val="20"/>
          <w:color w:val="auto"/>
        </w:rPr>
      </w:pPr>
    </w:p>
    <w:p>
      <w:pPr>
        <w:ind w:firstLine="1207"/>
        <w:spacing w:after="0" w:line="273" w:lineRule="auto"/>
        <w:tabs>
          <w:tab w:leader="none" w:pos="1912"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1" w:lineRule="auto"/>
        <w:tabs>
          <w:tab w:leader="none" w:pos="1947"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041"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0" w:lineRule="exact"/>
        <w:rPr>
          <w:rFonts w:ascii="Times New Roman" w:cs="Times New Roman" w:eastAsia="Times New Roman" w:hAnsi="Times New Roman"/>
          <w:sz w:val="17"/>
          <w:szCs w:val="17"/>
          <w:b w:val="1"/>
          <w:bCs w:val="1"/>
          <w:color w:val="auto"/>
        </w:rPr>
      </w:pPr>
    </w:p>
    <w:p>
      <w:pPr>
        <w:jc w:val="both"/>
        <w:ind w:firstLine="1207"/>
        <w:spacing w:after="0" w:line="273" w:lineRule="auto"/>
        <w:tabs>
          <w:tab w:leader="none" w:pos="2047"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2" w:name="page173"/>
    <w:bookmarkEnd w:id="172"/>
    <w:p>
      <w:pPr>
        <w:jc w:val="both"/>
        <w:ind w:firstLine="1207"/>
        <w:spacing w:after="0" w:line="253" w:lineRule="auto"/>
        <w:tabs>
          <w:tab w:leader="none" w:pos="194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7"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6.1 Amendment. </w:t>
      </w:r>
      <w:r>
        <w:rPr>
          <w:rFonts w:ascii="Times New Roman" w:cs="Times New Roman" w:eastAsia="Times New Roman" w:hAnsi="Times New Roman"/>
          <w:sz w:val="17"/>
          <w:szCs w:val="17"/>
          <w:color w:val="auto"/>
        </w:rPr>
        <w:t>This Agreement may be amended by the parties hereto, without the consent of the holder of any Warrant Certificate, for the purpose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8"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6.2 Notices and Demands to the Company and Warrant Agent. </w:t>
      </w:r>
      <w:r>
        <w:rPr>
          <w:rFonts w:ascii="Times New Roman" w:cs="Times New Roman" w:eastAsia="Times New Roman" w:hAnsi="Times New Roman"/>
          <w:sz w:val="17"/>
          <w:szCs w:val="17"/>
          <w:color w:val="auto"/>
        </w:rPr>
        <w:t>If the Warrant Agent shall receive any notice or demand addressed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holder of a Warrant Certificate pursuant to the provisions of the Warrant Certificates, the Warrant Agent shall promptly forward such notice or demand to the Company.</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6.3 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68"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6.4 Governing Law. </w:t>
      </w:r>
      <w:r>
        <w:rPr>
          <w:rFonts w:ascii="Times New Roman" w:cs="Times New Roman" w:eastAsia="Times New Roman" w:hAnsi="Times New Roman"/>
          <w:sz w:val="17"/>
          <w:szCs w:val="17"/>
          <w:color w:val="auto"/>
        </w:rPr>
        <w:t>This Agreement and each Warrant Certificate issued hereunder shall be governed by and construed in accordance with 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State of New York.</w:t>
      </w:r>
    </w:p>
    <w:p>
      <w:pPr>
        <w:spacing w:after="0" w:line="150"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6.5 Delivery of Prospectus. </w:t>
      </w:r>
      <w:r>
        <w:rPr>
          <w:rFonts w:ascii="Times New Roman" w:cs="Times New Roman" w:eastAsia="Times New Roman" w:hAnsi="Times New Roman"/>
          <w:sz w:val="17"/>
          <w:szCs w:val="17"/>
          <w:color w:val="auto"/>
        </w:rPr>
        <w:t>The Company shall furnish to the Warrant Agent sufficient copies of a prospectus meeting the requirements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Act of 1933, as amended, relating to the Warrant Securities deliverable upon exercise of the Warrants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72"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3" w:name="page174"/>
    <w:bookmarkEnd w:id="173"/>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6.7 Persons Having Rights Under the Agreement. </w:t>
      </w:r>
      <w:r>
        <w:rPr>
          <w:rFonts w:ascii="Times New Roman" w:cs="Times New Roman" w:eastAsia="Times New Roman" w:hAnsi="Times New Roman"/>
          <w:sz w:val="17"/>
          <w:szCs w:val="17"/>
          <w:color w:val="auto"/>
        </w:rPr>
        <w:t>Nothing in this Agreement shall give to any person other than the Company, the Warrant Agent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holders of the Warrant Certificates any right, remedy or claim under or by reason of this Agreement.</w:t>
      </w:r>
    </w:p>
    <w:p>
      <w:pPr>
        <w:spacing w:after="0" w:line="150"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6.8 Headings. </w:t>
      </w:r>
      <w:r>
        <w:rPr>
          <w:rFonts w:ascii="Times New Roman" w:cs="Times New Roman" w:eastAsia="Times New Roman" w:hAnsi="Times New Roman"/>
          <w:sz w:val="17"/>
          <w:szCs w:val="17"/>
          <w:color w:val="auto"/>
        </w:rPr>
        <w:t>The descriptive headings of the several Articles and Sections of this Agreement are inserted for convenience only and shall not control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 the meaning or construction of any of the provisions hereof.</w:t>
      </w:r>
    </w:p>
    <w:p>
      <w:pPr>
        <w:spacing w:after="0" w:line="150"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6.9 Counterparts. </w:t>
      </w:r>
      <w:r>
        <w:rPr>
          <w:rFonts w:ascii="Times New Roman" w:cs="Times New Roman" w:eastAsia="Times New Roman" w:hAnsi="Times New Roman"/>
          <w:sz w:val="17"/>
          <w:szCs w:val="17"/>
          <w:color w:val="auto"/>
        </w:rPr>
        <w:t>This Agreement may be executed in any number of counterparts, each of which as so executed shall be deemed to be an original, but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counterparts shall together constitute but one and the same instrument.</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6.10 Inspection of Agreement. </w:t>
      </w:r>
      <w:r>
        <w:rPr>
          <w:rFonts w:ascii="Times New Roman" w:cs="Times New Roman" w:eastAsia="Times New Roman" w:hAnsi="Times New Roman"/>
          <w:sz w:val="17"/>
          <w:szCs w:val="17"/>
          <w:color w:val="auto"/>
        </w:rPr>
        <w:t>A copy of this Agreement shall be available at all reasonable times at the principal corporate trust office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for inspection by the holder of any Warrant Certificate. The Warrant Agent may require such holder to submit such holder’s Warrant Certificate for inspection by it.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4" w:name="page175"/>
    <w:bookmarkEnd w:id="174"/>
    <w:p>
      <w:pPr>
        <w:ind w:left="4860" w:right="759" w:hanging="4850"/>
        <w:spacing w:after="0" w:line="496"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as of the day and year first above written.</w:t>
      </w:r>
      <w:r>
        <w:rPr>
          <w:rFonts w:ascii="Times New Roman" w:cs="Times New Roman" w:eastAsia="Times New Roman" w:hAnsi="Times New Roman"/>
          <w:sz w:val="17"/>
          <w:szCs w:val="17"/>
          <w:b w:val="1"/>
          <w:bCs w:val="1"/>
          <w:color w:val="auto"/>
        </w:rPr>
        <w:t xml:space="preserve"> MARKER THERAPEUTICS, INC.</w:t>
      </w:r>
      <w:r>
        <w:rPr>
          <w:rFonts w:ascii="Times New Roman" w:cs="Times New Roman" w:eastAsia="Times New Roman" w:hAnsi="Times New Roman"/>
          <w:sz w:val="17"/>
          <w:szCs w:val="17"/>
          <w:color w:val="auto"/>
        </w:rPr>
        <w:t>, as Company</w:t>
      </w:r>
    </w:p>
    <w:p>
      <w:pPr>
        <w:ind w:left="486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19685</wp:posOffset>
            </wp:positionV>
            <wp:extent cx="32797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-115570</wp:posOffset>
            </wp:positionV>
            <wp:extent cx="32797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152400</wp:posOffset>
            </wp:positionV>
            <wp:extent cx="32797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16510</wp:posOffset>
            </wp:positionV>
            <wp:extent cx="32797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-123190</wp:posOffset>
            </wp:positionV>
            <wp:extent cx="32797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19685</wp:posOffset>
            </wp:positionV>
            <wp:extent cx="32797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-115570</wp:posOffset>
            </wp:positionV>
            <wp:extent cx="32797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152400</wp:posOffset>
            </wp:positionV>
            <wp:extent cx="32797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327977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16510</wp:posOffset>
            </wp:positionV>
            <wp:extent cx="32797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7"/>
          <w:szCs w:val="17"/>
          <w:color w:val="auto"/>
        </w:rPr>
        <w:t>[SIGNATURE PAGE TO MARKER THERAPEUTICS, INC. COMMON STOCK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540385</wp:posOffset>
            </wp:positionV>
            <wp:extent cx="71418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48" w:right="1440" w:bottom="1440" w:gutter="0" w:footer="0" w:header="0"/>
        </w:sectPr>
      </w:pPr>
    </w:p>
    <w:bookmarkStart w:id="175" w:name="page176"/>
    <w:bookmarkEnd w:id="17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FORM OF WARRANT CERTIFICATE</w:t>
      </w:r>
    </w:p>
    <w:p>
      <w:pPr>
        <w:spacing w:after="0" w:line="3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[FACE OF WARRANT CERTIFICATE]</w:t>
      </w:r>
    </w:p>
    <w:p>
      <w:pPr>
        <w:sectPr>
          <w:pgSz w:w="11900" w:h="16838" w:orient="portrait"/>
          <w:cols w:equalWidth="0" w:num="1">
            <w:col w:w="10920"/>
          </w:cols>
          <w:pgMar w:left="320" w:top="125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Form of Legend if Warrants are not immediately exercisable.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[Prior to [●], Warrants evidenced by this Warrant Certificate cannot be exercised.]</w:t>
      </w:r>
    </w:p>
    <w:p>
      <w:pPr>
        <w:spacing w:after="0" w:line="200" w:lineRule="exact"/>
        <w:rPr>
          <w:sz w:val="20"/>
          <w:szCs w:val="20"/>
          <w:color w:val="auto"/>
        </w:rPr>
      </w:pPr>
    </w:p>
    <w:p>
      <w:pPr>
        <w:sectPr>
          <w:pgSz w:w="11900" w:h="16838" w:orient="portrait"/>
          <w:cols w:equalWidth="0" w:num="2">
            <w:col w:w="5460" w:space="720"/>
            <w:col w:w="4740"/>
          </w:cols>
          <w:pgMar w:left="320" w:top="1250" w:right="659" w:bottom="1440" w:gutter="0" w:footer="0" w:header="0"/>
          <w:type w:val="continuous"/>
        </w:sectPr>
      </w:pPr>
    </w:p>
    <w:p>
      <w:pPr>
        <w:spacing w:after="0" w:line="1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EXERCISABLE ONLY IF COUNTERSIGNED BY THE WARRANT AGENT AS PROVIDED HEREIN</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920"/>
          </w:cols>
          <w:pgMar w:left="320" w:top="1250" w:right="659" w:bottom="1440"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p>
      <w:pPr>
        <w:spacing w:after="0" w:line="190"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of Marker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the following basis: during the period from [●], through and including [●], the exercise price 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Warrant Security will be $[●], subject to adjustment as provided in the Warrant Agreement (as hereinafter defined)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5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6"/>
          <w:szCs w:val="16"/>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418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7" w:name="page178"/>
    <w:bookmarkEnd w:id="177"/>
    <w:p>
      <w:pPr>
        <w:spacing w:after="0" w:line="273"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 officers.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13970</wp:posOffset>
            </wp:positionV>
            <wp:extent cx="6464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64643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Company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-123190</wp:posOffset>
            </wp:positionV>
            <wp:extent cx="62642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19685</wp:posOffset>
            </wp:positionV>
            <wp:extent cx="62642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-115570</wp:posOffset>
            </wp:positionV>
            <wp:extent cx="62642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152400</wp:posOffset>
            </wp:positionV>
            <wp:extent cx="62642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16510</wp:posOffset>
            </wp:positionV>
            <wp:extent cx="62642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-123190</wp:posOffset>
            </wp:positionV>
            <wp:extent cx="62642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19685</wp:posOffset>
            </wp:positionV>
            <wp:extent cx="62642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-115570</wp:posOffset>
            </wp:positionV>
            <wp:extent cx="62642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152400</wp:posOffset>
            </wp:positionV>
            <wp:extent cx="62642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16510</wp:posOffset>
            </wp:positionV>
            <wp:extent cx="62642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62642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559435</wp:posOffset>
            </wp:positionV>
            <wp:extent cx="71418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undersigned hereby irrevocably elects to exercise ______ Warrants, evidenced by this Warrant Certificate, to purchase _______ shares of the Common</w:t>
      </w:r>
    </w:p>
    <w:p>
      <w:pPr>
        <w:spacing w:after="0" w:line="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Stock, par value $0.001 per share (the “</w:t>
      </w:r>
      <w:r>
        <w:rPr>
          <w:rFonts w:ascii="Times New Roman" w:cs="Times New Roman" w:eastAsia="Times New Roman" w:hAnsi="Times New Roman"/>
          <w:sz w:val="16"/>
          <w:szCs w:val="16"/>
          <w:b w:val="1"/>
          <w:bCs w:val="1"/>
          <w:i w:val="1"/>
          <w:iCs w:val="1"/>
          <w:color w:val="auto"/>
        </w:rPr>
        <w:t>Warrant Securities</w:t>
      </w:r>
      <w:r>
        <w:rPr>
          <w:rFonts w:ascii="Times New Roman" w:cs="Times New Roman" w:eastAsia="Times New Roman" w:hAnsi="Times New Roman"/>
          <w:sz w:val="16"/>
          <w:szCs w:val="16"/>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75" w:lineRule="exact"/>
        <w:rPr>
          <w:sz w:val="20"/>
          <w:szCs w:val="20"/>
          <w:color w:val="auto"/>
        </w:rPr>
      </w:pPr>
    </w:p>
    <w:p>
      <w:pPr>
        <w:jc w:val="both"/>
        <w:ind w:firstLine="603"/>
        <w:spacing w:after="0" w:line="305" w:lineRule="auto"/>
        <w:rPr>
          <w:sz w:val="20"/>
          <w:szCs w:val="20"/>
          <w:color w:val="auto"/>
        </w:rPr>
      </w:pPr>
      <w:r>
        <w:rPr>
          <w:rFonts w:ascii="Times New Roman" w:cs="Times New Roman" w:eastAsia="Times New Roman" w:hAnsi="Times New Roman"/>
          <w:sz w:val="16"/>
          <w:szCs w:val="16"/>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6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7"/>
          <w:szCs w:val="17"/>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-123190</wp:posOffset>
            </wp:positionV>
            <wp:extent cx="6647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66471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157480</wp:posOffset>
            </wp:positionV>
            <wp:extent cx="24974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Social Security or Other Identifying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1069340</wp:posOffset>
            </wp:positionH>
            <wp:positionV relativeFrom="paragraph">
              <wp:posOffset>-123190</wp:posOffset>
            </wp:positionV>
            <wp:extent cx="1428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271780</wp:posOffset>
            </wp:positionV>
            <wp:extent cx="71418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7"/>
          <w:szCs w:val="17"/>
          <w:color w:val="auto"/>
        </w:rPr>
        <w:t>(Please print name and address including zip code)</w:t>
      </w:r>
      <w:r>
        <w:rPr>
          <w:sz w:val="20"/>
          <w:szCs w:val="20"/>
          <w:color w:val="auto"/>
        </w:rPr>
        <w:tab/>
      </w:r>
      <w:r>
        <w:rPr>
          <w:rFonts w:ascii="Times New Roman" w:cs="Times New Roman" w:eastAsia="Times New Roman" w:hAnsi="Times New Roman"/>
          <w:sz w:val="16"/>
          <w:szCs w:val="16"/>
          <w:color w:val="auto"/>
        </w:rPr>
        <w:t>Please print Social Security or other identifying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 _______________ shares of [Title of Warrant Securities] of Marker Therapeutics, Inc. to which the within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relates and appoints ____________________ attorney to transfer such right on the books of the Warrant Agent with full power of substitution in the premises.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Name:</w:t>
            </w:r>
          </w:p>
        </w:tc>
      </w:tr>
      <w:tr>
        <w:trPr>
          <w:trHeight w:val="210"/>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5640" w:type="dxa"/>
            <w:vAlign w:val="bottom"/>
            <w:tcBorders>
              <w:top w:val="single" w:sz="8" w:color="auto"/>
            </w:tcBorders>
          </w:tcPr>
          <w:p>
            <w:pPr>
              <w:ind w:left="2260"/>
              <w:spacing w:after="0"/>
              <w:rPr>
                <w:sz w:val="20"/>
                <w:szCs w:val="20"/>
                <w:color w:val="auto"/>
              </w:rPr>
            </w:pPr>
            <w:r>
              <w:rPr>
                <w:rFonts w:ascii="Times New Roman" w:cs="Times New Roman" w:eastAsia="Times New Roman" w:hAnsi="Times New Roman"/>
                <w:sz w:val="17"/>
                <w:szCs w:val="17"/>
                <w:color w:val="auto"/>
              </w:rPr>
              <w:t>Signature</w:t>
            </w:r>
          </w:p>
        </w:tc>
      </w:tr>
      <w:tr>
        <w:trPr>
          <w:trHeight w:val="386"/>
        </w:trPr>
        <w:tc>
          <w:tcPr>
            <w:tcW w:w="520" w:type="dxa"/>
            <w:vAlign w:val="bottom"/>
          </w:tcPr>
          <w:p>
            <w:pPr>
              <w:spacing w:after="0"/>
              <w:rPr>
                <w:sz w:val="24"/>
                <w:szCs w:val="24"/>
                <w:color w:val="auto"/>
              </w:rPr>
            </w:pPr>
          </w:p>
        </w:tc>
        <w:tc>
          <w:tcPr>
            <w:tcW w:w="10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300990</wp:posOffset>
            </wp:positionV>
            <wp:extent cx="21386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21386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723900</wp:posOffset>
            </wp:positionV>
            <wp:extent cx="71418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20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2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1"/>
          <w:szCs w:val="11"/>
          <w:b w:val="1"/>
          <w:bCs w:val="1"/>
          <w:color w:val="auto"/>
        </w:rPr>
        <w:t>and</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8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415290</wp:posOffset>
            </wp:positionV>
            <wp:extent cx="71418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dated as of [ ● ], between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proposes to sell [</w:t>
      </w:r>
      <w:r>
        <w:rPr>
          <w:rFonts w:ascii="Times New Roman" w:cs="Times New Roman" w:eastAsia="Times New Roman" w:hAnsi="Times New Roman"/>
          <w:sz w:val="17"/>
          <w:szCs w:val="17"/>
          <w:b w:val="1"/>
          <w:bCs w:val="1"/>
          <w:i w:val="1"/>
          <w:iCs w:val="1"/>
          <w:color w:val="auto"/>
        </w:rPr>
        <w:t>If Warrants are sold with other securities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[title of Preferred Stock purchasable through exercise of Warrants] of the Company, par value $0.001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68" w:lineRule="exact"/>
        <w:rPr>
          <w:sz w:val="20"/>
          <w:szCs w:val="20"/>
          <w:color w:val="auto"/>
        </w:rPr>
      </w:pPr>
    </w:p>
    <w:p>
      <w:pPr>
        <w:jc w:val="both"/>
        <w:ind w:firstLine="603"/>
        <w:spacing w:after="0" w:line="286" w:lineRule="auto"/>
        <w:rPr>
          <w:sz w:val="20"/>
          <w:szCs w:val="20"/>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0"/>
          <w:szCs w:val="10"/>
          <w:b w:val="1"/>
          <w:bCs w:val="1"/>
          <w:color w:val="auto"/>
        </w:rPr>
        <w:t>hereas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desires the Warrant Agent to act on behalf of the Company, and the Warrant Agent is willing so to act, in connection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DELIVERY OF WARRANT CERTIFICATES</w:t>
      </w:r>
    </w:p>
    <w:p>
      <w:pPr>
        <w:spacing w:after="0" w:line="18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and 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 and each Warrant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172"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 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83" w:name="page184"/>
    <w:bookmarkEnd w:id="183"/>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2"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1.3 Issuance of Warrant Certificates. </w:t>
      </w:r>
      <w:r>
        <w:rPr>
          <w:rFonts w:ascii="Times New Roman" w:cs="Times New Roman" w:eastAsia="Times New Roman" w:hAnsi="Times New Roman"/>
          <w:sz w:val="17"/>
          <w:szCs w:val="17"/>
          <w:color w:val="auto"/>
        </w:rPr>
        <w:t>Warrant Certificates evidencing the right to purchase Warrant Securities may be executed by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0100" w:type="dxa"/>
            <w:vAlign w:val="bottom"/>
          </w:tcPr>
          <w:p>
            <w:pPr>
              <w:jc w:val="center"/>
              <w:ind w:right="1056"/>
              <w:spacing w:after="0"/>
              <w:rPr>
                <w:sz w:val="20"/>
                <w:szCs w:val="20"/>
                <w:color w:val="auto"/>
              </w:rPr>
            </w:pPr>
            <w:r>
              <w:rPr>
                <w:rFonts w:ascii="Times New Roman" w:cs="Times New Roman" w:eastAsia="Times New Roman" w:hAnsi="Times New Roman"/>
                <w:sz w:val="17"/>
                <w:szCs w:val="17"/>
                <w:b w:val="1"/>
                <w:bCs w:val="1"/>
                <w:color w:val="auto"/>
                <w:w w:val="97"/>
              </w:rPr>
              <w:t>ARTICLE 2</w:t>
            </w:r>
          </w:p>
        </w:tc>
      </w:tr>
      <w:tr>
        <w:trPr>
          <w:trHeight w:val="402"/>
        </w:trPr>
        <w:tc>
          <w:tcPr>
            <w:tcW w:w="540" w:type="dxa"/>
            <w:vAlign w:val="bottom"/>
          </w:tcPr>
          <w:p>
            <w:pPr>
              <w:spacing w:after="0"/>
              <w:rPr>
                <w:sz w:val="24"/>
                <w:szCs w:val="24"/>
                <w:color w:val="auto"/>
              </w:rPr>
            </w:pPr>
          </w:p>
        </w:tc>
        <w:tc>
          <w:tcPr>
            <w:tcW w:w="10100" w:type="dxa"/>
            <w:vAlign w:val="bottom"/>
          </w:tcPr>
          <w:p>
            <w:pPr>
              <w:jc w:val="center"/>
              <w:ind w:right="1056"/>
              <w:spacing w:after="0"/>
              <w:rPr>
                <w:sz w:val="20"/>
                <w:szCs w:val="20"/>
                <w:color w:val="auto"/>
              </w:rPr>
            </w:pPr>
            <w:r>
              <w:rPr>
                <w:rFonts w:ascii="Times New Roman" w:cs="Times New Roman" w:eastAsia="Times New Roman" w:hAnsi="Times New Roman"/>
                <w:sz w:val="17"/>
                <w:szCs w:val="17"/>
                <w:b w:val="1"/>
                <w:bCs w:val="1"/>
                <w:color w:val="auto"/>
                <w:w w:val="97"/>
              </w:rPr>
              <w:t>WARRANT PRICE, DURATION AND EXERCISE OF WARRANTS</w:t>
            </w:r>
          </w:p>
        </w:tc>
      </w:tr>
      <w:tr>
        <w:trPr>
          <w:trHeight w:val="402"/>
        </w:trPr>
        <w:tc>
          <w:tcPr>
            <w:tcW w:w="5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93"/>
              </w:rPr>
              <w:t>2.1</w:t>
            </w:r>
          </w:p>
        </w:tc>
        <w:tc>
          <w:tcPr>
            <w:tcW w:w="101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8"/>
              </w:rPr>
              <w:t xml:space="preserve">Warrant Price. </w:t>
            </w:r>
            <w:r>
              <w:rPr>
                <w:rFonts w:ascii="Times New Roman" w:cs="Times New Roman" w:eastAsia="Times New Roman" w:hAnsi="Times New Roman"/>
                <w:sz w:val="17"/>
                <w:szCs w:val="17"/>
                <w:color w:val="auto"/>
                <w:w w:val="98"/>
              </w:rPr>
              <w:t>During the period specified in Section 2.2, each Warrant shall, subject to the terms of this Agreement and the applicable Warrant</w:t>
            </w:r>
          </w:p>
        </w:tc>
      </w:tr>
    </w:tbl>
    <w:p>
      <w:pPr>
        <w:jc w:val="both"/>
        <w:spacing w:after="0" w:line="250" w:lineRule="auto"/>
        <w:rPr>
          <w:sz w:val="20"/>
          <w:szCs w:val="20"/>
          <w:color w:val="auto"/>
        </w:rPr>
      </w:pPr>
      <w:r>
        <w:rPr>
          <w:rFonts w:ascii="Times New Roman" w:cs="Times New Roman" w:eastAsia="Times New Roman" w:hAnsi="Times New Roman"/>
          <w:sz w:val="17"/>
          <w:szCs w:val="17"/>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2.2 Duration of Warrants. </w:t>
      </w:r>
      <w:r>
        <w:rPr>
          <w:rFonts w:ascii="Times New Roman" w:cs="Times New Roman" w:eastAsia="Times New Roman" w:hAnsi="Times New Roman"/>
          <w:sz w:val="17"/>
          <w:szCs w:val="17"/>
          <w:color w:val="auto"/>
        </w:rPr>
        <w:t>Each Warrant may be exercised in whole or in part at any time, as specified herein, on or after [the date thereof] [●]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4" w:name="page185"/>
    <w:bookmarkEnd w:id="184"/>
    <w:p>
      <w:pPr>
        <w:ind w:left="6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Exercise of Warrants.</w:t>
      </w:r>
    </w:p>
    <w:p>
      <w:pPr>
        <w:spacing w:after="0" w:line="211" w:lineRule="exact"/>
        <w:rPr>
          <w:sz w:val="20"/>
          <w:szCs w:val="20"/>
          <w:color w:val="auto"/>
        </w:rPr>
      </w:pPr>
    </w:p>
    <w:p>
      <w:pPr>
        <w:jc w:val="both"/>
        <w:ind w:firstLine="1207"/>
        <w:spacing w:after="0" w:line="248" w:lineRule="auto"/>
        <w:tabs>
          <w:tab w:leader="none" w:pos="236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86" w:lineRule="exact"/>
        <w:rPr>
          <w:rFonts w:ascii="Times New Roman" w:cs="Times New Roman" w:eastAsia="Times New Roman" w:hAnsi="Times New Roman"/>
          <w:sz w:val="17"/>
          <w:szCs w:val="17"/>
          <w:b w:val="1"/>
          <w:bCs w:val="1"/>
          <w:color w:val="auto"/>
        </w:rPr>
      </w:pPr>
    </w:p>
    <w:p>
      <w:pPr>
        <w:jc w:val="both"/>
        <w:ind w:firstLine="1207"/>
        <w:spacing w:after="0" w:line="255" w:lineRule="auto"/>
        <w:tabs>
          <w:tab w:leader="none" w:pos="2039"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74" w:lineRule="exact"/>
        <w:rPr>
          <w:rFonts w:ascii="Times New Roman" w:cs="Times New Roman" w:eastAsia="Times New Roman" w:hAnsi="Times New Roman"/>
          <w:sz w:val="17"/>
          <w:szCs w:val="17"/>
          <w:b w:val="1"/>
          <w:bCs w:val="1"/>
          <w:color w:val="auto"/>
        </w:rPr>
      </w:pPr>
    </w:p>
    <w:p>
      <w:pPr>
        <w:jc w:val="both"/>
        <w:ind w:firstLine="1207"/>
        <w:spacing w:after="0" w:line="276" w:lineRule="auto"/>
        <w:tabs>
          <w:tab w:leader="none" w:pos="2238"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58" w:lineRule="exact"/>
        <w:rPr>
          <w:rFonts w:ascii="Times New Roman" w:cs="Times New Roman" w:eastAsia="Times New Roman" w:hAnsi="Times New Roman"/>
          <w:sz w:val="16"/>
          <w:szCs w:val="16"/>
          <w:b w:val="1"/>
          <w:bCs w:val="1"/>
          <w:color w:val="auto"/>
        </w:rPr>
      </w:pPr>
    </w:p>
    <w:p>
      <w:pPr>
        <w:jc w:val="both"/>
        <w:ind w:firstLine="1207"/>
        <w:spacing w:after="0" w:line="283" w:lineRule="auto"/>
        <w:tabs>
          <w:tab w:leader="none" w:pos="2127"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53" w:lineRule="exact"/>
        <w:rPr>
          <w:rFonts w:ascii="Times New Roman" w:cs="Times New Roman" w:eastAsia="Times New Roman" w:hAnsi="Times New Roman"/>
          <w:sz w:val="16"/>
          <w:szCs w:val="16"/>
          <w:b w:val="1"/>
          <w:bCs w:val="1"/>
          <w:color w:val="auto"/>
        </w:rPr>
      </w:pPr>
    </w:p>
    <w:p>
      <w:pPr>
        <w:ind w:firstLine="1207"/>
        <w:spacing w:after="0" w:line="273" w:lineRule="auto"/>
        <w:tabs>
          <w:tab w:leader="none" w:pos="220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CERTIFICATES</w:t>
      </w:r>
    </w:p>
    <w:p>
      <w:pPr>
        <w:spacing w:after="0" w:line="186" w:lineRule="exact"/>
        <w:rPr>
          <w:sz w:val="20"/>
          <w:szCs w:val="20"/>
          <w:color w:val="auto"/>
        </w:rPr>
      </w:pPr>
    </w:p>
    <w:p>
      <w:pPr>
        <w:ind w:left="600"/>
        <w:spacing w:after="0"/>
        <w:tabs>
          <w:tab w:leader="none" w:pos="144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6"/>
          <w:szCs w:val="16"/>
          <w:b w:val="1"/>
          <w:bCs w:val="1"/>
          <w:color w:val="auto"/>
        </w:rPr>
        <w:t xml:space="preserve">No Rights as Warrant Securityholder Conferred by Warrants or Warrant Certificates. </w:t>
      </w:r>
      <w:r>
        <w:rPr>
          <w:rFonts w:ascii="Times New Roman" w:cs="Times New Roman" w:eastAsia="Times New Roman" w:hAnsi="Times New Roman"/>
          <w:sz w:val="16"/>
          <w:szCs w:val="16"/>
          <w:color w:val="auto"/>
        </w:rPr>
        <w:t>No Warrant Certificate or Warrant evidenced thereby</w:t>
      </w:r>
    </w:p>
    <w:p>
      <w:pPr>
        <w:spacing w:after="0" w:line="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85" w:name="page186"/>
    <w:bookmarkEnd w:id="185"/>
    <w:p>
      <w:pPr>
        <w:jc w:val="both"/>
        <w:ind w:firstLine="603"/>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3.2 Lost, Stolen, Mutilated or Destroyed Warrant Certificates. </w:t>
      </w:r>
      <w:r>
        <w:rPr>
          <w:rFonts w:ascii="Times New Roman" w:cs="Times New Roman" w:eastAsia="Times New Roman" w:hAnsi="Times New Roman"/>
          <w:sz w:val="17"/>
          <w:szCs w:val="17"/>
          <w:color w:val="auto"/>
        </w:rPr>
        <w:t>Upon receipt by the Warrant Agent of evidence reasonably satisfactory to it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0"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3.3 Holder of Warrant Certificate May Enforce Rights. </w:t>
      </w:r>
      <w:r>
        <w:rPr>
          <w:rFonts w:ascii="Times New Roman" w:cs="Times New Roman" w:eastAsia="Times New Roman" w:hAnsi="Times New Roman"/>
          <w:sz w:val="17"/>
          <w:szCs w:val="17"/>
          <w:color w:val="auto"/>
        </w:rPr>
        <w:t>Notwithstanding any of the provisions of this Agreement, any holder of a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2"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3.4</w:t>
      </w:r>
      <w:r>
        <w:rPr>
          <w:sz w:val="20"/>
          <w:szCs w:val="20"/>
          <w:color w:val="auto"/>
        </w:rPr>
        <w:tab/>
      </w:r>
      <w:r>
        <w:rPr>
          <w:rFonts w:ascii="Times New Roman" w:cs="Times New Roman" w:eastAsia="Times New Roman" w:hAnsi="Times New Roman"/>
          <w:sz w:val="16"/>
          <w:szCs w:val="16"/>
          <w:b w:val="1"/>
          <w:bCs w:val="1"/>
          <w:color w:val="auto"/>
        </w:rPr>
        <w:t>Adjustments.</w:t>
      </w:r>
    </w:p>
    <w:p>
      <w:pPr>
        <w:spacing w:after="0" w:line="211" w:lineRule="exact"/>
        <w:rPr>
          <w:sz w:val="20"/>
          <w:szCs w:val="20"/>
          <w:color w:val="auto"/>
        </w:rPr>
      </w:pPr>
    </w:p>
    <w:p>
      <w:pPr>
        <w:jc w:val="both"/>
        <w:ind w:firstLine="1207"/>
        <w:spacing w:after="0" w:line="253" w:lineRule="auto"/>
        <w:tabs>
          <w:tab w:leader="none" w:pos="2272"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76"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214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58" w:lineRule="exact"/>
        <w:rPr>
          <w:rFonts w:ascii="Times New Roman" w:cs="Times New Roman" w:eastAsia="Times New Roman" w:hAnsi="Times New Roman"/>
          <w:sz w:val="17"/>
          <w:szCs w:val="17"/>
          <w:b w:val="1"/>
          <w:bCs w:val="1"/>
          <w:color w:val="auto"/>
        </w:rPr>
      </w:pPr>
    </w:p>
    <w:p>
      <w:pPr>
        <w:jc w:val="both"/>
        <w:ind w:firstLine="1810"/>
        <w:spacing w:after="0" w:line="260" w:lineRule="auto"/>
        <w:tabs>
          <w:tab w:leader="none" w:pos="2780" w:val="left"/>
        </w:tabs>
        <w:numPr>
          <w:ilvl w:val="1"/>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86" w:name="page187"/>
    <w:bookmarkEnd w:id="186"/>
    <w:p>
      <w:pPr>
        <w:ind w:firstLine="1810"/>
        <w:spacing w:after="0" w:line="273" w:lineRule="auto"/>
        <w:tabs>
          <w:tab w:leader="none" w:pos="2705" w:val="left"/>
        </w:tabs>
        <w:numPr>
          <w:ilvl w:val="1"/>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58" w:lineRule="exact"/>
        <w:rPr>
          <w:rFonts w:ascii="Times New Roman" w:cs="Times New Roman" w:eastAsia="Times New Roman" w:hAnsi="Times New Roman"/>
          <w:sz w:val="17"/>
          <w:szCs w:val="17"/>
          <w:b w:val="1"/>
          <w:bCs w:val="1"/>
          <w:color w:val="auto"/>
        </w:rPr>
      </w:pPr>
    </w:p>
    <w:p>
      <w:pPr>
        <w:ind w:left="2600" w:hanging="790"/>
        <w:spacing w:after="0"/>
        <w:tabs>
          <w:tab w:leader="none" w:pos="2600" w:val="left"/>
        </w:tabs>
        <w:numPr>
          <w:ilvl w:val="1"/>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evidence of the Company’s indebtedness or rights to subscribe for or purchase the Company’s indebtedness; or</w:t>
      </w:r>
    </w:p>
    <w:p>
      <w:pPr>
        <w:spacing w:after="0" w:line="206" w:lineRule="exact"/>
        <w:rPr>
          <w:rFonts w:ascii="Times New Roman" w:cs="Times New Roman" w:eastAsia="Times New Roman" w:hAnsi="Times New Roman"/>
          <w:sz w:val="17"/>
          <w:szCs w:val="17"/>
          <w:b w:val="1"/>
          <w:bCs w:val="1"/>
          <w:color w:val="auto"/>
        </w:rPr>
      </w:pPr>
    </w:p>
    <w:p>
      <w:pPr>
        <w:jc w:val="both"/>
        <w:ind w:firstLine="1810"/>
        <w:spacing w:after="0" w:line="250" w:lineRule="auto"/>
        <w:tabs>
          <w:tab w:leader="none" w:pos="2675" w:val="left"/>
        </w:tabs>
        <w:numPr>
          <w:ilvl w:val="1"/>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80" w:lineRule="exact"/>
        <w:rPr>
          <w:rFonts w:ascii="Times New Roman" w:cs="Times New Roman" w:eastAsia="Times New Roman" w:hAnsi="Times New Roman"/>
          <w:sz w:val="17"/>
          <w:szCs w:val="17"/>
          <w:b w:val="1"/>
          <w:bCs w:val="1"/>
          <w:color w:val="auto"/>
        </w:rPr>
      </w:pPr>
    </w:p>
    <w:p>
      <w:pPr>
        <w:jc w:val="both"/>
        <w:ind w:firstLine="1207"/>
        <w:spacing w:after="0" w:line="248" w:lineRule="auto"/>
        <w:tabs>
          <w:tab w:leader="none" w:pos="2288"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7"/>
          <w:szCs w:val="17"/>
          <w:b w:val="1"/>
          <w:bCs w:val="1"/>
          <w:i w:val="1"/>
          <w:iCs w:val="1"/>
          <w:color w:val="auto"/>
        </w:rPr>
        <w:t>Reorganization Event</w:t>
      </w:r>
      <w:r>
        <w:rPr>
          <w:rFonts w:ascii="Times New Roman" w:cs="Times New Roman" w:eastAsia="Times New Roman" w:hAnsi="Times New Roman"/>
          <w:sz w:val="17"/>
          <w:szCs w:val="17"/>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7" w:name="page188"/>
    <w:bookmarkEnd w:id="187"/>
    <w:p>
      <w:pPr>
        <w:jc w:val="both"/>
        <w:ind w:firstLine="1207"/>
        <w:spacing w:after="0" w:line="260" w:lineRule="auto"/>
        <w:tabs>
          <w:tab w:leader="none" w:pos="219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8"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2276"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herein otherwise expressly provided, no adjustment in the Warrant Price shall be made by reason of the issuance of any securities of the Company or for any other reason whatsoever.</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66" w:lineRule="auto"/>
        <w:tabs>
          <w:tab w:leader="none" w:pos="2148"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6"/>
          <w:szCs w:val="16"/>
          <w:b w:val="1"/>
          <w:bCs w:val="1"/>
          <w:i w:val="1"/>
          <w:iCs w:val="1"/>
          <w:color w:val="auto"/>
        </w:rPr>
        <w:t>OTC Bulletin Board</w:t>
      </w:r>
      <w:r>
        <w:rPr>
          <w:rFonts w:ascii="Times New Roman" w:cs="Times New Roman" w:eastAsia="Times New Roman" w:hAnsi="Times New Roman"/>
          <w:sz w:val="16"/>
          <w:szCs w:val="16"/>
          <w:color w:val="auto"/>
        </w:rPr>
        <w:t>”) operated by the Financial Industry Regulatory Authority, Inc. (“</w:t>
      </w:r>
      <w:r>
        <w:rPr>
          <w:rFonts w:ascii="Times New Roman" w:cs="Times New Roman" w:eastAsia="Times New Roman" w:hAnsi="Times New Roman"/>
          <w:sz w:val="16"/>
          <w:szCs w:val="16"/>
          <w:b w:val="1"/>
          <w:bCs w:val="1"/>
          <w:i w:val="1"/>
          <w:iCs w:val="1"/>
          <w:color w:val="auto"/>
        </w:rPr>
        <w:t>FINRA</w:t>
      </w:r>
      <w:r>
        <w:rPr>
          <w:rFonts w:ascii="Times New Roman" w:cs="Times New Roman" w:eastAsia="Times New Roman" w:hAnsi="Times New Roman"/>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66" w:lineRule="exact"/>
        <w:rPr>
          <w:rFonts w:ascii="Times New Roman" w:cs="Times New Roman" w:eastAsia="Times New Roman" w:hAnsi="Times New Roman"/>
          <w:sz w:val="16"/>
          <w:szCs w:val="16"/>
          <w:b w:val="1"/>
          <w:bCs w:val="1"/>
          <w:color w:val="auto"/>
        </w:rPr>
      </w:pPr>
    </w:p>
    <w:p>
      <w:pPr>
        <w:jc w:val="both"/>
        <w:ind w:firstLine="1207"/>
        <w:spacing w:after="0" w:line="260" w:lineRule="auto"/>
        <w:tabs>
          <w:tab w:leader="none" w:pos="2097"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8"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2064"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88" w:name="page189"/>
    <w:bookmarkEnd w:id="188"/>
    <w:p>
      <w:pPr>
        <w:jc w:val="both"/>
        <w:ind w:firstLine="6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3.5 Notice to Warrantholders. </w:t>
      </w:r>
      <w:r>
        <w:rPr>
          <w:rFonts w:ascii="Times New Roman" w:cs="Times New Roman" w:eastAsia="Times New Roman" w:hAnsi="Times New Roman"/>
          <w:sz w:val="17"/>
          <w:szCs w:val="17"/>
          <w:color w:val="auto"/>
        </w:rPr>
        <w:t>In case the Company shall (a) effect any dividend or distribution described in Section 3.4(b), (b) effect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3"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6"/>
          <w:szCs w:val="16"/>
          <w:color w:val="auto"/>
        </w:rPr>
        <w:t>[If the Warrants are Subject to Acceleration by the Company, Insert — Acceleration of Warrants by the Company.</w:t>
      </w:r>
    </w:p>
    <w:p>
      <w:pPr>
        <w:spacing w:after="0" w:line="211" w:lineRule="exact"/>
        <w:rPr>
          <w:sz w:val="20"/>
          <w:szCs w:val="20"/>
          <w:color w:val="auto"/>
        </w:rPr>
      </w:pPr>
    </w:p>
    <w:p>
      <w:pPr>
        <w:jc w:val="both"/>
        <w:ind w:firstLine="1207"/>
        <w:spacing w:after="0" w:line="253" w:lineRule="auto"/>
        <w:tabs>
          <w:tab w:leader="none" w:pos="2122"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7"/>
          <w:szCs w:val="17"/>
          <w:b w:val="1"/>
          <w:bCs w:val="1"/>
          <w:i w:val="1"/>
          <w:iCs w:val="1"/>
          <w:color w:val="auto"/>
        </w:rPr>
        <w:t>Acceleration Date</w:t>
      </w:r>
      <w:r>
        <w:rPr>
          <w:rFonts w:ascii="Times New Roman" w:cs="Times New Roman" w:eastAsia="Times New Roman" w:hAnsi="Times New Roman"/>
          <w:sz w:val="17"/>
          <w:szCs w:val="17"/>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2"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11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Price</w:t>
      </w:r>
      <w:r>
        <w:rPr>
          <w:rFonts w:ascii="Times New Roman" w:cs="Times New Roman" w:eastAsia="Times New Roman" w:hAnsi="Times New Roman"/>
          <w:sz w:val="17"/>
          <w:szCs w:val="17"/>
          <w:color w:val="auto"/>
        </w:rPr>
        <w:t>” for each Trading Day shall be, if the [title of Preferred Stock purchasable through exercise of Warrants] is listed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82" w:lineRule="exact"/>
        <w:rPr>
          <w:rFonts w:ascii="Times New Roman" w:cs="Times New Roman" w:eastAsia="Times New Roman" w:hAnsi="Times New Roman"/>
          <w:sz w:val="17"/>
          <w:szCs w:val="17"/>
          <w:b w:val="1"/>
          <w:bCs w:val="1"/>
          <w:color w:val="auto"/>
        </w:rPr>
      </w:pPr>
    </w:p>
    <w:p>
      <w:pPr>
        <w:jc w:val="both"/>
        <w:ind w:firstLine="1207"/>
        <w:spacing w:after="0" w:line="276" w:lineRule="auto"/>
        <w:tabs>
          <w:tab w:leader="none" w:pos="2100"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89" w:name="page190"/>
    <w:bookmarkEnd w:id="189"/>
    <w:p>
      <w:pPr>
        <w:ind w:firstLine="1207"/>
        <w:spacing w:after="0" w:line="273" w:lineRule="auto"/>
        <w:tabs>
          <w:tab w:leader="none" w:pos="2152"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Warrant accelerated may be exercised until [●] p.m., [City] time, on the business day next preceding the Acceleration Date. The Warrant Price shall be payable as provided in Section 2.]</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0100" w:type="dxa"/>
            <w:vAlign w:val="bottom"/>
          </w:tcPr>
          <w:p>
            <w:pPr>
              <w:jc w:val="center"/>
              <w:ind w:right="1056"/>
              <w:spacing w:after="0"/>
              <w:rPr>
                <w:sz w:val="20"/>
                <w:szCs w:val="20"/>
                <w:color w:val="auto"/>
              </w:rPr>
            </w:pPr>
            <w:r>
              <w:rPr>
                <w:rFonts w:ascii="Times New Roman" w:cs="Times New Roman" w:eastAsia="Times New Roman" w:hAnsi="Times New Roman"/>
                <w:sz w:val="17"/>
                <w:szCs w:val="17"/>
                <w:b w:val="1"/>
                <w:bCs w:val="1"/>
                <w:color w:val="auto"/>
                <w:w w:val="97"/>
              </w:rPr>
              <w:t>ARTICLE 4</w:t>
            </w:r>
          </w:p>
        </w:tc>
      </w:tr>
      <w:tr>
        <w:trPr>
          <w:trHeight w:val="402"/>
        </w:trPr>
        <w:tc>
          <w:tcPr>
            <w:tcW w:w="540" w:type="dxa"/>
            <w:vAlign w:val="bottom"/>
          </w:tcPr>
          <w:p>
            <w:pPr>
              <w:spacing w:after="0"/>
              <w:rPr>
                <w:sz w:val="24"/>
                <w:szCs w:val="24"/>
                <w:color w:val="auto"/>
              </w:rPr>
            </w:pPr>
          </w:p>
        </w:tc>
        <w:tc>
          <w:tcPr>
            <w:tcW w:w="1010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7"/>
              </w:rPr>
              <w:t>EXCHANGE AND TRANSFER OF WARRANT CERTIFICATES</w:t>
            </w:r>
          </w:p>
        </w:tc>
      </w:tr>
      <w:tr>
        <w:trPr>
          <w:trHeight w:val="402"/>
        </w:trPr>
        <w:tc>
          <w:tcPr>
            <w:tcW w:w="5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93"/>
              </w:rPr>
              <w:t>4.1</w:t>
            </w:r>
          </w:p>
        </w:tc>
        <w:tc>
          <w:tcPr>
            <w:tcW w:w="10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7"/>
              </w:rPr>
              <w:t>Exchange and Transfer of Warrant Certificates. Upon surrender at the corporate trust office of the Warrant Agent, Warrant Certificates evidencing</w:t>
            </w:r>
          </w:p>
        </w:tc>
      </w:tr>
    </w:tbl>
    <w:p>
      <w:pPr>
        <w:jc w:val="both"/>
        <w:spacing w:after="0" w:line="264" w:lineRule="auto"/>
        <w:rPr>
          <w:sz w:val="20"/>
          <w:szCs w:val="20"/>
          <w:color w:val="auto"/>
        </w:rPr>
      </w:pPr>
      <w:r>
        <w:rPr>
          <w:rFonts w:ascii="Times New Roman" w:cs="Times New Roman" w:eastAsia="Times New Roman" w:hAnsi="Times New Roman"/>
          <w:sz w:val="16"/>
          <w:szCs w:val="16"/>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4.2 Treatment of Holders of Warrant Certificates. </w:t>
      </w:r>
      <w:r>
        <w:rPr>
          <w:rFonts w:ascii="Times New Roman" w:cs="Times New Roman" w:eastAsia="Times New Roman" w:hAnsi="Times New Roman"/>
          <w:sz w:val="17"/>
          <w:szCs w:val="17"/>
          <w:color w:val="auto"/>
        </w:rPr>
        <w:t>The Company, the Warrant Agent and all other persons may treat the registered holder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 as the absolute owner thereof for any purpose and as the person entitled to exercise the rights represented by the Warrants evidenced thereby, any notice to the contrary notwithstanding.</w:t>
      </w:r>
    </w:p>
    <w:p>
      <w:pPr>
        <w:spacing w:after="0" w:line="164"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4.3 Cancellation of Warrant Certificates. </w:t>
      </w:r>
      <w:r>
        <w:rPr>
          <w:rFonts w:ascii="Times New Roman" w:cs="Times New Roman" w:eastAsia="Times New Roman" w:hAnsi="Times New Roman"/>
          <w:sz w:val="17"/>
          <w:szCs w:val="17"/>
          <w:color w:val="auto"/>
        </w:rPr>
        <w:t>Any Warrant Certificate surrendered for exchange, registration of transfer or exercise of the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10060" w:type="dxa"/>
            <w:vAlign w:val="bottom"/>
          </w:tcPr>
          <w:p>
            <w:pPr>
              <w:jc w:val="center"/>
              <w:ind w:right="1096"/>
              <w:spacing w:after="0"/>
              <w:rPr>
                <w:sz w:val="20"/>
                <w:szCs w:val="20"/>
                <w:color w:val="auto"/>
              </w:rPr>
            </w:pPr>
            <w:r>
              <w:rPr>
                <w:rFonts w:ascii="Times New Roman" w:cs="Times New Roman" w:eastAsia="Times New Roman" w:hAnsi="Times New Roman"/>
                <w:sz w:val="17"/>
                <w:szCs w:val="17"/>
                <w:b w:val="1"/>
                <w:bCs w:val="1"/>
                <w:color w:val="auto"/>
                <w:w w:val="97"/>
              </w:rPr>
              <w:t>ARTICLE 5</w:t>
            </w:r>
          </w:p>
        </w:tc>
      </w:tr>
      <w:tr>
        <w:trPr>
          <w:trHeight w:val="402"/>
        </w:trPr>
        <w:tc>
          <w:tcPr>
            <w:tcW w:w="580" w:type="dxa"/>
            <w:vAlign w:val="bottom"/>
          </w:tcPr>
          <w:p>
            <w:pPr>
              <w:spacing w:after="0"/>
              <w:rPr>
                <w:sz w:val="24"/>
                <w:szCs w:val="24"/>
                <w:color w:val="auto"/>
              </w:rPr>
            </w:pPr>
          </w:p>
        </w:tc>
        <w:tc>
          <w:tcPr>
            <w:tcW w:w="10060" w:type="dxa"/>
            <w:vAlign w:val="bottom"/>
          </w:tcPr>
          <w:p>
            <w:pPr>
              <w:jc w:val="center"/>
              <w:ind w:right="1076"/>
              <w:spacing w:after="0"/>
              <w:rPr>
                <w:sz w:val="20"/>
                <w:szCs w:val="20"/>
                <w:color w:val="auto"/>
              </w:rPr>
            </w:pPr>
            <w:r>
              <w:rPr>
                <w:rFonts w:ascii="Times New Roman" w:cs="Times New Roman" w:eastAsia="Times New Roman" w:hAnsi="Times New Roman"/>
                <w:sz w:val="17"/>
                <w:szCs w:val="17"/>
                <w:b w:val="1"/>
                <w:bCs w:val="1"/>
                <w:color w:val="auto"/>
                <w:w w:val="97"/>
              </w:rPr>
              <w:t>CONCERNING THE WARRANT AGENT</w:t>
            </w:r>
          </w:p>
        </w:tc>
      </w:tr>
      <w:tr>
        <w:trPr>
          <w:trHeight w:val="402"/>
        </w:trPr>
        <w:tc>
          <w:tcPr>
            <w:tcW w:w="580" w:type="dxa"/>
            <w:vAlign w:val="bottom"/>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93"/>
              </w:rPr>
              <w:t>5.1</w:t>
            </w:r>
          </w:p>
        </w:tc>
        <w:tc>
          <w:tcPr>
            <w:tcW w:w="1006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w w:val="99"/>
              </w:rPr>
              <w:t xml:space="preserve">Warrant Agent. </w:t>
            </w:r>
            <w:r>
              <w:rPr>
                <w:rFonts w:ascii="Times New Roman" w:cs="Times New Roman" w:eastAsia="Times New Roman" w:hAnsi="Times New Roman"/>
                <w:sz w:val="17"/>
                <w:szCs w:val="17"/>
                <w:color w:val="auto"/>
                <w:w w:val="99"/>
              </w:rPr>
              <w:t>The Company hereby appoints [●] as Warrant Agent of the Company in respect of the Warrants and the Warrant Certificates</w:t>
            </w: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0" w:name="page191"/>
    <w:bookmarkEnd w:id="190"/>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5.2 Conditions of Warrant Agent’s Obligations. </w:t>
      </w:r>
      <w:r>
        <w:rPr>
          <w:rFonts w:ascii="Times New Roman" w:cs="Times New Roman" w:eastAsia="Times New Roman" w:hAnsi="Times New Roman"/>
          <w:sz w:val="17"/>
          <w:szCs w:val="17"/>
          <w:color w:val="auto"/>
        </w:rPr>
        <w:t>The Warrant Agent accepts its obligations herein set forth upon the terms and conditions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following to all of which the Company agrees and to all of which the rights hereunder of the holders from time to time of the Warrant Certificates shall be subject:</w:t>
      </w:r>
    </w:p>
    <w:p>
      <w:pPr>
        <w:spacing w:after="0" w:line="164" w:lineRule="exact"/>
        <w:rPr>
          <w:sz w:val="20"/>
          <w:szCs w:val="20"/>
          <w:color w:val="auto"/>
        </w:rPr>
      </w:pPr>
    </w:p>
    <w:p>
      <w:pPr>
        <w:jc w:val="both"/>
        <w:ind w:firstLine="1207"/>
        <w:spacing w:after="0" w:line="253" w:lineRule="auto"/>
        <w:tabs>
          <w:tab w:leader="none" w:pos="2209"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Compensation and Indemnification. </w:t>
      </w:r>
      <w:r>
        <w:rPr>
          <w:rFonts w:ascii="Times New Roman" w:cs="Times New Roman" w:eastAsia="Times New Roman" w:hAnsi="Times New Roman"/>
          <w:sz w:val="17"/>
          <w:szCs w:val="17"/>
          <w:color w:val="auto"/>
        </w:rPr>
        <w:t>The Company agrees promptly to pay the Warrant Agent the compensation to be agreed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1"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129"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Agent for the Company. </w:t>
      </w:r>
      <w:r>
        <w:rPr>
          <w:rFonts w:ascii="Times New Roman" w:cs="Times New Roman" w:eastAsia="Times New Roman" w:hAnsi="Times New Roman"/>
          <w:sz w:val="17"/>
          <w:szCs w:val="17"/>
          <w:color w:val="auto"/>
        </w:rPr>
        <w:t>In acting under this Agreement and in connection with the Warrant Certificates, the Warrant Agent is acting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as agent of the Company and does not assume any obligations or relationship of agency or trust for or with any of the holders of Warrant Certificates or beneficial owners of Warrants.</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145"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Counsel. </w:t>
      </w:r>
      <w:r>
        <w:rPr>
          <w:rFonts w:ascii="Times New Roman" w:cs="Times New Roman" w:eastAsia="Times New Roman" w:hAnsi="Times New Roman"/>
          <w:sz w:val="17"/>
          <w:szCs w:val="17"/>
          <w:color w:val="auto"/>
        </w:rPr>
        <w:t>The Warrant Agent may consult with counsel satisfactory to it, which may include counsel for the Company, and the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157"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Documents. </w:t>
      </w:r>
      <w:r>
        <w:rPr>
          <w:rFonts w:ascii="Times New Roman" w:cs="Times New Roman" w:eastAsia="Times New Roman" w:hAnsi="Times New Roman"/>
          <w:sz w:val="17"/>
          <w:szCs w:val="17"/>
          <w:color w:val="auto"/>
        </w:rPr>
        <w:t>The Warrant Agent shall be protected and shall incur no liability for or in respect of any action taken or omitted by it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54" w:lineRule="auto"/>
        <w:tabs>
          <w:tab w:leader="none" w:pos="2107"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Certain Transactions. </w:t>
      </w:r>
      <w:r>
        <w:rPr>
          <w:rFonts w:ascii="Times New Roman" w:cs="Times New Roman" w:eastAsia="Times New Roman" w:hAnsi="Times New Roman"/>
          <w:sz w:val="17"/>
          <w:szCs w:val="17"/>
          <w:color w:val="auto"/>
        </w:rPr>
        <w:t>The Warrant Agent, and its officers, directors and employees, may become the owner of, or acquire any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71"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2258"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Interest. </w:t>
      </w:r>
      <w:r>
        <w:rPr>
          <w:rFonts w:ascii="Times New Roman" w:cs="Times New Roman" w:eastAsia="Times New Roman" w:hAnsi="Times New Roman"/>
          <w:sz w:val="17"/>
          <w:szCs w:val="17"/>
          <w:color w:val="auto"/>
        </w:rPr>
        <w:t>Unless otherwise agreed with the Company, the Warrant Agent shall have no liability for interest 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monies at any time received by it pursuant to any of the provisions of this Agreement or of the Warrant Certificates.</w:t>
      </w:r>
    </w:p>
    <w:p>
      <w:pPr>
        <w:spacing w:after="0" w:line="150"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2202"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Invalidity. </w:t>
      </w:r>
      <w:r>
        <w:rPr>
          <w:rFonts w:ascii="Times New Roman" w:cs="Times New Roman" w:eastAsia="Times New Roman" w:hAnsi="Times New Roman"/>
          <w:sz w:val="17"/>
          <w:szCs w:val="17"/>
          <w:color w:val="auto"/>
        </w:rPr>
        <w:t>The Warrant Agent shall have no liability with respect to any invalidity of this Agreement or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(except as to the Warrant Agent’s countersignature thereon).</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91" w:name="page192"/>
    <w:bookmarkEnd w:id="191"/>
    <w:p>
      <w:pPr>
        <w:ind w:firstLine="1207"/>
        <w:spacing w:after="0" w:line="278" w:lineRule="auto"/>
        <w:tabs>
          <w:tab w:leader="none" w:pos="2102"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Responsibility for Representations. </w:t>
      </w:r>
      <w:r>
        <w:rPr>
          <w:rFonts w:ascii="Times New Roman" w:cs="Times New Roman" w:eastAsia="Times New Roman" w:hAnsi="Times New Roman"/>
          <w:sz w:val="17"/>
          <w:szCs w:val="17"/>
          <w:color w:val="auto"/>
        </w:rPr>
        <w:t>The Warrant Agent shall not be responsible for any of the recitals or representations herein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Warrant Certificates (except as to the Warrant Agent’s countersignature thereon), all of which are made solely by the Company.</w:t>
      </w:r>
    </w:p>
    <w:p>
      <w:pPr>
        <w:spacing w:after="0" w:line="150"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2087"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Implied Obligations. </w:t>
      </w:r>
      <w:r>
        <w:rPr>
          <w:rFonts w:ascii="Times New Roman" w:cs="Times New Roman" w:eastAsia="Times New Roman" w:hAnsi="Times New Roman"/>
          <w:sz w:val="17"/>
          <w:szCs w:val="17"/>
          <w:color w:val="auto"/>
        </w:rPr>
        <w:t>The Warrant Agent shall be obligated to perform only such duties as are herein and in the Warrant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8" w:lineRule="exact"/>
        <w:rPr>
          <w:sz w:val="20"/>
          <w:szCs w:val="20"/>
          <w:color w:val="auto"/>
        </w:rPr>
      </w:pPr>
    </w:p>
    <w:p>
      <w:pPr>
        <w:ind w:left="600"/>
        <w:spacing w:after="0"/>
        <w:tabs>
          <w:tab w:leader="none" w:pos="142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Resignation, Removal and Appointment of Successors.</w:t>
      </w:r>
    </w:p>
    <w:p>
      <w:pPr>
        <w:spacing w:after="0" w:line="211" w:lineRule="exact"/>
        <w:rPr>
          <w:sz w:val="20"/>
          <w:szCs w:val="20"/>
          <w:color w:val="auto"/>
        </w:rPr>
      </w:pPr>
    </w:p>
    <w:p>
      <w:pPr>
        <w:ind w:firstLine="1207"/>
        <w:spacing w:after="0" w:line="273" w:lineRule="auto"/>
        <w:tabs>
          <w:tab w:leader="none" w:pos="2285"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58" w:lineRule="exact"/>
        <w:rPr>
          <w:rFonts w:ascii="Times New Roman" w:cs="Times New Roman" w:eastAsia="Times New Roman" w:hAnsi="Times New Roman"/>
          <w:sz w:val="17"/>
          <w:szCs w:val="17"/>
          <w:b w:val="1"/>
          <w:bCs w:val="1"/>
          <w:color w:val="auto"/>
        </w:rPr>
      </w:pPr>
    </w:p>
    <w:p>
      <w:pPr>
        <w:jc w:val="both"/>
        <w:ind w:firstLine="1207"/>
        <w:spacing w:after="0" w:line="251" w:lineRule="auto"/>
        <w:tabs>
          <w:tab w:leader="none" w:pos="2077"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225"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92" w:name="page193"/>
    <w:bookmarkEnd w:id="192"/>
    <w:p>
      <w:pPr>
        <w:jc w:val="both"/>
        <w:ind w:firstLine="1207"/>
        <w:spacing w:after="0" w:line="273" w:lineRule="auto"/>
        <w:tabs>
          <w:tab w:leader="none" w:pos="2177"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9" w:lineRule="exact"/>
        <w:rPr>
          <w:rFonts w:ascii="Times New Roman" w:cs="Times New Roman" w:eastAsia="Times New Roman" w:hAnsi="Times New Roman"/>
          <w:sz w:val="16"/>
          <w:szCs w:val="16"/>
          <w:b w:val="1"/>
          <w:bCs w:val="1"/>
          <w:color w:val="auto"/>
        </w:rPr>
      </w:pPr>
    </w:p>
    <w:p>
      <w:pPr>
        <w:jc w:val="both"/>
        <w:ind w:firstLine="1207"/>
        <w:spacing w:after="0" w:line="253" w:lineRule="auto"/>
        <w:tabs>
          <w:tab w:leader="none" w:pos="2075"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1012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7"/>
              </w:rPr>
              <w:t>ARTICLE 6</w:t>
            </w:r>
          </w:p>
        </w:tc>
      </w:tr>
      <w:tr>
        <w:trPr>
          <w:trHeight w:val="402"/>
        </w:trPr>
        <w:tc>
          <w:tcPr>
            <w:tcW w:w="520" w:type="dxa"/>
            <w:vAlign w:val="bottom"/>
          </w:tcPr>
          <w:p>
            <w:pPr>
              <w:spacing w:after="0"/>
              <w:rPr>
                <w:sz w:val="24"/>
                <w:szCs w:val="24"/>
                <w:color w:val="auto"/>
              </w:rPr>
            </w:pPr>
          </w:p>
        </w:tc>
        <w:tc>
          <w:tcPr>
            <w:tcW w:w="1012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9"/>
              </w:rPr>
              <w:t>MISCELLANEOUS</w:t>
            </w:r>
          </w:p>
        </w:tc>
      </w:tr>
      <w:tr>
        <w:trPr>
          <w:trHeight w:val="402"/>
        </w:trPr>
        <w:tc>
          <w:tcPr>
            <w:tcW w:w="52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93"/>
              </w:rPr>
              <w:t>6.1</w:t>
            </w:r>
          </w:p>
        </w:tc>
        <w:tc>
          <w:tcPr>
            <w:tcW w:w="10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w w:val="98"/>
              </w:rPr>
              <w:t xml:space="preserve">Amendment. </w:t>
            </w:r>
            <w:r>
              <w:rPr>
                <w:rFonts w:ascii="Times New Roman" w:cs="Times New Roman" w:eastAsia="Times New Roman" w:hAnsi="Times New Roman"/>
                <w:sz w:val="17"/>
                <w:szCs w:val="17"/>
                <w:color w:val="auto"/>
                <w:w w:val="98"/>
              </w:rPr>
              <w:t>This Agreement may be amended by the parties hereto, without the consent of the holder of any Warrant Certificate, for the purpose</w:t>
            </w:r>
          </w:p>
        </w:tc>
      </w:tr>
    </w:tbl>
    <w:p>
      <w:pPr>
        <w:jc w:val="both"/>
        <w:spacing w:after="0" w:line="250" w:lineRule="auto"/>
        <w:rPr>
          <w:sz w:val="20"/>
          <w:szCs w:val="20"/>
          <w:color w:val="auto"/>
        </w:rPr>
      </w:pPr>
      <w:r>
        <w:rPr>
          <w:rFonts w:ascii="Times New Roman" w:cs="Times New Roman" w:eastAsia="Times New Roman" w:hAnsi="Times New Roman"/>
          <w:sz w:val="17"/>
          <w:szCs w:val="17"/>
          <w:color w:val="auto"/>
        </w:rPr>
        <w:t>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3"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6.2 Notices and Demands to the Company and Warrant Agent. </w:t>
      </w:r>
      <w:r>
        <w:rPr>
          <w:rFonts w:ascii="Times New Roman" w:cs="Times New Roman" w:eastAsia="Times New Roman" w:hAnsi="Times New Roman"/>
          <w:sz w:val="17"/>
          <w:szCs w:val="17"/>
          <w:color w:val="auto"/>
        </w:rPr>
        <w:t>If the Warrant Agent shall receive any notice or demand addressed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by the holder of a Warrant Certificate pursuant to the provisions of the Warrant Certificates, the Warrant Agent shall promptly forward such notice or demand to the Company.</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6.3 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6.4</w:t>
            </w:r>
          </w:p>
        </w:tc>
        <w:tc>
          <w:tcPr>
            <w:tcW w:w="10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Governing Law. </w:t>
            </w:r>
            <w:r>
              <w:rPr>
                <w:rFonts w:ascii="Times New Roman" w:cs="Times New Roman" w:eastAsia="Times New Roman" w:hAnsi="Times New Roman"/>
                <w:sz w:val="17"/>
                <w:szCs w:val="17"/>
                <w:color w:val="auto"/>
              </w:rPr>
              <w:t>This Agreement and each Warrant Certificate issued hereunder shall be governed by and construed in accordance with the laws</w:t>
            </w:r>
          </w:p>
        </w:tc>
      </w:tr>
      <w:tr>
        <w:trPr>
          <w:trHeight w:val="217"/>
        </w:trPr>
        <w:tc>
          <w:tcPr>
            <w:tcW w:w="11240" w:type="dxa"/>
            <w:vAlign w:val="bottom"/>
            <w:gridSpan w:val="2"/>
          </w:tcPr>
          <w:p>
            <w:pPr>
              <w:jc w:val="right"/>
              <w:ind w:right="9436"/>
              <w:spacing w:after="0"/>
              <w:rPr>
                <w:sz w:val="20"/>
                <w:szCs w:val="20"/>
                <w:color w:val="auto"/>
              </w:rPr>
            </w:pPr>
            <w:r>
              <w:rPr>
                <w:rFonts w:ascii="Times New Roman" w:cs="Times New Roman" w:eastAsia="Times New Roman" w:hAnsi="Times New Roman"/>
                <w:sz w:val="17"/>
                <w:szCs w:val="17"/>
                <w:color w:val="auto"/>
                <w:w w:val="96"/>
              </w:rPr>
              <w:t>of the State of New York.</w:t>
            </w:r>
          </w:p>
        </w:tc>
      </w:tr>
      <w:tr>
        <w:trPr>
          <w:trHeight w:val="402"/>
        </w:trPr>
        <w:tc>
          <w:tcPr>
            <w:tcW w:w="11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6.5</w:t>
            </w:r>
          </w:p>
        </w:tc>
        <w:tc>
          <w:tcPr>
            <w:tcW w:w="10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Delivery of Prospectus. </w:t>
            </w:r>
            <w:r>
              <w:rPr>
                <w:rFonts w:ascii="Times New Roman" w:cs="Times New Roman" w:eastAsia="Times New Roman" w:hAnsi="Times New Roman"/>
                <w:sz w:val="17"/>
                <w:szCs w:val="17"/>
                <w:color w:val="auto"/>
              </w:rPr>
              <w:t>The Company shall furnish to the Warrant Agent sufficient copies of a prospectus meeting the requirements of the</w:t>
            </w: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Securities Act of 1933, as amended, relating to the Warrant Securities deliverable upon exercise of the Warrants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3" w:name="page194"/>
    <w:bookmarkEnd w:id="193"/>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6.7</w:t>
            </w:r>
          </w:p>
        </w:tc>
        <w:tc>
          <w:tcPr>
            <w:tcW w:w="10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Persons Having Rights Under the Agreement. </w:t>
            </w:r>
            <w:r>
              <w:rPr>
                <w:rFonts w:ascii="Times New Roman" w:cs="Times New Roman" w:eastAsia="Times New Roman" w:hAnsi="Times New Roman"/>
                <w:sz w:val="17"/>
                <w:szCs w:val="17"/>
                <w:color w:val="auto"/>
              </w:rPr>
              <w:t>Nothing in this Agreement shall give to any person other than the Company, the Warrant Agent</w:t>
            </w:r>
          </w:p>
        </w:tc>
      </w:tr>
      <w:tr>
        <w:trPr>
          <w:trHeight w:val="217"/>
        </w:trPr>
        <w:tc>
          <w:tcPr>
            <w:tcW w:w="1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the holders of the Warrant Certificates any right, remedy or claim under or by reason of this Agreement.</w:t>
            </w:r>
          </w:p>
        </w:tc>
      </w:tr>
      <w:tr>
        <w:trPr>
          <w:trHeight w:val="386"/>
        </w:trPr>
        <w:tc>
          <w:tcPr>
            <w:tcW w:w="11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6.8</w:t>
            </w:r>
          </w:p>
        </w:tc>
        <w:tc>
          <w:tcPr>
            <w:tcW w:w="10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The descriptive headings of the several Articles and Sections of this Agreement are inserted for convenience only and shall not control</w:t>
            </w:r>
          </w:p>
        </w:tc>
      </w:tr>
      <w:tr>
        <w:trPr>
          <w:trHeight w:val="217"/>
        </w:trPr>
        <w:tc>
          <w:tcPr>
            <w:tcW w:w="1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 affect the meaning or construction of any of the provisions hereof.</w:t>
            </w:r>
          </w:p>
        </w:tc>
      </w:tr>
      <w:tr>
        <w:trPr>
          <w:trHeight w:val="402"/>
        </w:trPr>
        <w:tc>
          <w:tcPr>
            <w:tcW w:w="114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6.9</w:t>
            </w:r>
          </w:p>
        </w:tc>
        <w:tc>
          <w:tcPr>
            <w:tcW w:w="10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Agreement may be executed in any number of counterparts, each of which as so executed shall be deemed to be an original,</w:t>
            </w:r>
          </w:p>
        </w:tc>
      </w:tr>
    </w:tbl>
    <w:p>
      <w:pPr>
        <w:spacing w:after="0"/>
        <w:rPr>
          <w:sz w:val="20"/>
          <w:szCs w:val="20"/>
          <w:color w:val="auto"/>
        </w:rPr>
      </w:pPr>
      <w:r>
        <w:rPr>
          <w:rFonts w:ascii="Times New Roman" w:cs="Times New Roman" w:eastAsia="Times New Roman" w:hAnsi="Times New Roman"/>
          <w:sz w:val="17"/>
          <w:szCs w:val="17"/>
          <w:color w:val="auto"/>
        </w:rPr>
        <w:t>but such counterparts shall together constitute but one and the same instrument.</w:t>
      </w:r>
    </w:p>
    <w:p>
      <w:pPr>
        <w:spacing w:after="0" w:line="18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6.10 Inspection of Agreement. </w:t>
      </w:r>
      <w:r>
        <w:rPr>
          <w:rFonts w:ascii="Times New Roman" w:cs="Times New Roman" w:eastAsia="Times New Roman" w:hAnsi="Times New Roman"/>
          <w:sz w:val="17"/>
          <w:szCs w:val="17"/>
          <w:color w:val="auto"/>
        </w:rPr>
        <w:t>A copy of this Agreement shall be available at all reasonable times at the principal corporate trust office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for inspection by the holder of any Warrant Certificate. The Warrant Agent may require such holder to submit such holder’s Warrant Certificate for inspection by it.</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as of the day and year first above written.</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Company</w:t>
      </w:r>
    </w:p>
    <w:p>
      <w:pPr>
        <w:spacing w:after="0" w:line="2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-123190</wp:posOffset>
            </wp:positionV>
            <wp:extent cx="31521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-123190</wp:posOffset>
            </wp:positionV>
            <wp:extent cx="31521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1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16510</wp:posOffset>
            </wp:positionV>
            <wp:extent cx="31521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152400</wp:posOffset>
            </wp:positionV>
            <wp:extent cx="31521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ountersigned</w:t>
      </w: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-123190</wp:posOffset>
            </wp:positionV>
            <wp:extent cx="31521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-123190</wp:posOffset>
            </wp:positionV>
            <wp:extent cx="31521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11430</wp:posOffset>
            </wp:positionV>
            <wp:extent cx="31521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1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16510</wp:posOffset>
            </wp:positionV>
            <wp:extent cx="31521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315214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152400</wp:posOffset>
            </wp:positionV>
            <wp:extent cx="31521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31521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3"/>
          <w:szCs w:val="13"/>
          <w:color w:val="auto"/>
        </w:rPr>
        <w:t>O</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3"/>
          <w:szCs w:val="13"/>
          <w:color w:val="auto"/>
        </w:rPr>
        <w:t>ARKER</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3"/>
          <w:szCs w:val="13"/>
          <w:color w:val="auto"/>
        </w:rPr>
        <w:t>HERAPEUTICS,</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REFERRED</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TOCK</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3"/>
          <w:szCs w:val="13"/>
          <w:color w:val="auto"/>
        </w:rPr>
        <w:t>ARRANT</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412750</wp:posOffset>
            </wp:positionV>
            <wp:extent cx="71418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48"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pacing w:after="0" w:line="200" w:lineRule="exact"/>
        <w:rPr>
          <w:sz w:val="20"/>
          <w:szCs w:val="20"/>
          <w:color w:val="auto"/>
        </w:rPr>
      </w:pPr>
    </w:p>
    <w:p>
      <w:pPr>
        <w:spacing w:after="0" w:line="21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sz w:val="20"/>
          <w:szCs w:val="20"/>
          <w:color w:val="auto"/>
        </w:rPr>
        <w:tab/>
      </w:r>
      <w:r>
        <w:rPr>
          <w:rFonts w:ascii="Times New Roman" w:cs="Times New Roman" w:eastAsia="Times New Roman" w:hAnsi="Times New Roman"/>
          <w:sz w:val="16"/>
          <w:szCs w:val="16"/>
          <w:color w:val="auto"/>
        </w:rPr>
        <w:t>[Prior to [●], Warrants evidenced by this Warrant Certificate cannot be exercised.]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7"/>
          <w:szCs w:val="17"/>
          <w:b w:val="1"/>
          <w:bCs w:val="1"/>
          <w:color w:val="auto"/>
        </w:rPr>
        <w:t>MARKER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OF WARRANT SECURITIES]</w:t>
      </w:r>
    </w:p>
    <w:p>
      <w:pPr>
        <w:spacing w:after="0" w:line="190" w:lineRule="exact"/>
        <w:rPr>
          <w:sz w:val="20"/>
          <w:szCs w:val="20"/>
          <w:color w:val="auto"/>
        </w:rPr>
      </w:pPr>
    </w:p>
    <w:p>
      <w:pPr>
        <w:ind w:left="40"/>
        <w:spacing w:after="0"/>
        <w:tabs>
          <w:tab w:leader="none" w:pos="1038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of Marker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5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6"/>
          <w:szCs w:val="16"/>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418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97" w:name="page198"/>
    <w:bookmarkEnd w:id="197"/>
    <w:p>
      <w:pPr>
        <w:spacing w:after="0" w:line="273"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 officers.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13970</wp:posOffset>
            </wp:positionV>
            <wp:extent cx="6305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63055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-123190</wp:posOffset>
            </wp:positionV>
            <wp:extent cx="61366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19685</wp:posOffset>
            </wp:positionV>
            <wp:extent cx="61366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-115570</wp:posOffset>
            </wp:positionV>
            <wp:extent cx="61366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152400</wp:posOffset>
            </wp:positionV>
            <wp:extent cx="61366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16510</wp:posOffset>
            </wp:positionV>
            <wp:extent cx="61366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-123190</wp:posOffset>
            </wp:positionV>
            <wp:extent cx="61366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19685</wp:posOffset>
            </wp:positionV>
            <wp:extent cx="61366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-115570</wp:posOffset>
            </wp:positionV>
            <wp:extent cx="61366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61366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152400</wp:posOffset>
            </wp:positionV>
            <wp:extent cx="61366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16510</wp:posOffset>
            </wp:positionV>
            <wp:extent cx="61366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559435</wp:posOffset>
            </wp:positionV>
            <wp:extent cx="71418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undersigned hereby irrevocably elects to exercise ______ Warrants, evidenced by this Warrant Certificate, to purchase _______ shares of the [TITLE OF</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WARRANT SECURITIES], par value $0.001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of Marker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80" w:lineRule="exact"/>
        <w:rPr>
          <w:sz w:val="20"/>
          <w:szCs w:val="20"/>
          <w:color w:val="auto"/>
        </w:rPr>
      </w:pPr>
    </w:p>
    <w:p>
      <w:pPr>
        <w:jc w:val="both"/>
        <w:ind w:firstLine="603"/>
        <w:spacing w:after="0" w:line="305" w:lineRule="auto"/>
        <w:rPr>
          <w:sz w:val="20"/>
          <w:szCs w:val="20"/>
          <w:color w:val="auto"/>
        </w:rPr>
      </w:pPr>
      <w:r>
        <w:rPr>
          <w:rFonts w:ascii="Times New Roman" w:cs="Times New Roman" w:eastAsia="Times New Roman" w:hAnsi="Times New Roman"/>
          <w:sz w:val="16"/>
          <w:szCs w:val="16"/>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3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-123190</wp:posOffset>
            </wp:positionV>
            <wp:extent cx="6647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66471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5750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Holder)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-123190</wp:posOffset>
            </wp:positionV>
            <wp:extent cx="14281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______________ hereby sells, assigns and transfers unto:</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77"/>
        </w:trPr>
        <w:tc>
          <w:tcPr>
            <w:tcW w:w="454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7"/>
                <w:szCs w:val="17"/>
                <w:color w:val="auto"/>
              </w:rPr>
              <w:t>(Please print name and address including zip code)</w:t>
            </w:r>
          </w:p>
        </w:tc>
        <w:tc>
          <w:tcPr>
            <w:tcW w:w="4280" w:type="dxa"/>
            <w:vAlign w:val="bottom"/>
          </w:tcPr>
          <w:p>
            <w:pPr>
              <w:ind w:left="1100"/>
              <w:spacing w:after="0" w:line="177" w:lineRule="exact"/>
              <w:rPr>
                <w:sz w:val="20"/>
                <w:szCs w:val="20"/>
                <w:color w:val="auto"/>
              </w:rPr>
            </w:pPr>
            <w:r>
              <w:rPr>
                <w:rFonts w:ascii="Times New Roman" w:cs="Times New Roman" w:eastAsia="Times New Roman" w:hAnsi="Times New Roman"/>
                <w:sz w:val="17"/>
                <w:szCs w:val="17"/>
                <w:color w:val="auto"/>
                <w:w w:val="97"/>
              </w:rPr>
              <w:t>Please print Social Security or other identifying</w:t>
            </w:r>
          </w:p>
        </w:tc>
      </w:tr>
      <w:tr>
        <w:trPr>
          <w:trHeight w:val="217"/>
        </w:trPr>
        <w:tc>
          <w:tcPr>
            <w:tcW w:w="3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8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number</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 __________ shares of [Title of Warrant Securities] of Marker Therapeutics, Inc. to which the within Warrant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relates and appoints ____________________ attorney to transfer such right on the books of the Warrant Agent with full power of substitution in the premises.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8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Name:</w:t>
            </w:r>
          </w:p>
        </w:tc>
      </w:tr>
      <w:tr>
        <w:trPr>
          <w:trHeight w:val="210"/>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5640" w:type="dxa"/>
            <w:vAlign w:val="bottom"/>
            <w:tcBorders>
              <w:top w:val="single" w:sz="8" w:color="auto"/>
            </w:tcBorders>
          </w:tcPr>
          <w:p>
            <w:pPr>
              <w:ind w:left="2600"/>
              <w:spacing w:after="0"/>
              <w:rPr>
                <w:sz w:val="20"/>
                <w:szCs w:val="20"/>
                <w:color w:val="auto"/>
              </w:rPr>
            </w:pPr>
            <w:r>
              <w:rPr>
                <w:rFonts w:ascii="Times New Roman" w:cs="Times New Roman" w:eastAsia="Times New Roman" w:hAnsi="Times New Roman"/>
                <w:sz w:val="17"/>
                <w:szCs w:val="17"/>
                <w:color w:val="auto"/>
              </w:rPr>
              <w:t>Signature</w:t>
            </w:r>
          </w:p>
        </w:tc>
      </w:tr>
      <w:tr>
        <w:trPr>
          <w:trHeight w:val="386"/>
        </w:trPr>
        <w:tc>
          <w:tcPr>
            <w:tcW w:w="520" w:type="dxa"/>
            <w:vAlign w:val="bottom"/>
          </w:tcPr>
          <w:p>
            <w:pPr>
              <w:spacing w:after="0"/>
              <w:rPr>
                <w:sz w:val="24"/>
                <w:szCs w:val="24"/>
                <w:color w:val="auto"/>
              </w:rPr>
            </w:pPr>
          </w:p>
        </w:tc>
        <w:tc>
          <w:tcPr>
            <w:tcW w:w="10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5750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3575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676275</wp:posOffset>
            </wp:positionV>
            <wp:extent cx="71418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7"/>
          <w:szCs w:val="17"/>
          <w:b w:val="1"/>
          <w:bCs w:val="1"/>
          <w:color w:val="auto"/>
        </w:rPr>
        <w:t>Exhibit 4.7</w:t>
      </w:r>
    </w:p>
    <w:p>
      <w:pPr>
        <w:spacing w:after="0" w:line="20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2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1"/>
          <w:szCs w:val="11"/>
          <w:b w:val="1"/>
          <w:bCs w:val="1"/>
          <w:color w:val="auto"/>
        </w:rPr>
        <w:t>and</w:t>
      </w: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_____________,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gent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ecurities</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18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ated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s</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542925</wp:posOffset>
            </wp:positionV>
            <wp:extent cx="71418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 F</w:t>
      </w:r>
      <w:r>
        <w:rPr>
          <w:rFonts w:ascii="Times New Roman" w:cs="Times New Roman" w:eastAsia="Times New Roman" w:hAnsi="Times New Roman"/>
          <w:sz w:val="11"/>
          <w:szCs w:val="11"/>
          <w:b w:val="1"/>
          <w:bCs w:val="1"/>
          <w:color w:val="auto"/>
        </w:rPr>
        <w:t>orm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7"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ecurities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dated as of [ ● ], between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entered into an indenture dated as of [●]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with [●], as trustee (such trustee, and any successors to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trustee, herein called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proposes to sell [</w:t>
      </w:r>
      <w:r>
        <w:rPr>
          <w:rFonts w:ascii="Times New Roman" w:cs="Times New Roman" w:eastAsia="Times New Roman" w:hAnsi="Times New Roman"/>
          <w:sz w:val="17"/>
          <w:szCs w:val="17"/>
          <w:b w:val="1"/>
          <w:bCs w:val="1"/>
          <w:i w:val="1"/>
          <w:iCs w:val="1"/>
          <w:color w:val="auto"/>
        </w:rPr>
        <w:t>If Warrants are sold with other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[title of Debt Securities purchasable through exercise of Warrants] (the “</w:t>
      </w:r>
      <w:r>
        <w:rPr>
          <w:rFonts w:ascii="Times New Roman" w:cs="Times New Roman" w:eastAsia="Times New Roman" w:hAnsi="Times New Roman"/>
          <w:sz w:val="17"/>
          <w:szCs w:val="17"/>
          <w:b w:val="1"/>
          <w:bCs w:val="1"/>
          <w:i w:val="1"/>
          <w:iCs w:val="1"/>
          <w:color w:val="auto"/>
        </w:rPr>
        <w:t>Warrant Debt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68" w:lineRule="exact"/>
        <w:rPr>
          <w:sz w:val="20"/>
          <w:szCs w:val="20"/>
          <w:color w:val="auto"/>
        </w:rPr>
      </w:pPr>
    </w:p>
    <w:p>
      <w:pPr>
        <w:jc w:val="both"/>
        <w:ind w:firstLine="603"/>
        <w:spacing w:after="0" w:line="286" w:lineRule="auto"/>
        <w:rPr>
          <w:sz w:val="20"/>
          <w:szCs w:val="20"/>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0"/>
          <w:szCs w:val="10"/>
          <w:b w:val="1"/>
          <w:bCs w:val="1"/>
          <w:color w:val="auto"/>
        </w:rPr>
        <w:t>hereas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desires the Warrant Agent to act on behalf of the Company, and the Warrant Agent is willing so to act, in connection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premises and of the mutual agreements herein contained, the parties hereto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DELIVERY OF WARRANT CERTIFICATES</w:t>
      </w:r>
    </w:p>
    <w:p>
      <w:pPr>
        <w:spacing w:after="0" w:line="186"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and Warrants </w:t>
      </w:r>
      <w:r>
        <w:rPr>
          <w:rFonts w:ascii="Times New Roman" w:cs="Times New Roman" w:eastAsia="Times New Roman" w:hAnsi="Times New Roman"/>
          <w:sz w:val="17"/>
          <w:szCs w:val="17"/>
          <w:color w:val="auto"/>
        </w:rPr>
        <w:t>— Warrant Certificates will be issued in connection with the issuance of the Other Securities but shall be separately transferable and each Warrant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 Warrant Certificates will be issued with the Other Securities and each Warrant Certificate will evidence [●] Warrants for each [$[●] principal amount] [[●] shares] of Other Securities issued.]</w:t>
      </w:r>
    </w:p>
    <w:p>
      <w:pPr>
        <w:spacing w:after="0" w:line="172" w:lineRule="exact"/>
        <w:rPr>
          <w:sz w:val="20"/>
          <w:szCs w:val="20"/>
          <w:color w:val="auto"/>
        </w:rPr>
      </w:pPr>
    </w:p>
    <w:p>
      <w:pPr>
        <w:jc w:val="both"/>
        <w:ind w:firstLine="6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1.2 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 the 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3" w:name="page204"/>
    <w:bookmarkEnd w:id="203"/>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9" w:lineRule="exact"/>
        <w:rPr>
          <w:sz w:val="20"/>
          <w:szCs w:val="20"/>
          <w:color w:val="auto"/>
        </w:rPr>
      </w:pPr>
    </w:p>
    <w:p>
      <w:pPr>
        <w:jc w:val="both"/>
        <w:ind w:firstLine="603"/>
        <w:spacing w:after="0" w:line="253"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2"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50" w:lineRule="exact"/>
        <w:rPr>
          <w:sz w:val="20"/>
          <w:szCs w:val="20"/>
          <w:color w:val="auto"/>
        </w:rPr>
      </w:pPr>
    </w:p>
    <w:p>
      <w:pPr>
        <w:jc w:val="both"/>
        <w:ind w:firstLine="603"/>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1.3 Issuance of Warrant Certificates. </w:t>
      </w:r>
      <w:r>
        <w:rPr>
          <w:rFonts w:ascii="Times New Roman" w:cs="Times New Roman" w:eastAsia="Times New Roman" w:hAnsi="Times New Roman"/>
          <w:sz w:val="16"/>
          <w:szCs w:val="16"/>
          <w:color w:val="auto"/>
        </w:rPr>
        <w:t>Warrant Certificates evidencing the right to purchase Warrant Debt Securities may be executed by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PRICE, DURATION AND EXERCISE OF WARRANTS</w:t>
      </w:r>
    </w:p>
    <w:p>
      <w:pPr>
        <w:spacing w:after="0" w:line="207"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2.1 Warrant Price. </w:t>
      </w:r>
      <w:r>
        <w:rPr>
          <w:rFonts w:ascii="Times New Roman" w:cs="Times New Roman" w:eastAsia="Times New Roman" w:hAnsi="Times New Roman"/>
          <w:sz w:val="17"/>
          <w:szCs w:val="17"/>
          <w:color w:val="auto"/>
        </w:rPr>
        <w:t>During the period specified in Section 2.2, each Warrant shall, subject to the terms of this Agreement and the applicable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7"/>
          <w:szCs w:val="17"/>
          <w:b w:val="1"/>
          <w:bCs w:val="1"/>
          <w:i w:val="1"/>
          <w:iCs w:val="1"/>
          <w:color w:val="auto"/>
        </w:rPr>
        <w:t>Warrant Price.</w:t>
      </w:r>
    </w:p>
    <w:p>
      <w:pPr>
        <w:spacing w:after="0" w:line="172"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2.2 Duration of Warrants. </w:t>
      </w:r>
      <w:r>
        <w:rPr>
          <w:rFonts w:ascii="Times New Roman" w:cs="Times New Roman" w:eastAsia="Times New Roman" w:hAnsi="Times New Roman"/>
          <w:sz w:val="17"/>
          <w:szCs w:val="17"/>
          <w:color w:val="auto"/>
        </w:rPr>
        <w:t>Each Warrant may be exercised in whole or in part at any time, as specified herein, on or after [the date thereof] [●] and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4" w:name="page205"/>
    <w:bookmarkEnd w:id="204"/>
    <w:p>
      <w:pPr>
        <w:ind w:left="60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Exercise of Warrants.</w:t>
      </w:r>
    </w:p>
    <w:p>
      <w:pPr>
        <w:spacing w:after="0" w:line="211" w:lineRule="exact"/>
        <w:rPr>
          <w:sz w:val="20"/>
          <w:szCs w:val="20"/>
          <w:color w:val="auto"/>
        </w:rPr>
      </w:pPr>
    </w:p>
    <w:p>
      <w:pPr>
        <w:jc w:val="both"/>
        <w:ind w:firstLine="1207"/>
        <w:spacing w:after="0" w:line="265" w:lineRule="auto"/>
        <w:tabs>
          <w:tab w:leader="none" w:pos="2197"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7" w:lineRule="exact"/>
        <w:rPr>
          <w:rFonts w:ascii="Times New Roman" w:cs="Times New Roman" w:eastAsia="Times New Roman" w:hAnsi="Times New Roman"/>
          <w:sz w:val="16"/>
          <w:szCs w:val="16"/>
          <w:b w:val="1"/>
          <w:bCs w:val="1"/>
          <w:color w:val="auto"/>
        </w:rPr>
      </w:pPr>
    </w:p>
    <w:p>
      <w:pPr>
        <w:jc w:val="both"/>
        <w:ind w:firstLine="1207"/>
        <w:spacing w:after="0" w:line="255" w:lineRule="auto"/>
        <w:tabs>
          <w:tab w:leader="none" w:pos="2039"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74" w:lineRule="exact"/>
        <w:rPr>
          <w:rFonts w:ascii="Times New Roman" w:cs="Times New Roman" w:eastAsia="Times New Roman" w:hAnsi="Times New Roman"/>
          <w:sz w:val="17"/>
          <w:szCs w:val="17"/>
          <w:b w:val="1"/>
          <w:bCs w:val="1"/>
          <w:color w:val="auto"/>
        </w:rPr>
      </w:pPr>
    </w:p>
    <w:p>
      <w:pPr>
        <w:jc w:val="both"/>
        <w:ind w:firstLine="1207"/>
        <w:spacing w:after="0" w:line="253" w:lineRule="auto"/>
        <w:tabs>
          <w:tab w:leader="none" w:pos="254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76" w:lineRule="exact"/>
        <w:rPr>
          <w:rFonts w:ascii="Times New Roman" w:cs="Times New Roman" w:eastAsia="Times New Roman" w:hAnsi="Times New Roman"/>
          <w:sz w:val="17"/>
          <w:szCs w:val="17"/>
          <w:b w:val="1"/>
          <w:bCs w:val="1"/>
          <w:color w:val="auto"/>
        </w:rPr>
      </w:pPr>
    </w:p>
    <w:p>
      <w:pPr>
        <w:jc w:val="both"/>
        <w:ind w:firstLine="1207"/>
        <w:spacing w:after="0" w:line="255" w:lineRule="auto"/>
        <w:tabs>
          <w:tab w:leader="none" w:pos="2127"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74" w:lineRule="exact"/>
        <w:rPr>
          <w:rFonts w:ascii="Times New Roman" w:cs="Times New Roman" w:eastAsia="Times New Roman" w:hAnsi="Times New Roman"/>
          <w:sz w:val="17"/>
          <w:szCs w:val="17"/>
          <w:b w:val="1"/>
          <w:bCs w:val="1"/>
          <w:color w:val="auto"/>
        </w:rPr>
      </w:pPr>
    </w:p>
    <w:p>
      <w:pPr>
        <w:ind w:firstLine="1207"/>
        <w:spacing w:after="0" w:line="273" w:lineRule="auto"/>
        <w:tabs>
          <w:tab w:leader="none" w:pos="22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CERTIFICATES</w:t>
      </w:r>
    </w:p>
    <w:p>
      <w:pPr>
        <w:spacing w:after="0" w:line="186"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3.1 No Rights as Holder of Warrant Debt Securities Conferred by Warrants or Warrant Certificates. </w:t>
      </w:r>
      <w:r>
        <w:rPr>
          <w:rFonts w:ascii="Times New Roman" w:cs="Times New Roman" w:eastAsia="Times New Roman" w:hAnsi="Times New Roman"/>
          <w:sz w:val="17"/>
          <w:szCs w:val="17"/>
          <w:color w:val="auto"/>
        </w:rPr>
        <w:t>No Warrant Certificate or Warrant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64"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3.2 Lost, Stolen, Mutilated or Destroyed Warrant Certificates. </w:t>
      </w:r>
      <w:r>
        <w:rPr>
          <w:rFonts w:ascii="Times New Roman" w:cs="Times New Roman" w:eastAsia="Times New Roman" w:hAnsi="Times New Roman"/>
          <w:sz w:val="17"/>
          <w:szCs w:val="17"/>
          <w:color w:val="auto"/>
        </w:rPr>
        <w:t>Upon receipt by the Warrant Agent of evidence reasonably satisfactory to it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78"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3.3 Holder of Warrant Certificate May Enforce Rights. </w:t>
      </w:r>
      <w:r>
        <w:rPr>
          <w:rFonts w:ascii="Times New Roman" w:cs="Times New Roman" w:eastAsia="Times New Roman" w:hAnsi="Times New Roman"/>
          <w:sz w:val="17"/>
          <w:szCs w:val="17"/>
          <w:color w:val="auto"/>
        </w:rPr>
        <w:t>Notwithstanding any of the provisions of this Agreement, any holder of a Warrant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72" w:lineRule="exact"/>
        <w:rPr>
          <w:sz w:val="20"/>
          <w:szCs w:val="20"/>
          <w:color w:val="auto"/>
        </w:rPr>
      </w:pPr>
    </w:p>
    <w:p>
      <w:pPr>
        <w:jc w:val="both"/>
        <w:ind w:firstLine="603"/>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3.4 Merger, Sale, Conveyance or Lease. </w:t>
      </w:r>
      <w:r>
        <w:rPr>
          <w:rFonts w:ascii="Times New Roman" w:cs="Times New Roman" w:eastAsia="Times New Roman" w:hAnsi="Times New Roman"/>
          <w:sz w:val="16"/>
          <w:szCs w:val="16"/>
          <w:color w:val="auto"/>
        </w:rPr>
        <w:t>In case of (a) any share exchange, merger or similar transaction of the Company with or into another person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6"/>
          <w:szCs w:val="16"/>
          <w:b w:val="1"/>
          <w:bCs w:val="1"/>
          <w:i w:val="1"/>
          <w:iCs w:val="1"/>
          <w:color w:val="auto"/>
        </w:rPr>
        <w:t>Reorganization Event</w:t>
      </w:r>
      <w:r>
        <w:rPr>
          <w:rFonts w:ascii="Times New Roman" w:cs="Times New Roman" w:eastAsia="Times New Roman" w:hAnsi="Times New Roman"/>
          <w:sz w:val="16"/>
          <w:szCs w:val="16"/>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6" w:name="page207"/>
    <w:bookmarkEnd w:id="206"/>
    <w:p>
      <w:pPr>
        <w:jc w:val="both"/>
        <w:ind w:firstLine="603"/>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3.5 Notice to Warrantholders. </w:t>
      </w:r>
      <w:r>
        <w:rPr>
          <w:rFonts w:ascii="Times New Roman" w:cs="Times New Roman" w:eastAsia="Times New Roman" w:hAnsi="Times New Roman"/>
          <w:sz w:val="17"/>
          <w:szCs w:val="17"/>
          <w:color w:val="auto"/>
        </w:rPr>
        <w:t>In case the Company shall (a) effect any Reorganization Event or (b) make any distribution on or in respect of the [title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AND TRANSFER OF WARRANT CERTIFICATES</w:t>
      </w:r>
    </w:p>
    <w:p>
      <w:pPr>
        <w:spacing w:after="0" w:line="207"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Exchange and Transfer of Warrant Certificates. Upon surrender at the corporate trust office of the Warrant Agent, Warrant Certificates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7" w:name="page208"/>
    <w:bookmarkEnd w:id="207"/>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4.2 Treatment of Holders of Warrant Certificates. </w:t>
      </w:r>
      <w:r>
        <w:rPr>
          <w:rFonts w:ascii="Times New Roman" w:cs="Times New Roman" w:eastAsia="Times New Roman" w:hAnsi="Times New Roman"/>
          <w:sz w:val="17"/>
          <w:szCs w:val="17"/>
          <w:color w:val="auto"/>
        </w:rPr>
        <w:t>The Company, the Warrant Agent and all other persons may treat the registered holder of a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as the absolute owner thereof for any purpose and as the person entitled to exercise the rights represented by the Warrants evidenced thereby, any notice to the contrary notwithstanding.</w:t>
      </w:r>
    </w:p>
    <w:p>
      <w:pPr>
        <w:spacing w:after="0" w:line="164"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4.3 Cancellation of Warrant Certificates. </w:t>
      </w:r>
      <w:r>
        <w:rPr>
          <w:rFonts w:ascii="Times New Roman" w:cs="Times New Roman" w:eastAsia="Times New Roman" w:hAnsi="Times New Roman"/>
          <w:sz w:val="17"/>
          <w:szCs w:val="17"/>
          <w:color w:val="auto"/>
        </w:rPr>
        <w:t>Any Warrant Certificate surrendered for exchange, registration of transfer or exercise of the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WARRANT AGENT</w:t>
      </w:r>
    </w:p>
    <w:p>
      <w:pPr>
        <w:spacing w:after="0" w:line="207"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5.1 Warrant Agent. </w:t>
      </w:r>
      <w:r>
        <w:rPr>
          <w:rFonts w:ascii="Times New Roman" w:cs="Times New Roman" w:eastAsia="Times New Roman" w:hAnsi="Times New Roman"/>
          <w:sz w:val="17"/>
          <w:szCs w:val="17"/>
          <w:color w:val="auto"/>
        </w:rPr>
        <w:t>The Company hereby appoints [●] as Warrant Agent of the Company in respect of the Warrants and the Warrant Certificates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2"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5.2 Conditions of Warrant Agent’s Obligations. </w:t>
      </w:r>
      <w:r>
        <w:rPr>
          <w:rFonts w:ascii="Times New Roman" w:cs="Times New Roman" w:eastAsia="Times New Roman" w:hAnsi="Times New Roman"/>
          <w:sz w:val="17"/>
          <w:szCs w:val="17"/>
          <w:color w:val="auto"/>
        </w:rPr>
        <w:t>The Warrant Agent accepts its obligations herein set forth upon the terms and conditions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following to all of which the Company agrees and to all of which the rights hereunder of the holders from time to time of the Warrant Certificates shall be subject:</w:t>
      </w:r>
    </w:p>
    <w:p>
      <w:pPr>
        <w:spacing w:after="0" w:line="164" w:lineRule="exact"/>
        <w:rPr>
          <w:sz w:val="20"/>
          <w:szCs w:val="20"/>
          <w:color w:val="auto"/>
        </w:rPr>
      </w:pPr>
    </w:p>
    <w:p>
      <w:pPr>
        <w:jc w:val="both"/>
        <w:ind w:firstLine="1207"/>
        <w:spacing w:after="0" w:line="253" w:lineRule="auto"/>
        <w:tabs>
          <w:tab w:leader="none" w:pos="221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Compensation and Indemnification. </w:t>
      </w:r>
      <w:r>
        <w:rPr>
          <w:rFonts w:ascii="Times New Roman" w:cs="Times New Roman" w:eastAsia="Times New Roman" w:hAnsi="Times New Roman"/>
          <w:sz w:val="17"/>
          <w:szCs w:val="17"/>
          <w:color w:val="auto"/>
        </w:rPr>
        <w:t>The Company agrees promptly to pay the Warrant Agent the compensation to be agreed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1"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127"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Agent for the Company. </w:t>
      </w:r>
      <w:r>
        <w:rPr>
          <w:rFonts w:ascii="Times New Roman" w:cs="Times New Roman" w:eastAsia="Times New Roman" w:hAnsi="Times New Roman"/>
          <w:sz w:val="17"/>
          <w:szCs w:val="17"/>
          <w:color w:val="auto"/>
        </w:rPr>
        <w:t>In acting under this Agreement and in connection with the Warrant Certificates, the Warrant Agent is acting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as agent of the Company and does not assume any obligations or relationship of agency or trust for or with any of the holders of Warrant Certificates or beneficial owners of Warrants.</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8" w:name="page209"/>
    <w:bookmarkEnd w:id="208"/>
    <w:p>
      <w:pPr>
        <w:jc w:val="both"/>
        <w:ind w:firstLine="1207"/>
        <w:spacing w:after="0" w:line="262" w:lineRule="auto"/>
        <w:tabs>
          <w:tab w:leader="none" w:pos="215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Counsel. </w:t>
      </w:r>
      <w:r>
        <w:rPr>
          <w:rFonts w:ascii="Times New Roman" w:cs="Times New Roman" w:eastAsia="Times New Roman" w:hAnsi="Times New Roman"/>
          <w:sz w:val="17"/>
          <w:szCs w:val="17"/>
          <w:color w:val="auto"/>
        </w:rPr>
        <w:t>The Warrant Agent may consult with counsel satisfactory to it, which may include counsel for the Company, and the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advice of such counsel shall be full and complete authorization and protection in respect of any action taken, suffered or omitted by it hereunder in good faith and in accordance with the advice of such counsel.</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62" w:lineRule="auto"/>
        <w:tabs>
          <w:tab w:leader="none" w:pos="2164"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Documents. </w:t>
      </w:r>
      <w:r>
        <w:rPr>
          <w:rFonts w:ascii="Times New Roman" w:cs="Times New Roman" w:eastAsia="Times New Roman" w:hAnsi="Times New Roman"/>
          <w:sz w:val="17"/>
          <w:szCs w:val="17"/>
          <w:color w:val="auto"/>
        </w:rPr>
        <w:t>The Warrant Agent shall be protected and shall incur no liability for or in respect of any action taken or omitted by it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64" w:lineRule="exact"/>
        <w:rPr>
          <w:rFonts w:ascii="Times New Roman" w:cs="Times New Roman" w:eastAsia="Times New Roman" w:hAnsi="Times New Roman"/>
          <w:sz w:val="17"/>
          <w:szCs w:val="17"/>
          <w:b w:val="1"/>
          <w:bCs w:val="1"/>
          <w:color w:val="auto"/>
        </w:rPr>
      </w:pPr>
    </w:p>
    <w:p>
      <w:pPr>
        <w:jc w:val="both"/>
        <w:ind w:firstLine="1207"/>
        <w:spacing w:after="0" w:line="274" w:lineRule="auto"/>
        <w:tabs>
          <w:tab w:leader="none" w:pos="211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Certain Transactions. </w:t>
      </w:r>
      <w:r>
        <w:rPr>
          <w:rFonts w:ascii="Times New Roman" w:cs="Times New Roman" w:eastAsia="Times New Roman" w:hAnsi="Times New Roman"/>
          <w:sz w:val="16"/>
          <w:szCs w:val="16"/>
          <w:color w:val="auto"/>
        </w:rPr>
        <w:t>The Warrant Agent, and its officers, directors and employees, may become the owner of, or acquire any interest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56" w:lineRule="exact"/>
        <w:rPr>
          <w:rFonts w:ascii="Times New Roman" w:cs="Times New Roman" w:eastAsia="Times New Roman" w:hAnsi="Times New Roman"/>
          <w:sz w:val="16"/>
          <w:szCs w:val="16"/>
          <w:b w:val="1"/>
          <w:bCs w:val="1"/>
          <w:color w:val="auto"/>
        </w:rPr>
      </w:pPr>
    </w:p>
    <w:p>
      <w:pPr>
        <w:ind w:firstLine="1207"/>
        <w:spacing w:after="0" w:line="278" w:lineRule="auto"/>
        <w:tabs>
          <w:tab w:leader="none" w:pos="2261"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Interest. </w:t>
      </w:r>
      <w:r>
        <w:rPr>
          <w:rFonts w:ascii="Times New Roman" w:cs="Times New Roman" w:eastAsia="Times New Roman" w:hAnsi="Times New Roman"/>
          <w:sz w:val="17"/>
          <w:szCs w:val="17"/>
          <w:color w:val="auto"/>
        </w:rPr>
        <w:t>Unless otherwise agreed with the Company, the Warrant Agent shall have no liability for interest 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monies at any time received by it pursuant to any of the provisions of this Agreement or of the Warrant Certificates.</w:t>
      </w:r>
    </w:p>
    <w:p>
      <w:pPr>
        <w:spacing w:after="0" w:line="150"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2197"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Invalidity. </w:t>
      </w:r>
      <w:r>
        <w:rPr>
          <w:rFonts w:ascii="Times New Roman" w:cs="Times New Roman" w:eastAsia="Times New Roman" w:hAnsi="Times New Roman"/>
          <w:sz w:val="17"/>
          <w:szCs w:val="17"/>
          <w:color w:val="auto"/>
        </w:rPr>
        <w:t>The Warrant Agent shall have no liability with respect to any invalidity of this Agreement or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(except as to the Warrant Agent’s countersignature thereon).</w:t>
      </w:r>
    </w:p>
    <w:p>
      <w:pPr>
        <w:spacing w:after="0" w:line="150" w:lineRule="exact"/>
        <w:rPr>
          <w:rFonts w:ascii="Times New Roman" w:cs="Times New Roman" w:eastAsia="Times New Roman" w:hAnsi="Times New Roman"/>
          <w:sz w:val="17"/>
          <w:szCs w:val="17"/>
          <w:b w:val="1"/>
          <w:bCs w:val="1"/>
          <w:color w:val="auto"/>
        </w:rPr>
      </w:pPr>
    </w:p>
    <w:p>
      <w:pPr>
        <w:ind w:firstLine="1207"/>
        <w:spacing w:after="0" w:line="278" w:lineRule="auto"/>
        <w:tabs>
          <w:tab w:leader="none" w:pos="2102"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Responsibility for Representations. </w:t>
      </w:r>
      <w:r>
        <w:rPr>
          <w:rFonts w:ascii="Times New Roman" w:cs="Times New Roman" w:eastAsia="Times New Roman" w:hAnsi="Times New Roman"/>
          <w:sz w:val="17"/>
          <w:szCs w:val="17"/>
          <w:color w:val="auto"/>
        </w:rPr>
        <w:t>The Warrant Agent shall not be responsible for any of the recitals or representations herein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Warrant Certificates (except as to the Warrant Agent’s countersignature thereon), all of which are made solely by the Company.</w:t>
      </w:r>
    </w:p>
    <w:p>
      <w:pPr>
        <w:spacing w:after="0" w:line="150" w:lineRule="exact"/>
        <w:rPr>
          <w:rFonts w:ascii="Times New Roman" w:cs="Times New Roman" w:eastAsia="Times New Roman" w:hAnsi="Times New Roman"/>
          <w:sz w:val="17"/>
          <w:szCs w:val="17"/>
          <w:b w:val="1"/>
          <w:bCs w:val="1"/>
          <w:color w:val="auto"/>
        </w:rPr>
      </w:pPr>
    </w:p>
    <w:p>
      <w:pPr>
        <w:jc w:val="both"/>
        <w:ind w:firstLine="1207"/>
        <w:spacing w:after="0" w:line="250" w:lineRule="auto"/>
        <w:tabs>
          <w:tab w:leader="none" w:pos="2089"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Implied Obligations. </w:t>
      </w:r>
      <w:r>
        <w:rPr>
          <w:rFonts w:ascii="Times New Roman" w:cs="Times New Roman" w:eastAsia="Times New Roman" w:hAnsi="Times New Roman"/>
          <w:sz w:val="17"/>
          <w:szCs w:val="17"/>
          <w:color w:val="auto"/>
        </w:rPr>
        <w:t>The Warrant Agent shall be obligated to perform only such duties as are herein and in the Warrant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8" w:lineRule="exact"/>
        <w:rPr>
          <w:sz w:val="20"/>
          <w:szCs w:val="20"/>
          <w:color w:val="auto"/>
        </w:rPr>
      </w:pPr>
    </w:p>
    <w:p>
      <w:pPr>
        <w:ind w:left="60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Resignation, Removal and Appointment of Successors.</w:t>
      </w:r>
    </w:p>
    <w:p>
      <w:pPr>
        <w:spacing w:after="0" w:line="211" w:lineRule="exact"/>
        <w:rPr>
          <w:sz w:val="20"/>
          <w:szCs w:val="20"/>
          <w:color w:val="auto"/>
        </w:rPr>
      </w:pPr>
    </w:p>
    <w:p>
      <w:pPr>
        <w:ind w:firstLine="1207"/>
        <w:spacing w:after="0" w:line="273" w:lineRule="auto"/>
        <w:tabs>
          <w:tab w:leader="none" w:pos="2285"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09" w:name="page210"/>
    <w:bookmarkEnd w:id="209"/>
    <w:p>
      <w:pPr>
        <w:jc w:val="both"/>
        <w:ind w:firstLine="1207"/>
        <w:spacing w:after="0" w:line="251" w:lineRule="auto"/>
        <w:tabs>
          <w:tab w:leader="none" w:pos="2077"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7" w:lineRule="exact"/>
        <w:rPr>
          <w:rFonts w:ascii="Times New Roman" w:cs="Times New Roman" w:eastAsia="Times New Roman" w:hAnsi="Times New Roman"/>
          <w:sz w:val="17"/>
          <w:szCs w:val="17"/>
          <w:b w:val="1"/>
          <w:bCs w:val="1"/>
          <w:color w:val="auto"/>
        </w:rPr>
      </w:pPr>
    </w:p>
    <w:p>
      <w:pPr>
        <w:jc w:val="both"/>
        <w:ind w:firstLine="1207"/>
        <w:spacing w:after="0" w:line="249" w:lineRule="auto"/>
        <w:tabs>
          <w:tab w:leader="none" w:pos="2225"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0" w:lineRule="exact"/>
        <w:rPr>
          <w:rFonts w:ascii="Times New Roman" w:cs="Times New Roman" w:eastAsia="Times New Roman" w:hAnsi="Times New Roman"/>
          <w:sz w:val="17"/>
          <w:szCs w:val="17"/>
          <w:b w:val="1"/>
          <w:bCs w:val="1"/>
          <w:color w:val="auto"/>
        </w:rPr>
      </w:pPr>
    </w:p>
    <w:p>
      <w:pPr>
        <w:jc w:val="both"/>
        <w:ind w:firstLine="1207"/>
        <w:spacing w:after="0" w:line="273" w:lineRule="auto"/>
        <w:tabs>
          <w:tab w:leader="none" w:pos="2177"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9" w:lineRule="exact"/>
        <w:rPr>
          <w:rFonts w:ascii="Times New Roman" w:cs="Times New Roman" w:eastAsia="Times New Roman" w:hAnsi="Times New Roman"/>
          <w:sz w:val="16"/>
          <w:szCs w:val="16"/>
          <w:b w:val="1"/>
          <w:bCs w:val="1"/>
          <w:color w:val="auto"/>
        </w:rPr>
      </w:pPr>
    </w:p>
    <w:p>
      <w:pPr>
        <w:jc w:val="both"/>
        <w:ind w:firstLine="1207"/>
        <w:spacing w:after="0" w:line="253" w:lineRule="auto"/>
        <w:tabs>
          <w:tab w:leader="none" w:pos="2075"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7"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6.1 Amendment. </w:t>
      </w:r>
      <w:r>
        <w:rPr>
          <w:rFonts w:ascii="Times New Roman" w:cs="Times New Roman" w:eastAsia="Times New Roman" w:hAnsi="Times New Roman"/>
          <w:sz w:val="17"/>
          <w:szCs w:val="17"/>
          <w:color w:val="auto"/>
        </w:rPr>
        <w:t>This Agreement may be amended by the parties hereto, without the consent of the holder of any Warrant Certificate, for the purpose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8"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6.2 Notices and Demands to the Company and Warrant Agent. </w:t>
      </w:r>
      <w:r>
        <w:rPr>
          <w:rFonts w:ascii="Times New Roman" w:cs="Times New Roman" w:eastAsia="Times New Roman" w:hAnsi="Times New Roman"/>
          <w:sz w:val="17"/>
          <w:szCs w:val="17"/>
          <w:color w:val="auto"/>
        </w:rPr>
        <w:t>If the Warrant Agent shall receive any notice or demand addressed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holder of a Warrant Certificate pursuant to the provisions of the Warrant Certificates, the Warrant Agent shall promptly forward such notice or demand to the Company.</w:t>
      </w:r>
    </w:p>
    <w:p>
      <w:pPr>
        <w:spacing w:after="0" w:line="164" w:lineRule="exact"/>
        <w:rPr>
          <w:sz w:val="20"/>
          <w:szCs w:val="20"/>
          <w:color w:val="auto"/>
        </w:rPr>
      </w:pPr>
    </w:p>
    <w:p>
      <w:pPr>
        <w:jc w:val="both"/>
        <w:ind w:firstLine="603"/>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6.3 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communication from the Warrant Agent to the Company with respect to this Agreement shall be addressed to Marker Therapeutics, Inc., 3200 Southwest Freeway, Suite 2240, Houston, Texas 77027, Attention: Chief Executive Officer (or such other address as shall be specified in writing by the Warrant Agent or by the Company).</w:t>
      </w:r>
    </w:p>
    <w:p>
      <w:pPr>
        <w:spacing w:after="0" w:line="168"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6.4 Governing Law. </w:t>
      </w:r>
      <w:r>
        <w:rPr>
          <w:rFonts w:ascii="Times New Roman" w:cs="Times New Roman" w:eastAsia="Times New Roman" w:hAnsi="Times New Roman"/>
          <w:sz w:val="17"/>
          <w:szCs w:val="17"/>
          <w:color w:val="auto"/>
        </w:rPr>
        <w:t>This Agreement and each Warrant Certificate issued hereunder shall be governed by and construed in accordance with 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State of New York.</w:t>
      </w:r>
    </w:p>
    <w:p>
      <w:pPr>
        <w:spacing w:after="0" w:line="150"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6.5 Delivery of Prospectus. </w:t>
      </w:r>
      <w:r>
        <w:rPr>
          <w:rFonts w:ascii="Times New Roman" w:cs="Times New Roman" w:eastAsia="Times New Roman" w:hAnsi="Times New Roman"/>
          <w:sz w:val="17"/>
          <w:szCs w:val="17"/>
          <w:color w:val="auto"/>
        </w:rPr>
        <w:t>The Company shall furnish to the Warrant Agent sufficient copies of a prospectus meeting the requirements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Act of 1933, as amended, relating to the Warrant Debt Securities deliverable upon exercise of the Warrants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72" w:lineRule="exact"/>
        <w:rPr>
          <w:sz w:val="20"/>
          <w:szCs w:val="20"/>
          <w:color w:val="auto"/>
        </w:rPr>
      </w:pPr>
    </w:p>
    <w:p>
      <w:pPr>
        <w:jc w:val="both"/>
        <w:ind w:firstLine="603"/>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72"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6.7 Persons Having Rights Under the Agreement. </w:t>
      </w:r>
      <w:r>
        <w:rPr>
          <w:rFonts w:ascii="Times New Roman" w:cs="Times New Roman" w:eastAsia="Times New Roman" w:hAnsi="Times New Roman"/>
          <w:sz w:val="17"/>
          <w:szCs w:val="17"/>
          <w:color w:val="auto"/>
        </w:rPr>
        <w:t>Nothing in this Agreement shall give to any person other than the Company, the Warrant Agent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holders of the Warrant Certificates any right, remedy or claim under or by reason of this Agreement.</w:t>
      </w:r>
    </w:p>
    <w:p>
      <w:pPr>
        <w:spacing w:after="0" w:line="150" w:lineRule="exact"/>
        <w:rPr>
          <w:sz w:val="20"/>
          <w:szCs w:val="20"/>
          <w:color w:val="auto"/>
        </w:rPr>
      </w:pPr>
    </w:p>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6.8 Headings. </w:t>
      </w:r>
      <w:r>
        <w:rPr>
          <w:rFonts w:ascii="Times New Roman" w:cs="Times New Roman" w:eastAsia="Times New Roman" w:hAnsi="Times New Roman"/>
          <w:sz w:val="17"/>
          <w:szCs w:val="17"/>
          <w:color w:val="auto"/>
        </w:rPr>
        <w:t>The descriptive headings of the several Articles and Sections of this Agreement are inserted for convenience only and shall not control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 the meaning or construction of any of the provisions hereof.</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11" w:name="page212"/>
    <w:bookmarkEnd w:id="211"/>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6.9 Counterparts. </w:t>
      </w:r>
      <w:r>
        <w:rPr>
          <w:rFonts w:ascii="Times New Roman" w:cs="Times New Roman" w:eastAsia="Times New Roman" w:hAnsi="Times New Roman"/>
          <w:sz w:val="17"/>
          <w:szCs w:val="17"/>
          <w:color w:val="auto"/>
        </w:rPr>
        <w:t>This Agreement may be executed in any number of counterparts, each of which as so executed shall be deemed to be an original, but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counterparts shall together constitute but one and the same instrument.</w:t>
      </w:r>
    </w:p>
    <w:p>
      <w:pPr>
        <w:spacing w:after="0" w:line="150"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6.10 Inspection of Agreement. </w:t>
      </w:r>
      <w:r>
        <w:rPr>
          <w:rFonts w:ascii="Times New Roman" w:cs="Times New Roman" w:eastAsia="Times New Roman" w:hAnsi="Times New Roman"/>
          <w:sz w:val="17"/>
          <w:szCs w:val="17"/>
          <w:color w:val="auto"/>
        </w:rPr>
        <w:t>A copy of this Agreement shall be available at all reasonable times at the principal corporate trust office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for inspection by the holder of any Warrant Certificate. The Warrant Agent may require such holder to submit such holder’s Warrant Certificate for inspection by it.</w:t>
      </w: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hereto have caused this Agreement to be duly executed as of the day and year first above written.</w:t>
      </w:r>
    </w:p>
    <w:p>
      <w:pPr>
        <w:spacing w:after="0" w:line="2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Company</w:t>
      </w:r>
    </w:p>
    <w:p>
      <w:pPr>
        <w:spacing w:after="0" w:line="2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-123190</wp:posOffset>
            </wp:positionV>
            <wp:extent cx="32080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-123190</wp:posOffset>
            </wp:positionV>
            <wp:extent cx="32080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16510</wp:posOffset>
            </wp:positionV>
            <wp:extent cx="32080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152400</wp:posOffset>
            </wp:positionV>
            <wp:extent cx="32080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ountersigned</w:t>
      </w:r>
    </w:p>
    <w:p>
      <w:pPr>
        <w:spacing w:after="0" w:line="2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-123190</wp:posOffset>
            </wp:positionV>
            <wp:extent cx="32080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-123190</wp:posOffset>
            </wp:positionV>
            <wp:extent cx="32080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11430</wp:posOffset>
            </wp:positionV>
            <wp:extent cx="32080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ttest</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16510</wp:posOffset>
            </wp:positionV>
            <wp:extent cx="32080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320802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152400</wp:posOffset>
            </wp:positionV>
            <wp:extent cx="32080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7"/>
          <w:szCs w:val="17"/>
          <w:color w:val="auto"/>
        </w:rPr>
        <w:t>[SIGNATURE PAGE TO MARKER THERAPEUTICS, INC. DEBT SECURITIES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412750</wp:posOffset>
            </wp:positionV>
            <wp:extent cx="714184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9539"/>
          </w:cols>
          <w:pgMar w:left="920" w:top="848" w:right="1440" w:bottom="1440" w:gutter="0" w:footer="0" w:header="0"/>
        </w:sectPr>
      </w:pPr>
    </w:p>
    <w:bookmarkStart w:id="213" w:name="page214"/>
    <w:bookmarkEnd w:id="213"/>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7"/>
          <w:szCs w:val="17"/>
          <w:b w:val="1"/>
          <w:bCs w:val="1"/>
          <w:color w:val="auto"/>
        </w:rPr>
        <w:t xml:space="preserve"> A</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pacing w:after="0" w:line="18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[Prior to [●], Warrants evidenced by this Warrant Certificate cannot be exercised.]</w:t>
      </w: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VOID AFTER [●] P.M., [City] time,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40"/>
          </w:cols>
          <w:pgMar w:left="320" w:top="848" w:right="4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7"/>
          <w:szCs w:val="17"/>
          <w:color w:val="auto"/>
        </w:rPr>
        <w:t>Marker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OF WARRANT DEBT SECURITIES]</w:t>
      </w:r>
    </w:p>
    <w:p>
      <w:pPr>
        <w:spacing w:after="0" w:line="190"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6"/>
          <w:szCs w:val="16"/>
          <w:b w:val="1"/>
          <w:bCs w:val="1"/>
          <w:i w:val="1"/>
          <w:iCs w:val="1"/>
          <w:color w:val="auto"/>
        </w:rPr>
        <w:t>Warrant Debt Securities</w:t>
      </w:r>
      <w:r>
        <w:rPr>
          <w:rFonts w:ascii="Times New Roman" w:cs="Times New Roman" w:eastAsia="Times New Roman" w:hAnsi="Times New Roman"/>
          <w:sz w:val="16"/>
          <w:szCs w:val="16"/>
          <w:color w:val="auto"/>
        </w:rPr>
        <w:t>”), of Marker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6"/>
          <w:szCs w:val="16"/>
          <w:b w:val="1"/>
          <w:bCs w:val="1"/>
          <w:i w:val="1"/>
          <w:iCs w:val="1"/>
          <w:color w:val="auto"/>
        </w:rPr>
        <w:t>Warrant Price</w:t>
      </w:r>
      <w:r>
        <w:rPr>
          <w:rFonts w:ascii="Times New Roman" w:cs="Times New Roman" w:eastAsia="Times New Roman" w:hAnsi="Times New Roman"/>
          <w:sz w:val="16"/>
          <w:szCs w:val="16"/>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6"/>
          <w:szCs w:val="16"/>
          <w:b w:val="1"/>
          <w:bCs w:val="1"/>
          <w:i w:val="1"/>
          <w:iCs w:val="1"/>
          <w:color w:val="auto"/>
        </w:rPr>
        <w:t>Warrant Agent</w:t>
      </w:r>
      <w:r>
        <w:rPr>
          <w:rFonts w:ascii="Times New Roman" w:cs="Times New Roman" w:eastAsia="Times New Roman" w:hAnsi="Times New Roman"/>
          <w:sz w:val="16"/>
          <w:szCs w:val="16"/>
          <w:color w:val="auto"/>
        </w:rPr>
        <w:t>”), which is, on the date hereof, at the address specified on the reverse hereof, and upon compliance with and subject to the conditions set forth herein and in the Warrant Agreement (as hereinafter defined).</w:t>
      </w:r>
    </w:p>
    <w:p>
      <w:pPr>
        <w:spacing w:after="0" w:line="1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388620</wp:posOffset>
            </wp:positionV>
            <wp:extent cx="71418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5" w:name="page216"/>
    <w:bookmarkEnd w:id="215"/>
    <w:p>
      <w:pPr>
        <w:jc w:val="both"/>
        <w:spacing w:after="0" w:line="255" w:lineRule="auto"/>
        <w:rPr>
          <w:sz w:val="20"/>
          <w:szCs w:val="20"/>
          <w:color w:val="auto"/>
        </w:rPr>
      </w:pPr>
      <w:r>
        <w:rPr>
          <w:rFonts w:ascii="Times New Roman" w:cs="Times New Roman" w:eastAsia="Times New Roman" w:hAnsi="Times New Roman"/>
          <w:sz w:val="17"/>
          <w:szCs w:val="17"/>
          <w:color w:val="auto"/>
        </w:rPr>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between the Company and [●], as trustee (such trustee, and any successors to such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1"/>
          <w:szCs w:val="11"/>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 officers.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13970</wp:posOffset>
            </wp:positionV>
            <wp:extent cx="10693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1"/>
          <w:szCs w:val="11"/>
          <w:b w:val="1"/>
          <w:bCs w:val="1"/>
          <w:color w:val="auto"/>
        </w:rPr>
        <w:t>arker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herapeutics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60642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60642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16510</wp:posOffset>
            </wp:positionV>
            <wp:extent cx="60642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152400</wp:posOffset>
            </wp:positionV>
            <wp:extent cx="60642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as Warrant Agent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60642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60642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11430</wp:posOffset>
            </wp:positionV>
            <wp:extent cx="60642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606425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16510</wp:posOffset>
            </wp:positionV>
            <wp:extent cx="606425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1077595</wp:posOffset>
            </wp:positionH>
            <wp:positionV relativeFrom="paragraph">
              <wp:posOffset>152400</wp:posOffset>
            </wp:positionV>
            <wp:extent cx="60642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60642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559435</wp:posOffset>
            </wp:positionV>
            <wp:extent cx="71418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211"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undersigned hereby irrevocably elects to exercise ______ Warrants, evidenced by this Warrant Certificate, to purchase _______ $[●] principal amount of</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[TITLE OF WARRANT DEBT SECURITIES] (the “</w:t>
      </w:r>
      <w:r>
        <w:rPr>
          <w:rFonts w:ascii="Times New Roman" w:cs="Times New Roman" w:eastAsia="Times New Roman" w:hAnsi="Times New Roman"/>
          <w:sz w:val="17"/>
          <w:szCs w:val="17"/>
          <w:b w:val="1"/>
          <w:bCs w:val="1"/>
          <w:i w:val="1"/>
          <w:iCs w:val="1"/>
          <w:color w:val="auto"/>
        </w:rPr>
        <w:t>Warrant Debt Securities</w:t>
      </w:r>
      <w:r>
        <w:rPr>
          <w:rFonts w:ascii="Times New Roman" w:cs="Times New Roman" w:eastAsia="Times New Roman" w:hAnsi="Times New Roman"/>
          <w:sz w:val="17"/>
          <w:szCs w:val="17"/>
          <w:color w:val="auto"/>
        </w:rPr>
        <w:t>”), of Marker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Marker Therapeutics,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80"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6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7"/>
          <w:szCs w:val="17"/>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-123190</wp:posOffset>
            </wp:positionV>
            <wp:extent cx="66389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663892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Social Security or Other Identifying 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5750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-123190</wp:posOffset>
            </wp:positionV>
            <wp:extent cx="24974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1418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20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[Instructions as to form and delivery of Warrant Debt Securities and, if applicable, Warrant Certificates evidencing Warrants for the number of Warrant Debt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8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21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1"/>
          <w:szCs w:val="11"/>
          <w:b w:val="1"/>
          <w:bCs w:val="1"/>
          <w:color w:val="auto"/>
        </w:rPr>
        <w:t>or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______________ hereby sells, assigns and transfers unto:</w:t>
      </w:r>
    </w:p>
    <w:p>
      <w:pPr>
        <w:spacing w:after="0" w:line="200" w:lineRule="exact"/>
        <w:rPr>
          <w:sz w:val="20"/>
          <w:szCs w:val="20"/>
          <w:color w:val="auto"/>
        </w:rPr>
      </w:pPr>
    </w:p>
    <w:p>
      <w:pPr>
        <w:spacing w:after="0" w:line="224"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(Please print name and address including zip code)</w:t>
      </w:r>
      <w:r>
        <w:rPr>
          <w:sz w:val="20"/>
          <w:szCs w:val="20"/>
          <w:color w:val="auto"/>
        </w:rPr>
        <w:tab/>
      </w:r>
      <w:r>
        <w:rPr>
          <w:rFonts w:ascii="Times New Roman" w:cs="Times New Roman" w:eastAsia="Times New Roman" w:hAnsi="Times New Roman"/>
          <w:sz w:val="16"/>
          <w:szCs w:val="16"/>
          <w:color w:val="auto"/>
        </w:rPr>
        <w:t>Please print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8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 ________ aggregate principal amount of [Title of Warrant Debt Securities] of Marker Therapeutics, Inc.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the within Warrant relates and appoints ____________________ attorney to transfer such right on the books of the Warrant Agent with full power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substitution in the premises.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59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Name:</w:t>
            </w:r>
          </w:p>
        </w:tc>
      </w:tr>
      <w:tr>
        <w:trPr>
          <w:trHeight w:val="210"/>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4500" w:type="dxa"/>
            <w:vAlign w:val="bottom"/>
            <w:tcBorders>
              <w:top w:val="single" w:sz="8" w:color="auto"/>
            </w:tcBorders>
          </w:tcPr>
          <w:p>
            <w:pPr>
              <w:ind w:left="1940"/>
              <w:spacing w:after="0"/>
              <w:rPr>
                <w:sz w:val="20"/>
                <w:szCs w:val="20"/>
                <w:color w:val="auto"/>
              </w:rPr>
            </w:pPr>
            <w:r>
              <w:rPr>
                <w:rFonts w:ascii="Times New Roman" w:cs="Times New Roman" w:eastAsia="Times New Roman" w:hAnsi="Times New Roman"/>
                <w:sz w:val="17"/>
                <w:szCs w:val="17"/>
                <w:color w:val="auto"/>
              </w:rPr>
              <w:t>Signature</w:t>
            </w:r>
          </w:p>
        </w:tc>
      </w:tr>
      <w:tr>
        <w:trPr>
          <w:trHeight w:val="386"/>
        </w:trPr>
        <w:tc>
          <w:tcPr>
            <w:tcW w:w="520" w:type="dxa"/>
            <w:vAlign w:val="bottom"/>
          </w:tcPr>
          <w:p>
            <w:pPr>
              <w:spacing w:after="0"/>
              <w:rPr>
                <w:sz w:val="24"/>
                <w:szCs w:val="24"/>
                <w:color w:val="auto"/>
              </w:rPr>
            </w:pPr>
          </w:p>
        </w:tc>
        <w:tc>
          <w:tcPr>
            <w:tcW w:w="107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269240</wp:posOffset>
            </wp:positionV>
            <wp:extent cx="35750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35750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676275</wp:posOffset>
            </wp:positionV>
            <wp:extent cx="71418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19" w:name="page220"/>
    <w:bookmarkEnd w:id="219"/>
    <w:tbl>
      <w:tblPr>
        <w:tblLayout w:type="fixed"/>
        <w:tblInd w:w="6760" w:type="dxa"/>
        <w:tblCellMar>
          <w:top w:w="0" w:type="dxa"/>
          <w:left w:w="0" w:type="dxa"/>
          <w:bottom w:w="0" w:type="dxa"/>
          <w:right w:w="0" w:type="dxa"/>
        </w:tblCellMar>
      </w:tblPr>
      <w:tr>
        <w:trPr>
          <w:trHeight w:val="221"/>
        </w:trPr>
        <w:tc>
          <w:tcPr>
            <w:tcW w:w="2380" w:type="dxa"/>
            <w:vAlign w:val="bottom"/>
          </w:tcPr>
          <w:p>
            <w:pPr>
              <w:spacing w:after="0"/>
              <w:rPr>
                <w:sz w:val="19"/>
                <w:szCs w:val="19"/>
                <w:color w:val="auto"/>
              </w:rPr>
            </w:pPr>
          </w:p>
        </w:tc>
        <w:tc>
          <w:tcPr>
            <w:tcW w:w="2100" w:type="dxa"/>
            <w:vAlign w:val="bottom"/>
          </w:tcPr>
          <w:p>
            <w:pPr>
              <w:ind w:left="1320"/>
              <w:spacing w:after="0"/>
              <w:rPr>
                <w:sz w:val="20"/>
                <w:szCs w:val="20"/>
                <w:color w:val="auto"/>
              </w:rPr>
            </w:pPr>
            <w:r>
              <w:rPr>
                <w:rFonts w:ascii="Times New Roman" w:cs="Times New Roman" w:eastAsia="Times New Roman" w:hAnsi="Times New Roman"/>
                <w:sz w:val="17"/>
                <w:szCs w:val="17"/>
                <w:b w:val="1"/>
                <w:bCs w:val="1"/>
                <w:color w:val="auto"/>
                <w:w w:val="95"/>
              </w:rPr>
              <w:t>Exhibit 5.1</w:t>
            </w:r>
          </w:p>
        </w:tc>
      </w:tr>
      <w:tr>
        <w:trPr>
          <w:trHeight w:val="386"/>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Bank of America Plaza</w:t>
            </w:r>
          </w:p>
        </w:tc>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813.229.7600</w:t>
            </w:r>
          </w:p>
        </w:tc>
      </w:tr>
      <w:tr>
        <w:trPr>
          <w:trHeight w:val="201"/>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101 East Kennedy Boulevard</w:t>
            </w:r>
          </w:p>
        </w:tc>
        <w:tc>
          <w:tcPr>
            <w:tcW w:w="21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813.229.1660 fax</w:t>
            </w:r>
          </w:p>
        </w:tc>
      </w:tr>
      <w:tr>
        <w:trPr>
          <w:trHeight w:val="201"/>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Suite 2800</w:t>
            </w:r>
          </w:p>
        </w:tc>
        <w:tc>
          <w:tcPr>
            <w:tcW w:w="2100" w:type="dxa"/>
            <w:vAlign w:val="bottom"/>
          </w:tcPr>
          <w:p>
            <w:pPr>
              <w:spacing w:after="0"/>
              <w:rPr>
                <w:sz w:val="17"/>
                <w:szCs w:val="17"/>
                <w:color w:val="auto"/>
              </w:rPr>
            </w:pPr>
          </w:p>
        </w:tc>
      </w:t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Tampa, Florida 33602</w:t>
            </w:r>
          </w:p>
        </w:tc>
        <w:tc>
          <w:tcPr>
            <w:tcW w:w="2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-509905</wp:posOffset>
            </wp:positionV>
            <wp:extent cx="1684020" cy="5346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1684020" cy="534670"/>
                    </a:xfrm>
                    <a:prstGeom prst="rect">
                      <a:avLst/>
                    </a:prstGeom>
                    <a:noFill/>
                  </pic:spPr>
                </pic:pic>
              </a:graphicData>
            </a:graphic>
          </wp:anchor>
        </w:drawing>
      </w:r>
    </w:p>
    <w:p>
      <w:pPr>
        <w:spacing w:after="0" w:line="17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7"/>
          <w:szCs w:val="17"/>
          <w:color w:val="auto"/>
        </w:rPr>
        <w:t>www.shumaker.com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-121285</wp:posOffset>
            </wp:positionV>
            <wp:extent cx="28486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284861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November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Marker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2450 Holcombe Blvd, Suite BCM-A, MS: BCM251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 Marker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3" w:lineRule="exact"/>
        <w:rPr>
          <w:sz w:val="20"/>
          <w:szCs w:val="20"/>
          <w:color w:val="auto"/>
        </w:rPr>
      </w:pPr>
    </w:p>
    <w:p>
      <w:pPr>
        <w:jc w:val="both"/>
        <w:ind w:firstLine="603"/>
        <w:spacing w:after="0" w:line="251" w:lineRule="auto"/>
        <w:rPr>
          <w:sz w:val="20"/>
          <w:szCs w:val="20"/>
          <w:color w:val="auto"/>
        </w:rPr>
      </w:pPr>
      <w:r>
        <w:rPr>
          <w:rFonts w:ascii="Times New Roman" w:cs="Times New Roman" w:eastAsia="Times New Roman" w:hAnsi="Times New Roman"/>
          <w:sz w:val="17"/>
          <w:szCs w:val="17"/>
          <w:color w:val="auto"/>
        </w:rPr>
        <w:t>We have acted as counsel to Marker Therapeutics,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of a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by the Company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Registration Statement includes two prospectuses: (i) a base prospectus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and (ii) a sales agreement prospectus (the “</w:t>
      </w:r>
      <w:r>
        <w:rPr>
          <w:rFonts w:ascii="Times New Roman" w:cs="Times New Roman" w:eastAsia="Times New Roman" w:hAnsi="Times New Roman"/>
          <w:sz w:val="17"/>
          <w:szCs w:val="17"/>
          <w:b w:val="1"/>
          <w:bCs w:val="1"/>
          <w:i w:val="1"/>
          <w:iCs w:val="1"/>
          <w:color w:val="auto"/>
        </w:rPr>
        <w:t>Sales Agreement Prospectus</w:t>
      </w:r>
      <w:r>
        <w:rPr>
          <w:rFonts w:ascii="Times New Roman" w:cs="Times New Roman" w:eastAsia="Times New Roman" w:hAnsi="Times New Roman"/>
          <w:sz w:val="17"/>
          <w:szCs w:val="17"/>
          <w:color w:val="auto"/>
        </w:rPr>
        <w:t>”), covering up to $11,431,731 of shares of the Company’s common stock,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that may be sold under the At-the-Market Sales Agreement, dated November 27, 2024 between the Company and H.C. Wainwright &amp; Co., LLC (the “</w:t>
      </w:r>
      <w:r>
        <w:rPr>
          <w:rFonts w:ascii="Times New Roman" w:cs="Times New Roman" w:eastAsia="Times New Roman" w:hAnsi="Times New Roman"/>
          <w:sz w:val="17"/>
          <w:szCs w:val="17"/>
          <w:b w:val="1"/>
          <w:bCs w:val="1"/>
          <w:i w:val="1"/>
          <w:iCs w:val="1"/>
          <w:color w:val="auto"/>
        </w:rPr>
        <w:t>Sales Agreement</w:t>
      </w:r>
      <w:r>
        <w:rPr>
          <w:rFonts w:ascii="Times New Roman" w:cs="Times New Roman" w:eastAsia="Times New Roman" w:hAnsi="Times New Roman"/>
          <w:sz w:val="17"/>
          <w:szCs w:val="17"/>
          <w:color w:val="auto"/>
        </w:rPr>
        <w:t>,” and such shares, the “</w:t>
      </w:r>
      <w:r>
        <w:rPr>
          <w:rFonts w:ascii="Times New Roman" w:cs="Times New Roman" w:eastAsia="Times New Roman" w:hAnsi="Times New Roman"/>
          <w:sz w:val="17"/>
          <w:szCs w:val="17"/>
          <w:b w:val="1"/>
          <w:bCs w:val="1"/>
          <w:i w:val="1"/>
          <w:iCs w:val="1"/>
          <w:color w:val="auto"/>
        </w:rPr>
        <w:t>Placement Shares</w:t>
      </w:r>
      <w:r>
        <w:rPr>
          <w:rFonts w:ascii="Times New Roman" w:cs="Times New Roman" w:eastAsia="Times New Roman" w:hAnsi="Times New Roman"/>
          <w:sz w:val="17"/>
          <w:szCs w:val="17"/>
          <w:color w:val="auto"/>
        </w:rPr>
        <w:t>”). The Base Prospectus provides it will be supplemented in the future by one or more prospectus supplements (each, a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color w:val="auto"/>
        </w:rPr>
        <w:t>”). The Registration Statement, including the Base Prospectus (as supplemented from time to time by one or more Prospectus Supplements) and the Sales Agreement Prospectus will provide for the registration by the Company of:</w:t>
      </w:r>
    </w:p>
    <w:p>
      <w:pPr>
        <w:spacing w:after="0" w:line="174" w:lineRule="exact"/>
        <w:rPr>
          <w:sz w:val="20"/>
          <w:szCs w:val="20"/>
          <w:color w:val="auto"/>
        </w:rPr>
      </w:pPr>
    </w:p>
    <w:p>
      <w:pPr>
        <w:ind w:left="1560" w:hanging="655"/>
        <w:spacing w:after="0"/>
        <w:tabs>
          <w:tab w:leader="none" w:pos="15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of Common Stock (the “</w:t>
      </w:r>
      <w:r>
        <w:rPr>
          <w:rFonts w:ascii="Times New Roman" w:cs="Times New Roman" w:eastAsia="Times New Roman" w:hAnsi="Times New Roman"/>
          <w:sz w:val="17"/>
          <w:szCs w:val="17"/>
          <w:b w:val="1"/>
          <w:bCs w:val="1"/>
          <w:i w:val="1"/>
          <w:iCs w:val="1"/>
          <w:color w:val="auto"/>
        </w:rPr>
        <w:t>Base Prospectus Shares</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ind w:left="1560" w:hanging="655"/>
        <w:spacing w:after="0"/>
        <w:tabs>
          <w:tab w:leader="none" w:pos="15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of preferred stock, par value $0.001 per share, of the Company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w:t>
      </w:r>
    </w:p>
    <w:p>
      <w:pPr>
        <w:spacing w:after="0" w:line="206" w:lineRule="exact"/>
        <w:rPr>
          <w:rFonts w:ascii="Times New Roman" w:cs="Times New Roman" w:eastAsia="Times New Roman" w:hAnsi="Times New Roman"/>
          <w:sz w:val="17"/>
          <w:szCs w:val="17"/>
          <w:color w:val="auto"/>
        </w:rPr>
      </w:pPr>
    </w:p>
    <w:p>
      <w:pPr>
        <w:jc w:val="both"/>
        <w:ind w:left="960" w:hanging="55"/>
        <w:spacing w:after="0" w:line="257" w:lineRule="auto"/>
        <w:tabs>
          <w:tab w:leader="none" w:pos="1563"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debt securities, in one or more series (the “</w:t>
      </w:r>
      <w:r>
        <w:rPr>
          <w:rFonts w:ascii="Times New Roman" w:cs="Times New Roman" w:eastAsia="Times New Roman" w:hAnsi="Times New Roman"/>
          <w:sz w:val="17"/>
          <w:szCs w:val="17"/>
          <w:b w:val="1"/>
          <w:bCs w:val="1"/>
          <w:i w:val="1"/>
          <w:iCs w:val="1"/>
          <w:color w:val="auto"/>
        </w:rPr>
        <w:t>Debt Securities</w:t>
      </w:r>
      <w:r>
        <w:rPr>
          <w:rFonts w:ascii="Times New Roman" w:cs="Times New Roman" w:eastAsia="Times New Roman" w:hAnsi="Times New Roman"/>
          <w:sz w:val="17"/>
          <w:szCs w:val="17"/>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and the Company, in the form filed as Exhibit 4.3 to the Registration Statement and one or more indentures supplemental thereto with respect to any particular series of Debt Securities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left="960" w:hanging="55"/>
        <w:spacing w:after="0" w:line="257" w:lineRule="auto"/>
        <w:tabs>
          <w:tab w:leader="none" w:pos="1563"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warrants to purchase Common Stock, Preferred Stock or Debt Securities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and the Company, in the forms filed as Exhibits 4.5, 4.6 and 4.7 to the Registration Statement, respectively (each, a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and</w:t>
      </w:r>
    </w:p>
    <w:p>
      <w:pPr>
        <w:spacing w:after="0" w:line="171" w:lineRule="exact"/>
        <w:rPr>
          <w:rFonts w:ascii="Times New Roman" w:cs="Times New Roman" w:eastAsia="Times New Roman" w:hAnsi="Times New Roman"/>
          <w:sz w:val="17"/>
          <w:szCs w:val="17"/>
          <w:color w:val="auto"/>
        </w:rPr>
      </w:pPr>
    </w:p>
    <w:p>
      <w:pPr>
        <w:ind w:left="1560" w:hanging="655"/>
        <w:spacing w:after="0"/>
        <w:tabs>
          <w:tab w:leader="none" w:pos="15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Placement Shares.</w:t>
      </w:r>
    </w:p>
    <w:p>
      <w:pPr>
        <w:spacing w:after="0" w:line="207" w:lineRule="exact"/>
        <w:rPr>
          <w:sz w:val="20"/>
          <w:szCs w:val="20"/>
          <w:color w:val="auto"/>
        </w:rPr>
      </w:pPr>
    </w:p>
    <w:p>
      <w:pPr>
        <w:jc w:val="both"/>
        <w:ind w:firstLine="603"/>
        <w:spacing w:after="0" w:line="276" w:lineRule="auto"/>
        <w:rPr>
          <w:sz w:val="20"/>
          <w:szCs w:val="20"/>
          <w:color w:val="auto"/>
        </w:rPr>
      </w:pPr>
      <w:r>
        <w:rPr>
          <w:rFonts w:ascii="Times New Roman" w:cs="Times New Roman" w:eastAsia="Times New Roman" w:hAnsi="Times New Roman"/>
          <w:sz w:val="16"/>
          <w:szCs w:val="16"/>
          <w:color w:val="auto"/>
        </w:rPr>
        <w:t>The Base Prospectus Shares, the Preferred Stock, the Debt Securities, the Warrants and the Placement Shares,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The Securities are being registered for offer and sale from time to time pursuant to Rule 415 under the Securities Act.</w:t>
      </w:r>
    </w:p>
    <w:p>
      <w:pPr>
        <w:spacing w:after="0" w:line="159"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389255</wp:posOffset>
            </wp:positionV>
            <wp:extent cx="71418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20" w:name="page221"/>
    <w:bookmarkEnd w:id="220"/>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75" w:lineRule="exact"/>
        <w:rPr>
          <w:sz w:val="20"/>
          <w:szCs w:val="20"/>
          <w:color w:val="auto"/>
        </w:rPr>
      </w:pPr>
    </w:p>
    <w:p>
      <w:pPr>
        <w:jc w:val="both"/>
        <w:ind w:firstLine="603"/>
        <w:spacing w:after="0" w:line="249" w:lineRule="auto"/>
        <w:rPr>
          <w:sz w:val="20"/>
          <w:szCs w:val="20"/>
          <w:color w:val="auto"/>
        </w:rPr>
      </w:pPr>
      <w:r>
        <w:rPr>
          <w:rFonts w:ascii="Times New Roman" w:cs="Times New Roman" w:eastAsia="Times New Roman" w:hAnsi="Times New Roman"/>
          <w:sz w:val="17"/>
          <w:szCs w:val="17"/>
          <w:color w:val="auto"/>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8" w:lineRule="exact"/>
        <w:rPr>
          <w:sz w:val="20"/>
          <w:szCs w:val="20"/>
          <w:color w:val="auto"/>
        </w:rPr>
      </w:pPr>
    </w:p>
    <w:p>
      <w:pPr>
        <w:jc w:val="both"/>
        <w:ind w:firstLine="603"/>
        <w:spacing w:after="0" w:line="252" w:lineRule="auto"/>
        <w:rPr>
          <w:sz w:val="20"/>
          <w:szCs w:val="20"/>
          <w:color w:val="auto"/>
        </w:rPr>
      </w:pPr>
      <w:r>
        <w:rPr>
          <w:rFonts w:ascii="Times New Roman" w:cs="Times New Roman" w:eastAsia="Times New Roman" w:hAnsi="Times New Roman"/>
          <w:sz w:val="17"/>
          <w:szCs w:val="17"/>
          <w:color w:val="auto"/>
        </w:rPr>
        <w:t>With respect to the Placement Shares, we have assumed (i) that the specific sale of the Placement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(ii) that no Placement Shares will be sold for a consideration less than the par value of the Common Stock. With respect to the Placement Shares, we express no opinion to the extent that future issuances of securities of the Company and/or anti-dilution adjustments to outstanding securities of the Company cause the number of shares of Common Stock then authorized less the sum of the number of shares outstanding or committed to be issued to exceed the number of Placement Shares then issuable under the Sales Agreement.</w:t>
      </w:r>
    </w:p>
    <w:p>
      <w:pPr>
        <w:spacing w:after="0" w:line="176" w:lineRule="exact"/>
        <w:rPr>
          <w:sz w:val="20"/>
          <w:szCs w:val="20"/>
          <w:color w:val="auto"/>
        </w:rPr>
      </w:pPr>
    </w:p>
    <w:p>
      <w:pPr>
        <w:jc w:val="both"/>
        <w:ind w:firstLine="603"/>
        <w:spacing w:after="0" w:line="255" w:lineRule="auto"/>
        <w:rPr>
          <w:sz w:val="20"/>
          <w:szCs w:val="20"/>
          <w:color w:val="auto"/>
        </w:rPr>
      </w:pPr>
      <w:r>
        <w:rPr>
          <w:rFonts w:ascii="Times New Roman" w:cs="Times New Roman" w:eastAsia="Times New Roman" w:hAnsi="Times New Roman"/>
          <w:sz w:val="17"/>
          <w:szCs w:val="17"/>
          <w:color w:val="auto"/>
        </w:rPr>
        <w:t>Our opinion herein is expressed solely with respect to the DGCL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the basis of the foregoing, and in reliance thereon, and subject to the qualifications herein stated, we are of the opinion that:</w:t>
      </w:r>
    </w:p>
    <w:p>
      <w:pPr>
        <w:spacing w:after="0" w:line="203" w:lineRule="exact"/>
        <w:rPr>
          <w:sz w:val="20"/>
          <w:szCs w:val="20"/>
          <w:color w:val="auto"/>
        </w:rPr>
      </w:pPr>
    </w:p>
    <w:p>
      <w:pPr>
        <w:jc w:val="both"/>
        <w:ind w:firstLine="604"/>
        <w:spacing w:after="0" w:line="250" w:lineRule="auto"/>
        <w:tabs>
          <w:tab w:leader="none" w:pos="771"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color w:val="auto"/>
        </w:rPr>
        <w:t>With respect to the Base Prospectus Shares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Base Prospectus Shares has been duly authorized by all necessary corporate action on the part of the Company; (iii) the issuance and sale of the Base Prospectus Shares do not violate any applicable law, are in conformity with the Company’s then operative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and bylaws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Base Prospectus Shares have been duly executed by the Company, countersigned by the transfer agent therefor and duly delivered to the purchasers thereof against payment therefor, then the Base Prospectus Shares,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21" w:name="page222"/>
    <w:bookmarkEnd w:id="221"/>
    <w:p>
      <w:pPr>
        <w:jc w:val="both"/>
        <w:ind w:firstLine="604"/>
        <w:spacing w:after="0" w:line="267" w:lineRule="auto"/>
        <w:tabs>
          <w:tab w:leader="none" w:pos="771"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16"/>
          <w:szCs w:val="16"/>
          <w:color w:val="auto"/>
        </w:rPr>
        <w:t>With respect to the Preferred Stock offered under the Registration Statement, provided that (i) the Registration Statement and any required post-effective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164" w:lineRule="exact"/>
        <w:rPr>
          <w:rFonts w:ascii="Times New Roman" w:cs="Times New Roman" w:eastAsia="Times New Roman" w:hAnsi="Times New Roman"/>
          <w:sz w:val="16"/>
          <w:szCs w:val="16"/>
          <w:b w:val="1"/>
          <w:bCs w:val="1"/>
          <w:color w:val="auto"/>
        </w:rPr>
      </w:pPr>
    </w:p>
    <w:p>
      <w:pPr>
        <w:jc w:val="both"/>
        <w:ind w:firstLine="604"/>
        <w:spacing w:after="0" w:line="249" w:lineRule="auto"/>
        <w:tabs>
          <w:tab w:leader="none" w:pos="796"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color w:val="auto"/>
        </w:rPr>
        <w:t>With respect to any series of the Debt Securities issued under the Indenture, and offered under the Registration Statement, provided that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76" w:lineRule="exact"/>
        <w:rPr>
          <w:rFonts w:ascii="Times New Roman" w:cs="Times New Roman" w:eastAsia="Times New Roman" w:hAnsi="Times New Roman"/>
          <w:sz w:val="17"/>
          <w:szCs w:val="17"/>
          <w:b w:val="1"/>
          <w:bCs w:val="1"/>
          <w:color w:val="auto"/>
        </w:rPr>
      </w:pPr>
    </w:p>
    <w:p>
      <w:pPr>
        <w:jc w:val="both"/>
        <w:ind w:firstLine="604"/>
        <w:spacing w:after="0" w:line="249" w:lineRule="auto"/>
        <w:tabs>
          <w:tab w:leader="none" w:pos="783"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color w:val="auto"/>
        </w:rPr>
        <w:t>With respect to the Warrants issued under the Warrant Agreements and offered under the Registration Statement, provided that (i) the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22" w:name="page223"/>
    <w:bookmarkEnd w:id="222"/>
    <w:p>
      <w:pPr>
        <w:jc w:val="both"/>
        <w:ind w:firstLine="603"/>
        <w:spacing w:after="0" w:line="278" w:lineRule="auto"/>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The Placement Shares, when issued and paid for in accordance with the Sales Agreement and as provided in the Sales Agreement Prospectus,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validly issued, fully paid and nonassessable.</w:t>
      </w:r>
    </w:p>
    <w:p>
      <w:pPr>
        <w:spacing w:after="0" w:line="154"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and to the reference to our firm under the caption “Legal Matters” in the Base Prospectus and the Sales Agreement Prospectus. We further consent to the incorporation by reference of this opinion into any registration statement filed pursuant to Rule 462(b) under the Securities Act with respect to additional Securities.</w:t>
      </w:r>
    </w:p>
    <w:p>
      <w:pPr>
        <w:spacing w:after="0" w:line="169" w:lineRule="exact"/>
        <w:rPr>
          <w:sz w:val="20"/>
          <w:szCs w:val="20"/>
          <w:color w:val="auto"/>
        </w:rPr>
      </w:pPr>
    </w:p>
    <w:p>
      <w:pPr>
        <w:jc w:val="both"/>
        <w:ind w:firstLine="603"/>
        <w:spacing w:after="0" w:line="260" w:lineRule="auto"/>
        <w:rPr>
          <w:sz w:val="20"/>
          <w:szCs w:val="20"/>
          <w:color w:val="auto"/>
        </w:rPr>
      </w:pPr>
      <w:r>
        <w:rPr>
          <w:rFonts w:ascii="Times New Roman" w:cs="Times New Roman" w:eastAsia="Times New Roman" w:hAnsi="Times New Roman"/>
          <w:sz w:val="17"/>
          <w:szCs w:val="17"/>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/s/Shumaker, Loop &amp; Kendrick, LLP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SHUMAKER, LOOP &amp; KENDRICK, LLP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1418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Independent Registered Public Accounting Firm’s Consent</w:t>
      </w:r>
    </w:p>
    <w:p>
      <w:pPr>
        <w:spacing w:after="0" w:line="20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of Marker Therapeutics, Inc. on Form S-3 of our report dated March 25, 2024, with respect to our audits of the consolidated financial statements of Marker Therapeutics, Inc. as of December 31, 2023 and 2022 and for the years ended December 31, 2023 and 2022, which report is included in the Annual Report on Form 10-K of Marker Therapeutics for the year ended December 31, 2023. We also consent to the reference to our firm under the heading “Experts” in each prospectus, which is part of this Registration Statement.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71418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24" w:name="page225"/>
    <w:bookmarkEnd w:id="224"/>
    <w:tbl>
      <w:tblPr>
        <w:tblLayout w:type="fixed"/>
        <w:tblInd w:w="10" w:type="dxa"/>
        <w:tblCellMar>
          <w:top w:w="0" w:type="dxa"/>
          <w:left w:w="0" w:type="dxa"/>
          <w:bottom w:w="0" w:type="dxa"/>
          <w:right w:w="0" w:type="dxa"/>
        </w:tblCellMar>
      </w:tblPr>
      <w:tr>
        <w:trPr>
          <w:trHeight w:val="221"/>
        </w:trPr>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Exhibit 107</w:t>
            </w:r>
          </w:p>
        </w:tc>
        <w:tc>
          <w:tcPr>
            <w:tcW w:w="0" w:type="dxa"/>
            <w:vAlign w:val="bottom"/>
          </w:tcPr>
          <w:p>
            <w:pPr>
              <w:spacing w:after="0"/>
              <w:rPr>
                <w:sz w:val="1"/>
                <w:szCs w:val="1"/>
                <w:color w:val="auto"/>
              </w:rPr>
            </w:pPr>
          </w:p>
        </w:tc>
      </w:tr>
      <w:tr>
        <w:trPr>
          <w:trHeight w:val="402"/>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 OF FILING FEE TABLES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9"/>
              </w:rPr>
              <w:t>Form S-3</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6"/>
              </w:rPr>
              <w:t>(Form Type)</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gridSpan w:val="3"/>
          </w:tcPr>
          <w:p>
            <w:pPr>
              <w:jc w:val="center"/>
              <w:ind w:left="56"/>
              <w:spacing w:after="0"/>
              <w:rPr>
                <w:sz w:val="20"/>
                <w:szCs w:val="20"/>
                <w:color w:val="auto"/>
              </w:rPr>
            </w:pPr>
            <w:r>
              <w:rPr>
                <w:rFonts w:ascii="Times New Roman" w:cs="Times New Roman" w:eastAsia="Times New Roman" w:hAnsi="Times New Roman"/>
                <w:sz w:val="17"/>
                <w:szCs w:val="17"/>
                <w:b w:val="1"/>
                <w:bCs w:val="1"/>
                <w:color w:val="auto"/>
                <w:w w:val="98"/>
              </w:rPr>
              <w:t>Marker Therapeutics, Inc.</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8"/>
              </w:rPr>
              <w:t>(Exact Name of Registrant as Specified in its Charter)</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Table 1: Newly Registered and Carry Forward Securities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8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Paid in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Connection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Proposed</w:t>
            </w: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Unsold</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Calculation</w:t>
            </w: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Maximum</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8"/>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or Carry</w:t>
            </w: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Aggregate</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Amount of</w:t>
            </w:r>
          </w:p>
        </w:tc>
        <w:tc>
          <w:tcPr>
            <w:tcW w:w="800" w:type="dxa"/>
            <w:vAlign w:val="bottom"/>
            <w:tcBorders>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Initial</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 be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Class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Price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Offering</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Registration</w:t>
            </w:r>
          </w:p>
        </w:tc>
        <w:tc>
          <w:tcPr>
            <w:tcW w:w="800" w:type="dxa"/>
            <w:vAlign w:val="bottom"/>
            <w:tcBorders>
              <w:right w:val="single" w:sz="8" w:color="auto"/>
            </w:tcBorders>
          </w:tcPr>
          <w:p>
            <w:pPr>
              <w:jc w:val="center"/>
              <w:ind w:left="76"/>
              <w:spacing w:after="0"/>
              <w:rPr>
                <w:sz w:val="20"/>
                <w:szCs w:val="20"/>
                <w:color w:val="auto"/>
              </w:rPr>
            </w:pPr>
            <w:r>
              <w:rPr>
                <w:rFonts w:ascii="Times New Roman" w:cs="Times New Roman" w:eastAsia="Times New Roman" w:hAnsi="Times New Roman"/>
                <w:sz w:val="17"/>
                <w:szCs w:val="17"/>
                <w:color w:val="auto"/>
                <w:w w:val="97"/>
              </w:rPr>
              <w:t>Form</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Effective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Carried</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Registered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per Unit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8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7"/>
                <w:szCs w:val="17"/>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Number</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w w:val="96"/>
              </w:rPr>
              <w:t>Fees</w:t>
            </w:r>
          </w:p>
        </w:tc>
        <w:tc>
          <w:tcPr>
            <w:tcW w:w="6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8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rPr>
              <w:t>to</w:t>
            </w: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w w:val="95"/>
              </w:rPr>
              <w:t>Be</w:t>
            </w: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per</w:t>
            </w: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Preferred Stock,</w:t>
            </w:r>
          </w:p>
        </w:tc>
        <w:tc>
          <w:tcPr>
            <w:tcW w:w="86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per</w:t>
            </w: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Debt Securities</w:t>
            </w:r>
          </w:p>
        </w:tc>
        <w:tc>
          <w:tcPr>
            <w:tcW w:w="8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8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$153.10</w:t>
            </w:r>
          </w:p>
        </w:tc>
        <w:tc>
          <w:tcPr>
            <w:tcW w:w="9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Total Offering Amounts </w:t>
            </w:r>
          </w:p>
        </w:tc>
        <w:tc>
          <w:tcPr>
            <w:tcW w:w="9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$300,000,000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1"/>
              </w:rPr>
              <w:t>per</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$45,930</w:t>
            </w:r>
          </w:p>
        </w:tc>
        <w:tc>
          <w:tcPr>
            <w:tcW w:w="8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vMerge w:val="continue"/>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Total Fee Previously Paid </w:t>
            </w:r>
          </w:p>
        </w:tc>
        <w:tc>
          <w:tcPr>
            <w:tcW w:w="9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 </w:t>
            </w:r>
          </w:p>
        </w:tc>
        <w:tc>
          <w:tcPr>
            <w:tcW w:w="9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$32,596.76</w:t>
            </w:r>
          </w:p>
        </w:tc>
        <w:tc>
          <w:tcPr>
            <w:tcW w:w="8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Net Fee Due </w:t>
            </w:r>
          </w:p>
        </w:tc>
        <w:tc>
          <w:tcPr>
            <w:tcW w:w="9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$13,333.24</w:t>
            </w:r>
          </w:p>
        </w:tc>
        <w:tc>
          <w:tcPr>
            <w:tcW w:w="8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27"/>
        </w:trPr>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5" w:right="339" w:bottom="1440" w:gutter="0" w:footer="0" w:header="0"/>
        </w:sectPr>
      </w:pPr>
    </w:p>
    <w:bookmarkStart w:id="225" w:name="page226"/>
    <w:bookmarkEnd w:id="22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2: Fee Offset Claims and Sources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1060" w:type="dxa"/>
            <w:vAlign w:val="bottom"/>
            <w:tcBorders>
              <w:top w:val="single" w:sz="8" w:color="auto"/>
              <w:left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Unsold</w:t>
            </w:r>
          </w:p>
        </w:tc>
        <w:tc>
          <w:tcPr>
            <w:tcW w:w="740" w:type="dxa"/>
            <w:vAlign w:val="bottom"/>
            <w:tcBorders>
              <w:top w:val="single" w:sz="8" w:color="auto"/>
              <w:right w:val="single" w:sz="8" w:color="auto"/>
            </w:tcBorders>
          </w:tcPr>
          <w:p>
            <w:pPr>
              <w:spacing w:after="0"/>
              <w:rPr>
                <w:sz w:val="24"/>
                <w:szCs w:val="24"/>
                <w:color w:val="auto"/>
              </w:rPr>
            </w:pP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Aggregate</w:t>
            </w:r>
          </w:p>
        </w:tc>
        <w:tc>
          <w:tcPr>
            <w:tcW w:w="740" w:type="dxa"/>
            <w:vAlign w:val="bottom"/>
            <w:tcBorders>
              <w:right w:val="single" w:sz="8" w:color="auto"/>
            </w:tcBorders>
          </w:tcPr>
          <w:p>
            <w:pPr>
              <w:spacing w:after="0"/>
              <w:rPr>
                <w:sz w:val="17"/>
                <w:szCs w:val="17"/>
                <w:color w:val="auto"/>
              </w:rPr>
            </w:pP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Unsold</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Title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Form</w:t>
            </w: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Associated</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Associated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Associated</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Associated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Registrant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or</w:t>
            </w: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Initial</w:t>
            </w: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with Fee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with Fee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with Fee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with Fee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or Filer</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Filing</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Filing</w:t>
            </w:r>
          </w:p>
        </w:tc>
        <w:tc>
          <w:tcPr>
            <w:tcW w:w="60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w w:val="98"/>
              </w:rPr>
              <w:t>Filing</w:t>
            </w: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Offset</w:t>
            </w:r>
          </w:p>
        </w:tc>
      </w:tr>
      <w:tr>
        <w:trPr>
          <w:trHeight w:val="224"/>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1"/>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Date</w:t>
            </w:r>
          </w:p>
        </w:tc>
        <w:tc>
          <w:tcPr>
            <w:tcW w:w="60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7"/>
                <w:szCs w:val="17"/>
                <w:color w:val="auto"/>
                <w:w w:val="99"/>
              </w:rPr>
              <w:t>Date</w:t>
            </w: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Claimed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Claimed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Claimed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Claimed</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Claimed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Source</w:t>
            </w:r>
          </w:p>
        </w:tc>
      </w:tr>
      <w:tr>
        <w:trPr>
          <w:trHeight w:val="407"/>
        </w:trPr>
        <w:tc>
          <w:tcPr>
            <w:tcW w:w="1060" w:type="dxa"/>
            <w:vAlign w:val="bottom"/>
            <w:tcBorders>
              <w:left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Rule 457(p)</w:t>
            </w: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r>
      <w:tr>
        <w:trPr>
          <w:trHeight w:val="385"/>
        </w:trPr>
        <w:tc>
          <w:tcPr>
            <w:tcW w:w="10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Fee Offset</w:t>
            </w:r>
          </w:p>
        </w:tc>
        <w:tc>
          <w:tcPr>
            <w:tcW w:w="126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01"/>
        </w:trPr>
        <w:tc>
          <w:tcPr>
            <w:tcW w:w="1060" w:type="dxa"/>
            <w:vAlign w:val="bottom"/>
            <w:tcBorders>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Claims</w:t>
            </w:r>
          </w:p>
        </w:tc>
        <w:tc>
          <w:tcPr>
            <w:tcW w:w="12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Stock, par</w:t>
            </w:r>
          </w:p>
        </w:tc>
        <w:tc>
          <w:tcPr>
            <w:tcW w:w="8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Marker</w:t>
            </w: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8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01"/>
        </w:trPr>
        <w:tc>
          <w:tcPr>
            <w:tcW w:w="10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Therapeutics</w:t>
            </w: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333-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August 10,</w:t>
            </w: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per</w:t>
            </w:r>
          </w:p>
        </w:tc>
        <w:tc>
          <w:tcPr>
            <w:tcW w:w="8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24"/>
        </w:trPr>
        <w:tc>
          <w:tcPr>
            <w:tcW w:w="106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258687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$32,596.76(4)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$298,778.703</w:t>
            </w:r>
          </w:p>
        </w:tc>
        <w:tc>
          <w:tcPr>
            <w:tcW w:w="740" w:type="dxa"/>
            <w:vAlign w:val="bottom"/>
            <w:tcBorders>
              <w:bottom w:val="single" w:sz="8" w:color="auto"/>
              <w:right w:val="single" w:sz="8" w:color="auto"/>
            </w:tcBorders>
          </w:tcPr>
          <w:p>
            <w:pPr>
              <w:spacing w:after="0"/>
              <w:rPr>
                <w:sz w:val="19"/>
                <w:szCs w:val="19"/>
                <w:color w:val="auto"/>
              </w:rPr>
            </w:pPr>
          </w:p>
        </w:tc>
      </w:tr>
      <w:tr>
        <w:trPr>
          <w:trHeight w:val="184"/>
        </w:trPr>
        <w:tc>
          <w:tcPr>
            <w:tcW w:w="1060" w:type="dxa"/>
            <w:vAlign w:val="bottom"/>
            <w:tcBorders>
              <w:left w:val="single" w:sz="8" w:color="auto"/>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7"/>
                <w:szCs w:val="17"/>
                <w:color w:val="auto"/>
              </w:rPr>
              <w:t>Fee Offset</w:t>
            </w:r>
          </w:p>
        </w:tc>
        <w:tc>
          <w:tcPr>
            <w:tcW w:w="12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w w:val="95"/>
              </w:rPr>
              <w:t>Marker</w:t>
            </w:r>
          </w:p>
        </w:tc>
        <w:tc>
          <w:tcPr>
            <w:tcW w:w="8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rPr>
              <w:t>S-3</w:t>
            </w:r>
          </w:p>
        </w:tc>
        <w:tc>
          <w:tcPr>
            <w:tcW w:w="6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333-</w:t>
            </w:r>
          </w:p>
        </w:tc>
        <w:tc>
          <w:tcPr>
            <w:tcW w:w="8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w w:val="96"/>
              </w:rPr>
              <w:t>August 10,</w:t>
            </w:r>
          </w:p>
        </w:tc>
        <w:tc>
          <w:tcPr>
            <w:tcW w:w="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rPr>
              <w:t>$32,730</w:t>
            </w:r>
          </w:p>
        </w:tc>
      </w:tr>
      <w:tr>
        <w:trPr>
          <w:trHeight w:val="201"/>
        </w:trPr>
        <w:tc>
          <w:tcPr>
            <w:tcW w:w="10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Sources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Therapeutics</w:t>
            </w:r>
          </w:p>
        </w:tc>
        <w:tc>
          <w:tcPr>
            <w:tcW w:w="8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258687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17"/>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8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bl>
    <w:p>
      <w:pPr>
        <w:spacing w:after="0" w:line="210" w:lineRule="exact"/>
        <w:rPr>
          <w:sz w:val="20"/>
          <w:szCs w:val="20"/>
          <w:color w:val="auto"/>
        </w:rPr>
      </w:pPr>
    </w:p>
    <w:p>
      <w:pPr>
        <w:ind w:left="1000" w:hanging="560"/>
        <w:spacing w:after="0"/>
        <w:tabs>
          <w:tab w:leader="none" w:pos="10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registered consists of up to $300,000,000 of an indeterminate number of (a) shares of common stock, (b) shares of preferred stock,</w:t>
      </w:r>
    </w:p>
    <w:p>
      <w:pPr>
        <w:spacing w:after="0" w:line="21" w:lineRule="exact"/>
        <w:rPr>
          <w:rFonts w:ascii="Times New Roman" w:cs="Times New Roman" w:eastAsia="Times New Roman" w:hAnsi="Times New Roman"/>
          <w:sz w:val="17"/>
          <w:szCs w:val="17"/>
          <w:color w:val="auto"/>
        </w:rPr>
      </w:pPr>
    </w:p>
    <w:p>
      <w:pPr>
        <w:ind w:left="1000" w:right="1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debt securities, and (d) warrants to purchase common stock, preferred stock or debt securities of the registrant,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177" w:lineRule="exact"/>
        <w:rPr>
          <w:rFonts w:ascii="Times New Roman" w:cs="Times New Roman" w:eastAsia="Times New Roman" w:hAnsi="Times New Roman"/>
          <w:sz w:val="17"/>
          <w:szCs w:val="17"/>
          <w:color w:val="auto"/>
        </w:rPr>
      </w:pPr>
    </w:p>
    <w:p>
      <w:pPr>
        <w:ind w:left="1000" w:right="420" w:hanging="560"/>
        <w:spacing w:after="0" w:line="273" w:lineRule="auto"/>
        <w:tabs>
          <w:tab w:leader="none" w:pos="10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158" w:lineRule="exact"/>
        <w:rPr>
          <w:rFonts w:ascii="Times New Roman" w:cs="Times New Roman" w:eastAsia="Times New Roman" w:hAnsi="Times New Roman"/>
          <w:sz w:val="17"/>
          <w:szCs w:val="17"/>
          <w:color w:val="auto"/>
        </w:rPr>
      </w:pPr>
    </w:p>
    <w:p>
      <w:pPr>
        <w:ind w:left="1000" w:right="500" w:hanging="560"/>
        <w:spacing w:after="0" w:line="260" w:lineRule="auto"/>
        <w:tabs>
          <w:tab w:leader="none" w:pos="10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w:t>
      </w:r>
    </w:p>
    <w:p>
      <w:pPr>
        <w:spacing w:after="0" w:line="168" w:lineRule="exact"/>
        <w:rPr>
          <w:rFonts w:ascii="Times New Roman" w:cs="Times New Roman" w:eastAsia="Times New Roman" w:hAnsi="Times New Roman"/>
          <w:sz w:val="17"/>
          <w:szCs w:val="17"/>
          <w:color w:val="auto"/>
        </w:rPr>
      </w:pPr>
    </w:p>
    <w:p>
      <w:pPr>
        <w:ind w:left="1000" w:right="120" w:hanging="560"/>
        <w:spacing w:after="0" w:line="253" w:lineRule="auto"/>
        <w:tabs>
          <w:tab w:leader="none" w:pos="10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10, 2021, the registrant filed a Registration Statement on Form S-3 (File No. 333-258687) (the “Prior Registration Statement”), which was declared effective on August 19, 2021. The Prior Registration Statement expired on August 19, 2024, and therefore all offerings thereunder have been completed or terminated. As a result, the registrant has $298,778,703 of unsold securities and $32,596.76 in unused filing fees associated with the Prior Registration Statement. In accordance with Rule 457(p) under the Securities Act, the Registrant is using a portion of the unused filing fees associated with the Prior Registration Statement to offset the filing fee payable in connection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409575</wp:posOffset>
            </wp:positionV>
            <wp:extent cx="714184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sectPr>
      <w:pgSz w:w="11900" w:h="16838" w:orient="portrait"/>
      <w:cols w:equalWidth="0" w:num="1">
        <w:col w:w="11260"/>
      </w:cols>
      <w:pgMar w:left="320" w:top="84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1)"/>
      <w:numFmt w:val="lowerRoman"/>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1)"/>
      <w:numFmt w:val="lowerRoman"/>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lowerLetter"/>
      <w:start w:val="2"/>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1)"/>
      <w:numFmt w:val="decimal"/>
      <w:start w:val="1"/>
    </w:lvl>
    <w:lvl w:ilvl="1">
      <w:lvlJc w:val="left"/>
      <w:lvlText w:val="(%2)"/>
      <w:numFmt w:val="lowerRoman"/>
      <w:start w:val="1"/>
    </w:lvl>
  </w:abstractNum>
  <w:abstractNum w:abstractNumId="50">
    <w:nsid w:val="7055A5F5"/>
    <w:multiLevelType w:val="hybridMultilevel"/>
    <w:lvl w:ilvl="0">
      <w:lvlJc w:val="left"/>
      <w:lvlText w:val="(%1)"/>
      <w:numFmt w:val="decimal"/>
      <w:start w:val="2"/>
    </w:lvl>
    <w:lvl w:ilvl="1">
      <w:lvlJc w:val="left"/>
      <w:lvlText w:val="(%2)"/>
      <w:numFmt w:val="lowerRoman"/>
      <w:start w:val="1"/>
    </w:lvl>
  </w:abstractNum>
  <w:abstractNum w:abstractNumId="51">
    <w:nsid w:val="5FB8370B"/>
    <w:multiLevelType w:val="hybridMultilevel"/>
    <w:lvl w:ilvl="0">
      <w:lvlJc w:val="left"/>
      <w:lvlText w:val="(%1)"/>
      <w:numFmt w:val="decimal"/>
      <w:start w:val="6"/>
    </w:lvl>
  </w:abstractNum>
  <w:abstractNum w:abstractNumId="52">
    <w:nsid w:val="50801EE1"/>
    <w:multiLevelType w:val="hybridMultilevel"/>
    <w:lvl w:ilvl="0">
      <w:lvlJc w:val="left"/>
      <w:lvlText w:val="(%1)"/>
      <w:numFmt w:val="lowerRoman"/>
      <w:start w:val="4"/>
    </w:lvl>
  </w:abstractNum>
  <w:abstractNum w:abstractNumId="53">
    <w:nsid w:val="488AC1A"/>
    <w:multiLevelType w:val="hybridMultilevel"/>
    <w:lvl w:ilvl="0">
      <w:lvlJc w:val="left"/>
      <w:lvlText w:val="(%1)"/>
      <w:numFmt w:val="upperLetter"/>
      <w:start w:val="3"/>
    </w:lvl>
  </w:abstractNum>
  <w:abstractNum w:abstractNumId="54">
    <w:nsid w:val="5FB8011C"/>
    <w:multiLevelType w:val="hybridMultilevel"/>
    <w:lvl w:ilvl="0">
      <w:lvlJc w:val="left"/>
      <w:lvlText w:val="(%1)"/>
      <w:numFmt w:val="upperLetter"/>
      <w:start w:val="3"/>
    </w:lvl>
  </w:abstractNum>
  <w:abstractNum w:abstractNumId="55">
    <w:nsid w:val="6AA78F7F"/>
    <w:multiLevelType w:val="hybridMultilevel"/>
    <w:lvl w:ilvl="0">
      <w:lvlJc w:val="left"/>
      <w:lvlText w:val="(%1)"/>
      <w:numFmt w:val="lowerRoman"/>
      <w:start w:val="2"/>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1)"/>
      <w:numFmt w:val="decimal"/>
      <w:start w:val="2"/>
    </w:lvl>
  </w:abstractNum>
  <w:abstractNum w:abstractNumId="58">
    <w:nsid w:val="6A5F7029"/>
    <w:multiLevelType w:val="hybridMultilevel"/>
    <w:lvl w:ilvl="0">
      <w:lvlJc w:val="left"/>
      <w:lvlText w:val="(%1)"/>
      <w:numFmt w:val="lowerRoman"/>
      <w:start w:val="3"/>
    </w:lvl>
  </w:abstractNum>
  <w:abstractNum w:abstractNumId="59">
    <w:nsid w:val="7D5E18F8"/>
    <w:multiLevelType w:val="hybridMultilevel"/>
    <w:lvl w:ilvl="0">
      <w:lvlJc w:val="left"/>
      <w:lvlText w:val="(%1)"/>
      <w:numFmt w:val="lowerRoman"/>
      <w:start w:val="1"/>
    </w:lvl>
  </w:abstractNum>
  <w:abstractNum w:abstractNumId="60">
    <w:nsid w:val="5F3534A4"/>
    <w:multiLevelType w:val="hybridMultilevel"/>
    <w:lvl w:ilvl="0">
      <w:lvlJc w:val="left"/>
      <w:lvlText w:val="(%1)"/>
      <w:numFmt w:val="lowerRoman"/>
      <w:start w:val="4"/>
    </w:lvl>
  </w:abstractNum>
  <w:abstractNum w:abstractNumId="61">
    <w:nsid w:val="73A1821B"/>
    <w:multiLevelType w:val="hybridMultilevel"/>
    <w:lvl w:ilvl="0">
      <w:lvlJc w:val="left"/>
      <w:lvlText w:val="(%1)"/>
      <w:numFmt w:val="lowerRoman"/>
      <w:start w:val="1"/>
    </w:lvl>
  </w:abstractNum>
  <w:abstractNum w:abstractNumId="62">
    <w:nsid w:val="7DE67713"/>
    <w:multiLevelType w:val="hybridMultilevel"/>
    <w:lvl w:ilvl="0">
      <w:lvlJc w:val="left"/>
      <w:lvlText w:val="(%1)"/>
      <w:numFmt w:val="lowerLetter"/>
      <w:start w:val="1"/>
    </w:lvl>
    <w:lvl w:ilvl="1">
      <w:lvlJc w:val="left"/>
      <w:lvlText w:val="(%2)"/>
      <w:numFmt w:val="decimal"/>
      <w:start w:val="1"/>
    </w:lvl>
  </w:abstractNum>
  <w:abstractNum w:abstractNumId="63">
    <w:nsid w:val="555C55B5"/>
    <w:multiLevelType w:val="hybridMultilevel"/>
    <w:lvl w:ilvl="0">
      <w:lvlJc w:val="left"/>
      <w:lvlText w:val="(%1)"/>
      <w:numFmt w:val="decimal"/>
      <w:start w:val="5"/>
    </w:lvl>
  </w:abstractNum>
  <w:abstractNum w:abstractNumId="64">
    <w:nsid w:val="3FA62ACA"/>
    <w:multiLevelType w:val="hybridMultilevel"/>
    <w:lvl w:ilvl="0">
      <w:lvlJc w:val="left"/>
      <w:lvlText w:val="(%1)"/>
      <w:numFmt w:val="decimal"/>
      <w:start w:val="8"/>
    </w:lvl>
  </w:abstractNum>
  <w:abstractNum w:abstractNumId="65">
    <w:nsid w:val="14FCE74E"/>
    <w:multiLevelType w:val="hybridMultilevel"/>
    <w:lvl w:ilvl="0">
      <w:lvlJc w:val="left"/>
      <w:lvlText w:val="(%1)"/>
      <w:numFmt w:val="decimal"/>
      <w:start w:val="16"/>
    </w:lvl>
  </w:abstractNum>
  <w:abstractNum w:abstractNumId="66">
    <w:nsid w:val="6A3DD3E8"/>
    <w:multiLevelType w:val="hybridMultilevel"/>
    <w:lvl w:ilvl="0">
      <w:lvlJc w:val="left"/>
      <w:lvlText w:val="(%1)"/>
      <w:numFmt w:val="decimal"/>
      <w:start w:val="27"/>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1)"/>
      <w:numFmt w:val="lowerLetter"/>
      <w:start w:val="1"/>
    </w:lvl>
  </w:abstractNum>
  <w:abstractNum w:abstractNumId="69">
    <w:nsid w:val="53299938"/>
    <w:multiLevelType w:val="hybridMultilevel"/>
    <w:lvl w:ilvl="0">
      <w:lvlJc w:val="left"/>
      <w:lvlText w:val="(%1)"/>
      <w:numFmt w:val="lowerLetter"/>
      <w:start w:val="2"/>
    </w:lvl>
  </w:abstractNum>
  <w:abstractNum w:abstractNumId="70">
    <w:nsid w:val="1FBFE8E0"/>
    <w:multiLevelType w:val="hybridMultilevel"/>
    <w:lvl w:ilvl="0">
      <w:lvlJc w:val="left"/>
      <w:lvlText w:val="(%1)"/>
      <w:numFmt w:val="lowerLetter"/>
      <w:start w:val="3"/>
    </w:lvl>
  </w:abstractNum>
  <w:abstractNum w:abstractNumId="71">
    <w:nsid w:val="5092CA79"/>
    <w:multiLevelType w:val="hybridMultilevel"/>
    <w:lvl w:ilvl="0">
      <w:lvlJc w:val="left"/>
      <w:lvlText w:val="(%1)"/>
      <w:numFmt w:val="lowerLetter"/>
      <w:start w:val="1"/>
    </w:lvl>
  </w:abstractNum>
  <w:abstractNum w:abstractNumId="72">
    <w:nsid w:val="1D545C4D"/>
    <w:multiLevelType w:val="hybridMultilevel"/>
    <w:lvl w:ilvl="0">
      <w:lvlJc w:val="left"/>
      <w:lvlText w:val="(%1)"/>
      <w:numFmt w:val="lowerLetter"/>
      <w:start w:val="1"/>
    </w:lvl>
  </w:abstractNum>
  <w:abstractNum w:abstractNumId="73">
    <w:nsid w:val="59ADEA3D"/>
    <w:multiLevelType w:val="hybridMultilevel"/>
    <w:lvl w:ilvl="0">
      <w:lvlJc w:val="left"/>
      <w:lvlText w:val="(%1)"/>
      <w:numFmt w:val="lowerLetter"/>
      <w:start w:val="2"/>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lowerLetter"/>
      <w:start w:val="1"/>
    </w:lvl>
    <w:lvl w:ilvl="1">
      <w:lvlJc w:val="left"/>
      <w:lvlText w:val="(%2)"/>
      <w:numFmt w:val="decimal"/>
      <w:start w:val="1"/>
    </w:lvl>
  </w:abstractNum>
  <w:abstractNum w:abstractNumId="76">
    <w:nsid w:val="1D9F6E5F"/>
    <w:multiLevelType w:val="hybridMultilevel"/>
    <w:lvl w:ilvl="0">
      <w:lvlJc w:val="left"/>
      <w:lvlText w:val="(%1)"/>
      <w:numFmt w:val="lowerLetter"/>
      <w:start w:val="3"/>
    </w:lvl>
  </w:abstractNum>
  <w:abstractNum w:abstractNumId="77">
    <w:nsid w:val="97E1B4E"/>
    <w:multiLevelType w:val="hybridMultilevel"/>
    <w:lvl w:ilvl="0">
      <w:lvlJc w:val="left"/>
      <w:lvlText w:val="(%1)"/>
      <w:numFmt w:val="lowerLetter"/>
      <w:start w:val="1"/>
    </w:lvl>
  </w:abstractNum>
  <w:abstractNum w:abstractNumId="78">
    <w:nsid w:val="51088277"/>
    <w:multiLevelType w:val="hybridMultilevel"/>
    <w:lvl w:ilvl="0">
      <w:lvlJc w:val="left"/>
      <w:lvlText w:val="(%1)"/>
      <w:numFmt w:val="lowerLetter"/>
      <w:start w:val="2"/>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1"/>
    </w:lvl>
  </w:abstractNum>
  <w:abstractNum w:abstractNumId="81">
    <w:nsid w:val="415E286C"/>
    <w:multiLevelType w:val="hybridMultilevel"/>
    <w:lvl w:ilvl="0">
      <w:lvlJc w:val="left"/>
      <w:lvlText w:val="(%1)"/>
      <w:numFmt w:val="lowerLetter"/>
      <w:start w:val="2"/>
    </w:lvl>
  </w:abstractNum>
  <w:abstractNum w:abstractNumId="82">
    <w:nsid w:val="7C58FD05"/>
    <w:multiLevelType w:val="hybridMultilevel"/>
    <w:lvl w:ilvl="0">
      <w:lvlJc w:val="left"/>
      <w:lvlText w:val="(%1)"/>
      <w:numFmt w:val="lowerLetter"/>
      <w:start w:val="1"/>
    </w:lvl>
    <w:lvl w:ilvl="1">
      <w:lvlJc w:val="left"/>
      <w:lvlText w:val="(%2)"/>
      <w:numFmt w:val="decimal"/>
      <w:start w:val="1"/>
    </w:lvl>
  </w:abstractNum>
  <w:abstractNum w:abstractNumId="83">
    <w:nsid w:val="23D86AAC"/>
    <w:multiLevelType w:val="hybridMultilevel"/>
    <w:lvl w:ilvl="0">
      <w:lvlJc w:val="left"/>
      <w:lvlText w:val="%1"/>
      <w:numFmt w:val="lowerLetter"/>
      <w:start w:val="1"/>
    </w:lvl>
    <w:lvl w:ilvl="1">
      <w:lvlJc w:val="left"/>
      <w:lvlText w:val="(%2)"/>
      <w:numFmt w:val="decimal"/>
      <w:start w:val="5"/>
    </w:lvl>
  </w:abstractNum>
  <w:abstractNum w:abstractNumId="84">
    <w:nsid w:val="45E6D486"/>
    <w:multiLevelType w:val="hybridMultilevel"/>
    <w:lvl w:ilvl="0">
      <w:lvlJc w:val="left"/>
      <w:lvlText w:val="(%1)"/>
      <w:numFmt w:val="lowerLetter"/>
      <w:start w:val="2"/>
    </w:lvl>
    <w:lvl w:ilvl="1">
      <w:lvlJc w:val="left"/>
      <w:lvlText w:val="%2"/>
      <w:numFmt w:val="decimal"/>
      <w:start w:val="1"/>
    </w:lvl>
  </w:abstractNum>
  <w:abstractNum w:abstractNumId="85">
    <w:nsid w:val="5C10FE21"/>
    <w:multiLevelType w:val="hybridMultilevel"/>
    <w:lvl w:ilvl="0">
      <w:lvlJc w:val="left"/>
      <w:lvlText w:val="(%1)"/>
      <w:numFmt w:val="lowerLetter"/>
      <w:start w:val="4"/>
    </w:lvl>
  </w:abstractNum>
  <w:abstractNum w:abstractNumId="86">
    <w:nsid w:val="E7FFA2B"/>
    <w:multiLevelType w:val="hybridMultilevel"/>
    <w:lvl w:ilvl="0">
      <w:lvlJc w:val="left"/>
      <w:lvlText w:val="(%1)"/>
      <w:numFmt w:val="lowerLetter"/>
      <w:start w:val="1"/>
    </w:lvl>
  </w:abstractNum>
  <w:abstractNum w:abstractNumId="87">
    <w:nsid w:val="3C5991AA"/>
    <w:multiLevelType w:val="hybridMultilevel"/>
    <w:lvl w:ilvl="0">
      <w:lvlJc w:val="left"/>
      <w:lvlText w:val="(%1)"/>
      <w:numFmt w:val="lowerRoman"/>
      <w:start w:val="1"/>
    </w:lvl>
  </w:abstractNum>
  <w:abstractNum w:abstractNumId="88">
    <w:nsid w:val="4BD8591A"/>
    <w:multiLevelType w:val="hybridMultilevel"/>
    <w:lvl w:ilvl="0">
      <w:lvlJc w:val="left"/>
      <w:lvlText w:val="(%1)"/>
      <w:numFmt w:val="lowerLetter"/>
      <w:start w:val="1"/>
    </w:lvl>
  </w:abstractNum>
  <w:abstractNum w:abstractNumId="89">
    <w:nsid w:val="78DF6A55"/>
    <w:multiLevelType w:val="hybridMultilevel"/>
    <w:lvl w:ilvl="0">
      <w:lvlJc w:val="left"/>
      <w:lvlText w:val="(%1)"/>
      <w:numFmt w:val="lowerLetter"/>
      <w:start w:val="1"/>
    </w:lvl>
  </w:abstractNum>
  <w:abstractNum w:abstractNumId="90">
    <w:nsid w:val="39B7AAA2"/>
    <w:multiLevelType w:val="hybridMultilevel"/>
    <w:lvl w:ilvl="0">
      <w:lvlJc w:val="left"/>
      <w:lvlText w:val="(%1)"/>
      <w:numFmt w:val="lowerLetter"/>
      <w:start w:val="2"/>
    </w:lvl>
  </w:abstractNum>
  <w:abstractNum w:abstractNumId="91">
    <w:nsid w:val="2B0D8DBE"/>
    <w:multiLevelType w:val="hybridMultilevel"/>
    <w:lvl w:ilvl="0">
      <w:lvlJc w:val="left"/>
      <w:lvlText w:val="(%1)"/>
      <w:numFmt w:val="lowerRoman"/>
      <w:start w:val="1"/>
    </w:lvl>
    <w:lvl w:ilvl="1">
      <w:lvlJc w:val="left"/>
      <w:lvlText w:val="(%2)"/>
      <w:numFmt w:val="upperLetter"/>
      <w:start w:val="1"/>
    </w:lvl>
  </w:abstractNum>
  <w:abstractNum w:abstractNumId="92">
    <w:nsid w:val="6C80EC70"/>
    <w:multiLevelType w:val="hybridMultilevel"/>
    <w:lvl w:ilvl="0">
      <w:lvlJc w:val="left"/>
      <w:lvlText w:val="(%1)"/>
      <w:numFmt w:val="lowerRoman"/>
      <w:start w:val="5"/>
    </w:lvl>
  </w:abstractNum>
  <w:abstractNum w:abstractNumId="93">
    <w:nsid w:val="379E21B5"/>
    <w:multiLevelType w:val="hybridMultilevel"/>
    <w:lvl w:ilvl="0">
      <w:lvlJc w:val="left"/>
      <w:lvlText w:val="(%1)"/>
      <w:numFmt w:val="lowerLetter"/>
      <w:start w:val="1"/>
    </w:lvl>
  </w:abstractNum>
  <w:abstractNum w:abstractNumId="94">
    <w:nsid w:val="69E373"/>
    <w:multiLevelType w:val="hybridMultilevel"/>
    <w:lvl w:ilvl="0">
      <w:lvlJc w:val="left"/>
      <w:lvlText w:val="(%1)"/>
      <w:numFmt w:val="lowerLetter"/>
      <w:start w:val="6"/>
    </w:lvl>
  </w:abstractNum>
  <w:abstractNum w:abstractNumId="95">
    <w:nsid w:val="2C27173B"/>
    <w:multiLevelType w:val="hybridMultilevel"/>
    <w:lvl w:ilvl="0">
      <w:lvlJc w:val="left"/>
      <w:lvlText w:val="(%1)"/>
      <w:numFmt w:val="lowerLetter"/>
      <w:start w:val="11"/>
    </w:lvl>
  </w:abstractNum>
  <w:abstractNum w:abstractNumId="96">
    <w:nsid w:val="4C9B0904"/>
    <w:multiLevelType w:val="hybridMultilevel"/>
    <w:lvl w:ilvl="0">
      <w:lvlJc w:val="left"/>
      <w:lvlText w:val="(%1)"/>
      <w:numFmt w:val="lowerLetter"/>
      <w:start w:val="1"/>
    </w:lvl>
  </w:abstractNum>
  <w:abstractNum w:abstractNumId="97">
    <w:nsid w:val="6AA7B75C"/>
    <w:multiLevelType w:val="hybridMultilevel"/>
    <w:lvl w:ilvl="0">
      <w:lvlJc w:val="left"/>
      <w:lvlText w:val="(%1)"/>
      <w:numFmt w:val="lowerLetter"/>
      <w:start w:val="1"/>
    </w:lvl>
  </w:abstractNum>
  <w:abstractNum w:abstractNumId="98">
    <w:nsid w:val="1DF029D3"/>
    <w:multiLevelType w:val="hybridMultilevel"/>
    <w:lvl w:ilvl="0">
      <w:lvlJc w:val="left"/>
      <w:lvlText w:val="(%1)"/>
      <w:numFmt w:val="lowerLetter"/>
      <w:start w:val="2"/>
    </w:lvl>
  </w:abstractNum>
  <w:abstractNum w:abstractNumId="99">
    <w:nsid w:val="5675FF36"/>
    <w:multiLevelType w:val="hybridMultilevel"/>
    <w:lvl w:ilvl="0">
      <w:lvlJc w:val="left"/>
      <w:lvlText w:val="(%1)"/>
      <w:numFmt w:val="lowerLetter"/>
      <w:start w:val="1"/>
    </w:lvl>
    <w:lvl w:ilvl="1">
      <w:lvlJc w:val="left"/>
      <w:lvlText w:val="(%2)"/>
      <w:numFmt w:val="lowerRoman"/>
      <w:start w:val="1"/>
    </w:lvl>
  </w:abstractNum>
  <w:abstractNum w:abstractNumId="100">
    <w:nsid w:val="3DD15094"/>
    <w:multiLevelType w:val="hybridMultilevel"/>
    <w:lvl w:ilvl="0">
      <w:lvlJc w:val="left"/>
      <w:lvlText w:val="(%1)"/>
      <w:numFmt w:val="lowerRoman"/>
      <w:start w:val="3"/>
    </w:lvl>
  </w:abstractNum>
  <w:abstractNum w:abstractNumId="101">
    <w:nsid w:val="3DB012B3"/>
    <w:multiLevelType w:val="hybridMultilevel"/>
    <w:lvl w:ilvl="0">
      <w:lvlJc w:val="left"/>
      <w:lvlText w:val="(%1)"/>
      <w:numFmt w:val="lowerLetter"/>
      <w:start w:val="3"/>
    </w:lvl>
  </w:abstractNum>
  <w:abstractNum w:abstractNumId="102">
    <w:nsid w:val="2708C9AF"/>
    <w:multiLevelType w:val="hybridMultilevel"/>
    <w:lvl w:ilvl="0">
      <w:lvlJc w:val="left"/>
      <w:lvlText w:val="(%1)"/>
      <w:numFmt w:val="lowerLetter"/>
      <w:start w:val="1"/>
    </w:lvl>
  </w:abstractNum>
  <w:abstractNum w:abstractNumId="103">
    <w:nsid w:val="5B25ACE2"/>
    <w:multiLevelType w:val="hybridMultilevel"/>
    <w:lvl w:ilvl="0">
      <w:lvlJc w:val="left"/>
      <w:lvlText w:val="(%1)"/>
      <w:numFmt w:val="lowerLetter"/>
      <w:start w:val="2"/>
    </w:lvl>
  </w:abstractNum>
  <w:abstractNum w:abstractNumId="104">
    <w:nsid w:val="175DFCF0"/>
    <w:multiLevelType w:val="hybridMultilevel"/>
    <w:lvl w:ilvl="0">
      <w:lvlJc w:val="left"/>
      <w:lvlText w:val="(%1)"/>
      <w:numFmt w:val="lowerLetter"/>
      <w:start w:val="1"/>
    </w:lvl>
  </w:abstractNum>
  <w:abstractNum w:abstractNumId="105">
    <w:nsid w:val="4F97E3E4"/>
    <w:multiLevelType w:val="hybridMultilevel"/>
    <w:lvl w:ilvl="0">
      <w:lvlJc w:val="left"/>
      <w:lvlText w:val="(%1)"/>
      <w:numFmt w:val="lowerLetter"/>
      <w:start w:val="1"/>
    </w:lvl>
  </w:abstractNum>
  <w:abstractNum w:abstractNumId="106">
    <w:nsid w:val="53B0A9E"/>
    <w:multiLevelType w:val="hybridMultilevel"/>
    <w:lvl w:ilvl="0">
      <w:lvlJc w:val="left"/>
      <w:lvlText w:val="(%1)"/>
      <w:numFmt w:val="lowerLetter"/>
      <w:start w:val="5"/>
    </w:lvl>
  </w:abstractNum>
  <w:abstractNum w:abstractNumId="107">
    <w:nsid w:val="34FD6B4F"/>
    <w:multiLevelType w:val="hybridMultilevel"/>
    <w:lvl w:ilvl="0">
      <w:lvlJc w:val="left"/>
      <w:lvlText w:val="(%1)"/>
      <w:numFmt w:val="lowerLetter"/>
      <w:start w:val="1"/>
    </w:lvl>
  </w:abstractNum>
  <w:abstractNum w:abstractNumId="108">
    <w:nsid w:val="5915FF32"/>
    <w:multiLevelType w:val="hybridMultilevel"/>
    <w:lvl w:ilvl="0">
      <w:lvlJc w:val="left"/>
      <w:lvlText w:val="(%1)"/>
      <w:numFmt w:val="lowerLetter"/>
      <w:start w:val="3"/>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decimal"/>
      <w:start w:val="1"/>
    </w:lvl>
  </w:abstractNum>
  <w:abstractNum w:abstractNumId="111">
    <w:nsid w:val="2C6E4AFD"/>
    <w:multiLevelType w:val="hybridMultilevel"/>
    <w:lvl w:ilvl="0">
      <w:lvlJc w:val="left"/>
      <w:lvlText w:val="(%1)"/>
      <w:numFmt w:val="lowerLetter"/>
      <w:start w:val="1"/>
    </w:lvl>
  </w:abstractNum>
  <w:abstractNum w:abstractNumId="112">
    <w:nsid w:val="17A1B582"/>
    <w:multiLevelType w:val="hybridMultilevel"/>
    <w:lvl w:ilvl="0">
      <w:lvlJc w:val="left"/>
      <w:lvlText w:val="(%1)"/>
      <w:numFmt w:val="lowerLetter"/>
      <w:start w:val="2"/>
    </w:lvl>
  </w:abstractNum>
  <w:abstractNum w:abstractNumId="113">
    <w:nsid w:val="4DF72E4E"/>
    <w:multiLevelType w:val="hybridMultilevel"/>
    <w:lvl w:ilvl="0">
      <w:lvlJc w:val="left"/>
      <w:lvlText w:val="(%1)"/>
      <w:numFmt w:val="lowerLetter"/>
      <w:start w:val="1"/>
    </w:lvl>
    <w:lvl w:ilvl="1">
      <w:lvlJc w:val="left"/>
      <w:lvlText w:val="(%2)"/>
      <w:numFmt w:val="lowerLetter"/>
      <w:start w:val="9"/>
    </w:lvl>
  </w:abstractNum>
  <w:abstractNum w:abstractNumId="114">
    <w:nsid w:val="5046B5A9"/>
    <w:multiLevelType w:val="hybridMultilevel"/>
    <w:lvl w:ilvl="0">
      <w:lvlJc w:val="left"/>
      <w:lvlText w:val="%1"/>
      <w:numFmt w:val="lowerLetter"/>
      <w:start w:val="1"/>
    </w:lvl>
    <w:lvl w:ilvl="1">
      <w:lvlJc w:val="left"/>
      <w:lvlText w:val="(%2)"/>
      <w:numFmt w:val="lowerRoman"/>
      <w:start w:val="2"/>
    </w:lvl>
  </w:abstractNum>
  <w:abstractNum w:abstractNumId="115">
    <w:nsid w:val="5D888A08"/>
    <w:multiLevelType w:val="hybridMultilevel"/>
    <w:lvl w:ilvl="0">
      <w:lvlJc w:val="left"/>
      <w:lvlText w:val="(%1)"/>
      <w:numFmt w:val="lowerLetter"/>
      <w:start w:val="3"/>
    </w:lvl>
    <w:lvl w:ilvl="1">
      <w:lvlJc w:val="left"/>
      <w:lvlText w:val="%2"/>
      <w:numFmt w:val="lowerRoman"/>
      <w:start w:val="1"/>
    </w:lvl>
  </w:abstractNum>
  <w:abstractNum w:abstractNumId="116">
    <w:nsid w:val="2A082C70"/>
    <w:multiLevelType w:val="hybridMultilevel"/>
    <w:lvl w:ilvl="0">
      <w:lvlJc w:val="left"/>
      <w:lvlText w:val="(%1)"/>
      <w:numFmt w:val="lowerLetter"/>
      <w:start w:val="5"/>
    </w:lvl>
  </w:abstractNum>
  <w:abstractNum w:abstractNumId="117">
    <w:nsid w:val="5EC6AFD4"/>
    <w:multiLevelType w:val="hybridMultilevel"/>
    <w:lvl w:ilvl="0">
      <w:lvlJc w:val="left"/>
      <w:lvlText w:val="(%1)"/>
      <w:numFmt w:val="lowerLetter"/>
      <w:start w:val="1"/>
    </w:lvl>
  </w:abstractNum>
  <w:abstractNum w:abstractNumId="118">
    <w:nsid w:val="19E21BB2"/>
    <w:multiLevelType w:val="hybridMultilevel"/>
    <w:lvl w:ilvl="0">
      <w:lvlJc w:val="left"/>
      <w:lvlText w:val="(%1)"/>
      <w:numFmt w:val="lowerLetter"/>
      <w:start w:val="1"/>
    </w:lvl>
  </w:abstractNum>
  <w:abstractNum w:abstractNumId="119">
    <w:nsid w:val="75E0858A"/>
    <w:multiLevelType w:val="hybridMultilevel"/>
    <w:lvl w:ilvl="0">
      <w:lvlJc w:val="left"/>
      <w:lvlText w:val="(%1)"/>
      <w:numFmt w:val="lowerLetter"/>
      <w:start w:val="1"/>
    </w:lvl>
  </w:abstractNum>
  <w:abstractNum w:abstractNumId="120">
    <w:nsid w:val="57A61A29"/>
    <w:multiLevelType w:val="hybridMultilevel"/>
    <w:lvl w:ilvl="0">
      <w:lvlJc w:val="left"/>
      <w:lvlText w:val="(%1)"/>
      <w:numFmt w:val="lowerLetter"/>
      <w:start w:val="5"/>
    </w:lvl>
  </w:abstractNum>
  <w:abstractNum w:abstractNumId="121">
    <w:nsid w:val="5399C654"/>
    <w:multiLevelType w:val="hybridMultilevel"/>
    <w:lvl w:ilvl="0">
      <w:lvlJc w:val="left"/>
      <w:lvlText w:val="(%1)"/>
      <w:numFmt w:val="lowerLetter"/>
      <w:start w:val="1"/>
    </w:lvl>
  </w:abstractNum>
  <w:abstractNum w:abstractNumId="122">
    <w:nsid w:val="20EE1348"/>
    <w:multiLevelType w:val="hybridMultilevel"/>
    <w:lvl w:ilvl="0">
      <w:lvlJc w:val="left"/>
      <w:lvlText w:val="(%1)"/>
      <w:numFmt w:val="lowerLetter"/>
      <w:start w:val="1"/>
    </w:lvl>
    <w:lvl w:ilvl="1">
      <w:lvlJc w:val="left"/>
      <w:lvlText w:val="(%2)"/>
      <w:numFmt w:val="lowerLetter"/>
      <w:start w:val="9"/>
    </w:lvl>
  </w:abstractNum>
  <w:abstractNum w:abstractNumId="123">
    <w:nsid w:val="4427069A"/>
    <w:multiLevelType w:val="hybridMultilevel"/>
    <w:lvl w:ilvl="0">
      <w:lvlJc w:val="left"/>
      <w:lvlText w:val="%1"/>
      <w:numFmt w:val="lowerLetter"/>
      <w:start w:val="1"/>
    </w:lvl>
    <w:lvl w:ilvl="1">
      <w:lvlJc w:val="left"/>
      <w:lvlText w:val="(%2)"/>
      <w:numFmt w:val="lowerRoman"/>
      <w:start w:val="2"/>
    </w:lvl>
  </w:abstractNum>
  <w:abstractNum w:abstractNumId="124">
    <w:nsid w:val="B37E80A"/>
    <w:multiLevelType w:val="hybridMultilevel"/>
    <w:lvl w:ilvl="0">
      <w:lvlJc w:val="left"/>
      <w:lvlText w:val="(%1)"/>
      <w:numFmt w:val="lowerLetter"/>
      <w:start w:val="3"/>
    </w:lvl>
    <w:lvl w:ilvl="1">
      <w:lvlJc w:val="left"/>
      <w:lvlText w:val="%2"/>
      <w:numFmt w:val="lowerRoman"/>
      <w:start w:val="1"/>
    </w:lvl>
  </w:abstractNum>
  <w:abstractNum w:abstractNumId="125">
    <w:nsid w:val="2157F6BC"/>
    <w:multiLevelType w:val="hybridMultilevel"/>
    <w:lvl w:ilvl="0">
      <w:lvlJc w:val="left"/>
      <w:lvlText w:val="(%1)"/>
      <w:numFmt w:val="lowerLetter"/>
      <w:start w:val="4"/>
    </w:lvl>
  </w:abstractNum>
  <w:abstractNum w:abstractNumId="126">
    <w:nsid w:val="704E1DD5"/>
    <w:multiLevelType w:val="hybridMultilevel"/>
    <w:lvl w:ilvl="0">
      <w:lvlJc w:val="left"/>
      <w:lvlText w:val="(%1)"/>
      <w:numFmt w:val="lowerLetter"/>
      <w:start w:val="1"/>
    </w:lvl>
  </w:abstractNum>
  <w:abstractNum w:abstractNumId="127">
    <w:nsid w:val="57D2F10E"/>
    <w:multiLevelType w:val="hybridMultilevel"/>
    <w:lvl w:ilvl="0">
      <w:lvlJc w:val="left"/>
      <w:lvlText w:val="(%1)"/>
      <w:numFmt w:val="lowerLetter"/>
      <w:start w:val="4"/>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lowerLetter"/>
      <w:start w:val="8"/>
    </w:lvl>
  </w:abstractNum>
  <w:abstractNum w:abstractNumId="130">
    <w:nsid w:val="2E48F044"/>
    <w:multiLevelType w:val="hybridMultilevel"/>
    <w:lvl w:ilvl="0">
      <w:lvlJc w:val="left"/>
      <w:lvlText w:val="(%1)"/>
      <w:numFmt w:val="lowerLetter"/>
      <w:start w:val="1"/>
    </w:lvl>
  </w:abstractNum>
  <w:abstractNum w:abstractNumId="131">
    <w:nsid w:val="49D0FEAC"/>
    <w:multiLevelType w:val="hybridMultilevel"/>
    <w:lvl w:ilvl="0">
      <w:lvlJc w:val="left"/>
      <w:lvlText w:val="(%1)"/>
      <w:numFmt w:val="lowerLetter"/>
      <w:start w:val="4"/>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lowerLetter"/>
      <w:start w:val="1"/>
    </w:lvl>
  </w:abstractNum>
  <w:abstractNum w:abstractNumId="134">
    <w:nsid w:val="24F6AB8E"/>
    <w:multiLevelType w:val="hybridMultilevel"/>
    <w:lvl w:ilvl="0">
      <w:lvlJc w:val="left"/>
      <w:lvlText w:val="(%1)"/>
      <w:numFmt w:val="lowerLetter"/>
      <w:start w:val="3"/>
    </w:lvl>
  </w:abstractNum>
  <w:abstractNum w:abstractNumId="135">
    <w:nsid w:val="634C574C"/>
    <w:multiLevelType w:val="hybridMultilevel"/>
    <w:lvl w:ilvl="0">
      <w:lvlJc w:val="left"/>
      <w:lvlText w:val="(%1)"/>
      <w:numFmt w:val="lowerLetter"/>
      <w:start w:val="1"/>
    </w:lvl>
  </w:abstractNum>
  <w:abstractNum w:abstractNumId="136">
    <w:nsid w:val="24E99DD7"/>
    <w:multiLevelType w:val="hybridMultilevel"/>
    <w:lvl w:ilvl="0">
      <w:lvlJc w:val="left"/>
      <w:lvlText w:val="(%1)"/>
      <w:numFmt w:val="lowerLetter"/>
      <w:start w:val="2"/>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decimal"/>
      <w:start w:val="1"/>
    </w:lvl>
  </w:abstractNum>
  <w:abstractNum w:abstractNumId="139">
    <w:nsid w:val="7DFF9D09"/>
    <w:multiLevelType w:val="hybridMultilevel"/>
    <w:lvl w:ilvl="0">
      <w:lvlJc w:val="left"/>
      <w:lvlText w:val="%1."/>
      <w:numFmt w:val="decimal"/>
      <w:start w:val="2"/>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jpe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jpe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jpe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jpe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66" Type="http://schemas.openxmlformats.org/officeDocument/2006/relationships/hyperlink" Target="http://www.sec.gov/ix?doc=/Archives/edgar/data/1094038/000141057824000297/mrkr-20231231x10k.htm" TargetMode="External"/><Relationship Id="rId67" Type="http://schemas.openxmlformats.org/officeDocument/2006/relationships/hyperlink" Target="http://www.sec.gov/Archives/edgar/data/1094038/000110465924052914/tm242848-1_def14a.htm" TargetMode="External"/><Relationship Id="rId68" Type="http://schemas.openxmlformats.org/officeDocument/2006/relationships/hyperlink" Target="http://www.sec.gov/ix?doc=/Archives/edgar/data/1094038/000141057824001978/mrkr-20240930x10q.htm" TargetMode="External"/><Relationship Id="rId69" Type="http://schemas.openxmlformats.org/officeDocument/2006/relationships/hyperlink" Target="https://www.sec.gov/ix?doc=/Archives/edgar/data/1094038/000110465924002086/tm242285d1_8k.htm" TargetMode="External"/><Relationship Id="rId70" Type="http://schemas.openxmlformats.org/officeDocument/2006/relationships/hyperlink" Target="https://www.sec.gov/ix?doc=/Archives/edgar/data/1094038/000110465924027293/tm247177d1_8k.htm" TargetMode="External"/><Relationship Id="rId71" Type="http://schemas.openxmlformats.org/officeDocument/2006/relationships/hyperlink" Target="https://www.sec.gov/ix?doc=/Archives/edgar/data/1094038/000110465924029638/tm247674d1_8k.htm" TargetMode="External"/><Relationship Id="rId72" Type="http://schemas.openxmlformats.org/officeDocument/2006/relationships/hyperlink" Target="https://www.sec.gov/ix?doc=/Archives/edgar/data/1094038/000110465924038533/tm249709d1_8k.htm" TargetMode="External"/><Relationship Id="rId73" Type="http://schemas.openxmlformats.org/officeDocument/2006/relationships/hyperlink" Target="https://www.sec.gov/ix?doc=/Archives/edgar/data/1094038/000110465924044496/tm2411143d1_8k.htm" TargetMode="External"/><Relationship Id="rId74" Type="http://schemas.openxmlformats.org/officeDocument/2006/relationships/hyperlink" Target="https://www.sec.gov/ix?doc=/Archives/edgar/data/1094038/000110465924062001/tm2414438d1_8k.htm" TargetMode="External"/><Relationship Id="rId75" Type="http://schemas.openxmlformats.org/officeDocument/2006/relationships/hyperlink" Target="https://www.sec.gov/ix?doc=/Archives/edgar/data/1094038/000110465924070830/tm2416968d1_8k.htm" TargetMode="External"/><Relationship Id="rId76" Type="http://schemas.openxmlformats.org/officeDocument/2006/relationships/hyperlink" Target="https://www.sec.gov/ix?doc=/Archives/edgar/data/1094038/000110465924088054/tm2421372d1_8k.htm" TargetMode="External"/><Relationship Id="rId77" Type="http://schemas.openxmlformats.org/officeDocument/2006/relationships/hyperlink" Target="https://www.sec.gov/ix?doc=/Archives/edgar/data/1094038/000110465924089704/tm2421372d1_8k.htm" TargetMode="External"/><Relationship Id="rId78" Type="http://schemas.openxmlformats.org/officeDocument/2006/relationships/hyperlink" Target="https://www.sec.gov/ix?doc=/Archives/edgar/data/1094038/000110465924119077/tm2421372d1_8k.htm" TargetMode="External"/><Relationship Id="rId79" Type="http://schemas.openxmlformats.org/officeDocument/2006/relationships/hyperlink" Target="https://www.sec.gov/Archives/edgar/data/1094038/000114420418054210/tv504949_8a12ba.htm" TargetMode="External"/><Relationship Id="rId123" Type="http://schemas.openxmlformats.org/officeDocument/2006/relationships/hyperlink" Target="https://www.sec.gov/ix?doc=/Archives/edgar/data/1094038/000141057824000297/mrkr-20231231x10k.htm" TargetMode="External"/><Relationship Id="rId124" Type="http://schemas.openxmlformats.org/officeDocument/2006/relationships/hyperlink" Target="https://www.sec.gov/Archives/edgar/data/1094038/000110465924052914/tm242848-1_def14a.htm" TargetMode="External"/><Relationship Id="rId125" Type="http://schemas.openxmlformats.org/officeDocument/2006/relationships/hyperlink" Target="https://www.sec.gov/ix?doc=/Archives/edgar/data/1094038/000141057824001978/mrkr-20240930x10q.htm" TargetMode="External"/><Relationship Id="rId134" Type="http://schemas.openxmlformats.org/officeDocument/2006/relationships/hyperlink" Target="https://www.sec.gov/Archives/edgar/data/1094038/000114420418054209/tv504951_ex3-4.htm" TargetMode="External"/><Relationship Id="rId135" Type="http://schemas.openxmlformats.org/officeDocument/2006/relationships/hyperlink" Target="https://www.sec.gov/Archives/edgar/data/1094038/000119312522162322/d480537dex31.htm" TargetMode="External"/><Relationship Id="rId138" Type="http://schemas.openxmlformats.org/officeDocument/2006/relationships/hyperlink" Target="https://www.sec.gov/Archives/edgar/data/1094038/000110465923007019/tm234466d1_ex3-1.htm" TargetMode="External"/><Relationship Id="rId139" Type="http://schemas.openxmlformats.org/officeDocument/2006/relationships/hyperlink" Target="https://www.sec.gov/Archives/edgar/data/1094038/000114420418054209/tv504951_ex3-6.htm" TargetMode="External"/><Relationship Id="rId140" Type="http://schemas.openxmlformats.org/officeDocument/2006/relationships/hyperlink" Target="https://www.sec.gov/Archives/edgar/data/1094038/000141057824000297/mrkr-20231231xex4d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2024-11-27T16:47:31Z</dcterms:created>
  <dcterms:modified xsi:type="dcterms:W3CDTF">2024-11-27T16:47:31Z</dcterms:modified>
</cp:coreProperties>
</file>