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August 14,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0" w:type="dxa"/>
            <w:vAlign w:val="bottom"/>
          </w:tcPr>
          <w:p>
            <w:pPr>
              <w:spacing w:after="0"/>
              <w:rPr>
                <w:sz w:val="20"/>
                <w:szCs w:val="20"/>
                <w:color w:val="auto"/>
              </w:rPr>
            </w:pPr>
          </w:p>
        </w:tc>
        <w:tc>
          <w:tcPr>
            <w:tcW w:w="37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80" w:type="dxa"/>
            <w:vAlign w:val="bottom"/>
            <w:gridSpan w:val="3"/>
          </w:tcPr>
          <w:p>
            <w:pPr>
              <w:spacing w:after="0"/>
              <w:rPr>
                <w:sz w:val="17"/>
                <w:szCs w:val="17"/>
                <w:color w:val="auto"/>
              </w:rPr>
            </w:pPr>
          </w:p>
        </w:tc>
        <w:tc>
          <w:tcPr>
            <w:tcW w:w="2900" w:type="dxa"/>
            <w:vAlign w:val="bottom"/>
            <w:gridSpan w:val="5"/>
          </w:tcPr>
          <w:p>
            <w:pPr>
              <w:jc w:val="right"/>
              <w:ind w:right="16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August 14, 2024,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quarter ended June 30, 2024 and other recent corporate updates. A copy of the press release is furnished as Exhibit 99.1 to this report and incorporated by reference.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0" w:type="dxa"/>
            <w:vAlign w:val="bottom"/>
          </w:tcPr>
          <w:p>
            <w:pPr>
              <w:spacing w:after="0"/>
              <w:rPr>
                <w:sz w:val="20"/>
                <w:szCs w:val="20"/>
                <w:color w:val="auto"/>
              </w:rPr>
            </w:pPr>
          </w:p>
        </w:tc>
      </w:tr>
      <w:tr>
        <w:trPr>
          <w:trHeight w:val="39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August 14,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14, 2024</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3136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Marker Therapeutics Reports Second Quarter 2024 Financial Results and Provides Business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Preliminary safety and efficacy with sustained objective responses observed in patients with lymphoma treated with MT-601 in Phase 1 APOLLO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MT-601 was well tolerated with no observation of cytokine release syndrome (CRS) or immune effector cell associated neurotoxicity syndrome (ICANS)</w:t>
      </w:r>
    </w:p>
    <w:p>
      <w:pPr>
        <w:spacing w:after="0" w:line="225" w:lineRule="exact"/>
        <w:rPr>
          <w:sz w:val="20"/>
          <w:szCs w:val="20"/>
          <w:color w:val="auto"/>
        </w:rPr>
      </w:pPr>
    </w:p>
    <w:p>
      <w:pPr>
        <w:jc w:val="cente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Marker Therapeutics to receive $2 million funding from NIH Small Business Innovation Research (SBIR) program to support clinical investigation of MT-601 in patients with lymphoma</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August 14,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tumors, today reported corporate updates and financial results for the second quarter ended June 30, 2024.</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second quarter of 2024 was characterized by ongoing momentum in our clinical programs,” said Juan Vera, M.D., President and Chief Executive Officer of Marker Therapeutics. “Following the positive outcomes reported in the first quarter, we continued to advance our Phase 1 APOLLO study investigating MT-601 in patients with lymphoma who have relapsed after anti-CD19 CAR-T cell therapy or where CAR-T therapy is not an option. In April, Geoffrey Shouse, D.O., Ph.D., the Principal Investigator at City of Hope National Medical Center, presented encouraging data from the APOLLO</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study, at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Global Summit on Hematologic Malignancies. The data showed that three out of three participants had objective responses, and that treatment was well tolerated among all patients with no significant treatment-related adverse events, further signifying the potential benefit of MT-601 in patients with lymphoma. We are gratified by these preliminary results and expect to provide a more comprehensive clinical update on the APOLLO study in the upcoming quarter.”</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after the close of the quarter, we announced that Marker has been awarded a $2 million Small Business Innovation Research (SBIR) grant from the National Institutes of Health (NIH) to support our Phase 1 APOLLO study evaluating the safety and efficacy of MT-601 in patients with non-Hodgkin’s lymphoma (NHL) who have relapsed following anti-CD19 CAR-T cell therapy. We were pleased to receive this highly competitive grant, which reinforces the potential scientific merit and the capacity of the APOLLO study to address an unmet medical need,” added Dr. Vera.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&amp; EXPECTED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Marker’s lead program is investigating MT-601 in the nationwide multicenter Phase 1 APOLLO study (clinicaltrials.gov identifier: NCT05798897) in patients with lymphoma who relapsed after anti-CD19 CAR-T cell therapy or where CAR-T cells are not an option.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reported preliminary safety and efficacy with sustained objective responses observed in three study participants treated at City of Hope National Medical Center (</w:t>
      </w:r>
      <w:r>
        <w:rPr>
          <w:rFonts w:ascii="Times New Roman" w:cs="Times New Roman" w:eastAsia="Times New Roman" w:hAnsi="Times New Roman"/>
          <w:sz w:val="18"/>
          <w:szCs w:val="18"/>
          <w:u w:val="single" w:color="auto"/>
          <w:color w:val="auto"/>
        </w:rPr>
        <w:t>Press Release, April 8, 2024</w:t>
      </w:r>
      <w:r>
        <w:rPr>
          <w:rFonts w:ascii="Times New Roman" w:cs="Times New Roman" w:eastAsia="Times New Roman" w:hAnsi="Times New Roman"/>
          <w:sz w:val="18"/>
          <w:szCs w:val="18"/>
          <w:color w:val="auto"/>
        </w:rPr>
        <w:t>). Treatment was well tolerated among all study participants with no observation of cytokine release syndrome (CRS) or immune effector cell associated neurotoxicity syndrome (ICANS).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575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study participants continue to be observed for long-term treatment effects and durability of response. The Company is enrolling additional study participants in the Phase 1 APOLLO trial and expect to provide an update on safety and durability during the third quarter.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awarded a $2 million grant from NIH Small Business Innovation Research Program (SBIR) to support the clinical investigation of MT-601 in patients with lymphoma who have relapsed following anti-CD CAR-T cell therapy (</w:t>
      </w:r>
      <w:r>
        <w:rPr>
          <w:rFonts w:ascii="Times New Roman" w:cs="Times New Roman" w:eastAsia="Times New Roman" w:hAnsi="Times New Roman"/>
          <w:sz w:val="18"/>
          <w:szCs w:val="18"/>
          <w:u w:val="single" w:color="auto"/>
          <w:color w:val="auto"/>
        </w:rPr>
        <w:t>Press Release, August 12, 2024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(Pancreatic)</w:t>
      </w:r>
    </w:p>
    <w:p>
      <w:pPr>
        <w:spacing w:after="0" w:line="229" w:lineRule="exact"/>
        <w:rPr>
          <w:sz w:val="20"/>
          <w:szCs w:val="20"/>
          <w:color w:val="auto"/>
        </w:rPr>
      </w:pPr>
    </w:p>
    <w:p>
      <w:pPr>
        <w:ind w:left="660" w:hanging="31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w:t>
        <w:tab/>
        <w:t>Investigational New Drug (IND) application cleared by U.S. Food and Drug Administration (FDA) for multicenter Phase 1 trial to investigate MT-601 in combination with front-line chemotherapy in patients with metastatic pancreatic cancer.</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advancement will be pending additional financial support from non-dilutive funding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MT-401-OTS (Acute Myeloid Leukemia or Myelodysplastic Syndrome)</w:t>
      </w:r>
    </w:p>
    <w:p>
      <w:pPr>
        <w:spacing w:after="0" w:line="229"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has granted an IND to investigate MT-401 as an “Off-the-Shelf” (MT-401-OTS) product in patients with Acute Myeloid Leukemia (AML) or Myelodysplastic Syndrome (MDS).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MT-401-OTS is manufactured from healthy donors, and Marker has established a cellular inventory for MT-401-OTS with ongoing efforts to further expansion.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has non-clinical proof-of-concept data supporting the potential clinical benefits of MT-401-OTS in patients with AML or MDS (</w:t>
      </w:r>
      <w:r>
        <w:rPr>
          <w:rFonts w:ascii="Times New Roman" w:cs="Times New Roman" w:eastAsia="Times New Roman" w:hAnsi="Times New Roman"/>
          <w:sz w:val="18"/>
          <w:szCs w:val="18"/>
          <w:u w:val="single" w:color="auto"/>
          <w:color w:val="auto"/>
        </w:rPr>
        <w:t>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 August 7, 2023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secured non-dilutive funding to support the clinical investigation of MT-401-OTS and anticipates the clinical program initiation of MT-401-OTS during the fourth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June 30, 2024, Marker had cash and cash equivalents of $7.8 million. The Company believes that its existing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will fund its operating expenses into the fourth quarter of 2025, inclusive of available drawdowns from grant funds.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$2.3 million for the quarter ended June 30, 2024, compared to $2.4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2023.</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$1.1 million for the quarter ended June 30, 2024, compared to $2.5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2023.</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Marker reported a net loss from continuing operations of $2.2 million for the quarter ended June 30, 2024, compared to $4.1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575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performance in the past quarter demonstrates the benefits that we are seeing from our restructuring efforts that we initiated in the second quarter of 2023, including our agreement with Cell Ready, and the favorable impact that they are having on our business, especially our Operating Expenses. Unlike most small, pre-revenue companies in the Cell Therapy space, our extremely efficient structure, combined with our successful grant funding initiatives, are allowing us to maximize our cash runway and to focus the majority of our available funds on our clinical programs,” concluded Dr. Vera.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Unlike other T cell therapies, multiTAA-specific T cells allow the recognition of hundreds of different epitopes within up to six tumor-specific antigens, thereby reducing the possibility of tumor escape. Since multiTAA-specific 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575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3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7,800,464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15,111,450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1,384,394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988,126</w:t>
            </w:r>
          </w:p>
        </w:tc>
        <w:tc>
          <w:tcPr>
            <w:tcW w:w="8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1,027,815</w:t>
            </w:r>
          </w:p>
        </w:tc>
        <w:tc>
          <w:tcPr>
            <w:tcW w:w="80" w:type="dxa"/>
            <w:vAlign w:val="bottom"/>
            <w:shd w:val="clear" w:color="auto" w:fill="CCEEFF"/>
          </w:tcPr>
          <w:p>
            <w:pPr>
              <w:spacing w:after="0"/>
              <w:rPr>
                <w:sz w:val="19"/>
                <w:szCs w:val="19"/>
                <w:color w:val="auto"/>
              </w:rPr>
            </w:pPr>
          </w:p>
        </w:tc>
      </w:tr>
      <w:tr>
        <w:trPr>
          <w:trHeight w:val="21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11,675,005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11,675,005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80" w:type="dxa"/>
            <w:vAlign w:val="bottom"/>
            <w:shd w:val="clear" w:color="auto" w:fill="CCEEFF"/>
          </w:tcPr>
          <w:p>
            <w:pPr>
              <w:spacing w:after="0"/>
              <w:rPr>
                <w:sz w:val="21"/>
                <w:szCs w:val="2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1,679,672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1,745,193</w:t>
            </w:r>
          </w:p>
        </w:tc>
        <w:tc>
          <w:tcPr>
            <w:tcW w:w="80" w:type="dxa"/>
            <w:vAlign w:val="bottom"/>
            <w:shd w:val="clear" w:color="auto" w:fill="CCEEFF"/>
          </w:tcPr>
          <w:p>
            <w:pPr>
              <w:spacing w:after="0"/>
              <w:rPr>
                <w:sz w:val="18"/>
                <w:szCs w:val="18"/>
                <w:color w:val="auto"/>
              </w:rPr>
            </w:pP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292,569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1,329,655</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1,972,241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3,074,848</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 at June 30, 2024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8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8.9 million shares issued and outstanding 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2024 and December 31, 2023, respectively (see Note 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8,891</w:t>
            </w:r>
          </w:p>
        </w:tc>
        <w:tc>
          <w:tcPr>
            <w:tcW w:w="80" w:type="dxa"/>
            <w:vAlign w:val="bottom"/>
          </w:tcPr>
          <w:p>
            <w:pPr>
              <w:spacing w:after="0"/>
              <w:rPr>
                <w:sz w:val="20"/>
                <w:szCs w:val="20"/>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450,565,204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450,329,515</w:t>
            </w:r>
          </w:p>
        </w:tc>
        <w:tc>
          <w:tcPr>
            <w:tcW w:w="80" w:type="dxa"/>
            <w:vAlign w:val="bottom"/>
            <w:shd w:val="clear" w:color="auto" w:fill="CCEEFF"/>
          </w:tcPr>
          <w:p>
            <w:pPr>
              <w:spacing w:after="0"/>
              <w:rPr>
                <w:sz w:val="18"/>
                <w:szCs w:val="18"/>
                <w:color w:val="auto"/>
              </w:rPr>
            </w:pP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(440,871,362)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(436,285,863)</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9,702,764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11,675,005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31" w:lineRule="exact"/>
        <w:rPr>
          <w:sz w:val="20"/>
          <w:szCs w:val="20"/>
          <w:color w:val="auto"/>
        </w:rPr>
      </w:pPr>
    </w:p>
    <w:p>
      <w:pPr>
        <w:ind w:left="180"/>
        <w:spacing w:after="0" w:line="265" w:lineRule="auto"/>
        <w:rPr>
          <w:sz w:val="20"/>
          <w:szCs w:val="20"/>
          <w:color w:val="auto"/>
        </w:rPr>
      </w:pPr>
      <w:r>
        <w:rPr>
          <w:rFonts w:ascii="Times New Roman" w:cs="Times New Roman" w:eastAsia="Times New Roman" w:hAnsi="Times New Roman"/>
          <w:sz w:val="17"/>
          <w:szCs w:val="17"/>
          <w:color w:val="auto"/>
        </w:rPr>
        <w:t>Loss from discontinued operations, net of tax Gain on disposal of discontinued operations</w:t>
      </w:r>
    </w:p>
    <w:p>
      <w:pPr>
        <w:ind w:right="740"/>
        <w:spacing w:after="0" w:line="292" w:lineRule="auto"/>
        <w:rPr>
          <w:sz w:val="20"/>
          <w:szCs w:val="20"/>
          <w:color w:val="auto"/>
        </w:rPr>
      </w:pPr>
      <w:r>
        <w:rPr>
          <w:rFonts w:ascii="Times New Roman" w:cs="Times New Roman" w:eastAsia="Times New Roman" w:hAnsi="Times New Roman"/>
          <w:sz w:val="18"/>
          <w:szCs w:val="18"/>
          <w:color w:val="auto"/>
        </w:rPr>
        <w:t xml:space="preserve">Income from discontinued operations </w:t>
      </w:r>
      <w:r>
        <w:rPr>
          <w:rFonts w:ascii="Times New Roman" w:cs="Times New Roman" w:eastAsia="Times New Roman" w:hAnsi="Times New Roman"/>
          <w:sz w:val="18"/>
          <w:szCs w:val="18"/>
          <w:b w:val="1"/>
          <w:bCs w:val="1"/>
          <w:color w:val="auto"/>
        </w:rPr>
        <w:t>Net income/(loss)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25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1,169,236</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762,658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2,413,297</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1,996,995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762,658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2,413,297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2,335,430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2,377,993</w:t>
            </w:r>
          </w:p>
        </w:tc>
        <w:tc>
          <w:tcPr>
            <w:tcW w:w="2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4,910,446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5,754,492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1,141,871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2,518,725</w:t>
            </w:r>
          </w:p>
        </w:tc>
        <w:tc>
          <w:tcPr>
            <w:tcW w:w="2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2,359,934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4,686,044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4,896,718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7,270,380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10,440,536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(4,134,060)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(4,857,083)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(8,443,541)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115,388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35,080</w:t>
            </w:r>
          </w:p>
        </w:tc>
        <w:tc>
          <w:tcPr>
            <w:tcW w:w="2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271,584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(2,192,677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(4,098,980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(4,585,499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(8,323,807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(2,179,657)</w:t>
            </w:r>
          </w:p>
        </w:tc>
        <w:tc>
          <w:tcPr>
            <w:tcW w:w="2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(2,922,406)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8,794,426</w:t>
            </w:r>
          </w:p>
        </w:tc>
        <w:tc>
          <w:tcPr>
            <w:tcW w:w="2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8,794,426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6,614,769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5,872,020</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(2,192,677</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2,515,789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(4,585,499</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(2,451,787</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-2339340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-2047875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-1757045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-1473835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-1182370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-899795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-607695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-16510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3440" w:space="240"/>
            <w:col w:w="75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(0.51)</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 basic and diluted</w:t>
            </w:r>
          </w:p>
        </w:tc>
        <w:tc>
          <w:tcPr>
            <w:tcW w:w="6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Net income/(loss) per share, basic and diluted</w:t>
            </w:r>
          </w:p>
        </w:tc>
        <w:tc>
          <w:tcPr>
            <w:tcW w:w="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8,918,233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8,798,956</w:t>
            </w:r>
          </w:p>
        </w:tc>
        <w:tc>
          <w:tcPr>
            <w:tcW w:w="3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8,910,097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8,760,209</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8,918,233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8,798,956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8,910,097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8,760,209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575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Marker Therapeutics, Inc.</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02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02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8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(4,585,499)</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(2,451,787)</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from discontinued operations, net of tax</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5,872,020</w:t>
            </w:r>
          </w:p>
        </w:tc>
        <w:tc>
          <w:tcPr>
            <w:tcW w:w="80" w:type="dxa"/>
            <w:vAlign w:val="bottom"/>
            <w:shd w:val="clear" w:color="auto" w:fill="CCEEFF"/>
          </w:tcPr>
          <w:p>
            <w:pPr>
              <w:spacing w:after="0"/>
              <w:rPr>
                <w:sz w:val="19"/>
                <w:szCs w:val="19"/>
                <w:color w:val="auto"/>
              </w:rPr>
            </w:pPr>
          </w:p>
        </w:tc>
      </w:tr>
      <w:tr>
        <w:trPr>
          <w:trHeight w:val="20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(4,585,499)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(8,323,807)</w:t>
            </w:r>
          </w:p>
        </w:tc>
        <w:tc>
          <w:tcPr>
            <w:tcW w:w="100" w:type="dxa"/>
            <w:vAlign w:val="bottom"/>
            <w:gridSpan w:val="2"/>
          </w:tcPr>
          <w:p>
            <w:pPr>
              <w:spacing w:after="0"/>
              <w:rPr>
                <w:sz w:val="18"/>
                <w:szCs w:val="18"/>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142,018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539,858</w:t>
            </w:r>
          </w:p>
        </w:tc>
        <w:tc>
          <w:tcPr>
            <w:tcW w:w="80" w:type="dxa"/>
            <w:vAlign w:val="bottom"/>
          </w:tcPr>
          <w:p>
            <w:pPr>
              <w:spacing w:after="0"/>
              <w:rPr>
                <w:sz w:val="18"/>
                <w:szCs w:val="18"/>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(396,268)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(238,223)</w:t>
            </w:r>
          </w:p>
        </w:tc>
      </w:tr>
      <w:tr>
        <w:trPr>
          <w:trHeight w:val="216"/>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(1,462,332)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655,904</w:t>
            </w:r>
          </w:p>
        </w:tc>
        <w:tc>
          <w:tcPr>
            <w:tcW w:w="80" w:type="dxa"/>
            <w:vAlign w:val="bottom"/>
            <w:shd w:val="clear" w:color="auto" w:fill="CCEEFF"/>
          </w:tcPr>
          <w:p>
            <w:pPr>
              <w:spacing w:after="0"/>
              <w:rPr>
                <w:sz w:val="18"/>
                <w:szCs w:val="18"/>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payable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(1,037,086)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(65,521)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197,030</w:t>
            </w:r>
          </w:p>
        </w:tc>
        <w:tc>
          <w:tcPr>
            <w:tcW w:w="80" w:type="dxa"/>
            <w:vAlign w:val="bottom"/>
            <w:shd w:val="clear" w:color="auto" w:fill="CCEEFF"/>
          </w:tcPr>
          <w:p>
            <w:pPr>
              <w:spacing w:after="0"/>
              <w:rPr>
                <w:sz w:val="19"/>
                <w:szCs w:val="19"/>
                <w:color w:val="auto"/>
              </w:rPr>
            </w:pPr>
          </w:p>
        </w:tc>
      </w:tr>
      <w:tr>
        <w:trPr>
          <w:trHeight w:val="209"/>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(7,404,688)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(7,169,238)</w:t>
            </w:r>
          </w:p>
        </w:tc>
        <w:tc>
          <w:tcPr>
            <w:tcW w:w="100" w:type="dxa"/>
            <w:vAlign w:val="bottom"/>
            <w:gridSpan w:val="2"/>
          </w:tcPr>
          <w:p>
            <w:pPr>
              <w:spacing w:after="0"/>
              <w:rPr>
                <w:sz w:val="18"/>
                <w:szCs w:val="18"/>
                <w:color w:val="auto"/>
              </w:rPr>
            </w:pPr>
          </w:p>
        </w:tc>
      </w:tr>
      <w:tr>
        <w:trPr>
          <w:trHeight w:val="230"/>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(5,775,680)</w:t>
            </w:r>
          </w:p>
        </w:tc>
      </w:tr>
      <w:tr>
        <w:trPr>
          <w:trHeight w:val="21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(7,404,688)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(12,944,918)</w:t>
            </w:r>
          </w:p>
        </w:tc>
        <w:tc>
          <w:tcPr>
            <w:tcW w:w="100" w:type="dxa"/>
            <w:vAlign w:val="bottom"/>
            <w:gridSpan w:val="2"/>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 - discontinued operations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18,664,122</w:t>
            </w:r>
          </w:p>
        </w:tc>
        <w:tc>
          <w:tcPr>
            <w:tcW w:w="80" w:type="dxa"/>
            <w:vAlign w:val="bottom"/>
          </w:tcPr>
          <w:p>
            <w:pPr>
              <w:spacing w:after="0"/>
              <w:rPr>
                <w:sz w:val="19"/>
                <w:szCs w:val="19"/>
                <w:color w:val="auto"/>
              </w:rPr>
            </w:pPr>
          </w:p>
        </w:tc>
      </w:tr>
      <w:tr>
        <w:trPr>
          <w:trHeight w:val="210"/>
        </w:trPr>
        <w:tc>
          <w:tcPr>
            <w:tcW w:w="8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18,664,122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619,974</w:t>
            </w:r>
          </w:p>
        </w:tc>
        <w:tc>
          <w:tcPr>
            <w:tcW w:w="8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spacing w:after="0"/>
              <w:rPr>
                <w:sz w:val="19"/>
                <w:szCs w:val="19"/>
                <w:color w:val="auto"/>
              </w:rPr>
            </w:pPr>
          </w:p>
        </w:tc>
      </w:tr>
      <w:tr>
        <w:trPr>
          <w:trHeight w:val="209"/>
        </w:trPr>
        <w:tc>
          <w:tcPr>
            <w:tcW w:w="80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(7,310,986)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6,339,914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15,111,450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11,782,172</w:t>
            </w:r>
          </w:p>
        </w:tc>
        <w:tc>
          <w:tcPr>
            <w:tcW w:w="80" w:type="dxa"/>
            <w:vAlign w:val="bottom"/>
            <w:shd w:val="clear" w:color="auto" w:fill="CCEEFF"/>
          </w:tcPr>
          <w:p>
            <w:pPr>
              <w:spacing w:after="0"/>
              <w:rPr>
                <w:sz w:val="19"/>
                <w:szCs w:val="19"/>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7,800,464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18,122,086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2024-08-14T16:40:49Z</dcterms:created>
  <dcterms:modified xsi:type="dcterms:W3CDTF">2024-08-14T16:40:49Z</dcterms:modified>
</cp:coreProperties>
</file>