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13D/A</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10)*</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57055L107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February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85" w:lineRule="exact"/>
        <w:rPr>
          <w:sz w:val="24"/>
          <w:szCs w:val="24"/>
          <w:color w:val="auto"/>
        </w:rPr>
      </w:pPr>
    </w:p>
    <w:p>
      <w:pPr>
        <w:ind w:right="240"/>
        <w:spacing w:after="0" w:line="21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40"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34" w:lineRule="exact"/>
        <w:rPr>
          <w:sz w:val="24"/>
          <w:szCs w:val="24"/>
          <w:color w:val="auto"/>
        </w:rPr>
      </w:pPr>
    </w:p>
    <w:p>
      <w:pPr>
        <w:ind w:right="640" w:firstLine="8"/>
        <w:spacing w:after="0" w:line="180" w:lineRule="auto"/>
        <w:tabs>
          <w:tab w:leader="none" w:pos="108"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1" w:lineRule="exact"/>
        <w:rPr>
          <w:sz w:val="24"/>
          <w:szCs w:val="24"/>
          <w:color w:val="auto"/>
        </w:rPr>
      </w:pPr>
    </w:p>
    <w:p>
      <w:pPr>
        <w:spacing w:after="0" w:line="22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25" w:right="319" w:bottom="1440" w:gutter="0" w:footer="0" w:header="0"/>
        </w:sectPr>
      </w:pPr>
    </w:p>
    <w:bookmarkStart w:id="1" w:name="page2"/>
    <w:bookmarkEnd w:id="1"/>
    <w:p>
      <w:pPr>
        <w:spacing w:after="0"/>
        <w:tabs>
          <w:tab w:leader="none" w:pos="4680" w:val="left"/>
          <w:tab w:leader="none" w:pos="10440" w:val="left"/>
        </w:tabs>
        <w:rPr>
          <w:sz w:val="20"/>
          <w:szCs w:val="20"/>
          <w:color w:val="auto"/>
        </w:rPr>
      </w:pPr>
      <w:r>
        <w:rPr>
          <w:rFonts w:ascii="Arial" w:cs="Arial" w:eastAsia="Arial" w:hAnsi="Arial"/>
          <w:sz w:val="18"/>
          <w:szCs w:val="18"/>
          <w:b w:val="1"/>
          <w:bCs w:val="1"/>
          <w:color w:val="auto"/>
        </w:rPr>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8"/>
          <w:szCs w:val="18"/>
          <w:b w:val="1"/>
          <w:bCs w:val="1"/>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380" w:hanging="26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76"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44" w:lineRule="exact"/>
        <w:rPr>
          <w:rFonts w:ascii="Arial" w:cs="Arial" w:eastAsia="Arial" w:hAnsi="Arial"/>
          <w:sz w:val="18"/>
          <w:szCs w:val="18"/>
          <w:color w:val="auto"/>
        </w:rPr>
      </w:pPr>
    </w:p>
    <w:p>
      <w:pPr>
        <w:ind w:left="380" w:right="5860" w:hanging="265"/>
        <w:spacing w:after="0" w:line="234"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00" w:hanging="427"/>
        <w:spacing w:after="0" w:line="202" w:lineRule="exact"/>
        <w:tabs>
          <w:tab w:leader="none" w:pos="8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800" w:hanging="427"/>
        <w:spacing w:after="0" w:line="207" w:lineRule="exact"/>
        <w:tabs>
          <w:tab w:leader="none" w:pos="8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380" w:hanging="26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380" w:hanging="26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76"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380" w:hanging="265"/>
        <w:spacing w:after="0" w:line="23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0" w:lineRule="exact"/>
        <w:rPr>
          <w:rFonts w:ascii="Arial" w:cs="Arial" w:eastAsia="Arial" w:hAnsi="Arial"/>
          <w:sz w:val="18"/>
          <w:szCs w:val="18"/>
          <w:color w:val="auto"/>
        </w:rPr>
      </w:pPr>
    </w:p>
    <w:p>
      <w:pPr>
        <w:ind w:left="380" w:hanging="26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6"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47" w:lineRule="exact"/>
        <w:rPr>
          <w:rFonts w:ascii="Arial" w:cs="Arial" w:eastAsia="Arial" w:hAnsi="Arial"/>
          <w:sz w:val="18"/>
          <w:szCs w:val="18"/>
          <w:color w:val="auto"/>
        </w:rPr>
      </w:pPr>
    </w:p>
    <w:p>
      <w:pPr>
        <w:ind w:left="1760" w:hanging="268"/>
        <w:spacing w:after="0"/>
        <w:tabs>
          <w:tab w:leader="none" w:pos="17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-2119630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-1597025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-1330960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-936625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NUMBER OF</w:t>
            </w:r>
          </w:p>
        </w:tc>
        <w:tc>
          <w:tcPr>
            <w:tcW w:w="320" w:type="dxa"/>
            <w:vAlign w:val="bottom"/>
            <w:tcBorders>
              <w:bottom w:val="single" w:sz="8" w:color="auto"/>
            </w:tcBorders>
          </w:tcPr>
          <w:p>
            <w:pPr>
              <w:spacing w:after="0"/>
              <w:rPr>
                <w:sz w:val="17"/>
                <w:szCs w:val="17"/>
                <w:color w:val="auto"/>
              </w:rPr>
            </w:pPr>
          </w:p>
        </w:tc>
        <w:tc>
          <w:tcPr>
            <w:tcW w:w="9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380" w:type="dxa"/>
            <w:vAlign w:val="bottom"/>
            <w:vMerge w:val="continue"/>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3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320" w:type="dxa"/>
            <w:vAlign w:val="bottom"/>
            <w:vMerge w:val="continue"/>
          </w:tcPr>
          <w:p>
            <w:pPr>
              <w:spacing w:after="0"/>
              <w:rPr>
                <w:sz w:val="9"/>
                <w:szCs w:val="9"/>
                <w:color w:val="auto"/>
              </w:rPr>
            </w:pPr>
          </w:p>
        </w:tc>
        <w:tc>
          <w:tcPr>
            <w:tcW w:w="9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3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BENEFICIALLY</w:t>
            </w:r>
          </w:p>
        </w:tc>
        <w:tc>
          <w:tcPr>
            <w:tcW w:w="320" w:type="dxa"/>
            <w:vAlign w:val="bottom"/>
          </w:tcPr>
          <w:p>
            <w:pPr>
              <w:spacing w:after="0"/>
              <w:rPr>
                <w:sz w:val="17"/>
                <w:szCs w:val="17"/>
                <w:color w:val="auto"/>
              </w:rPr>
            </w:pPr>
          </w:p>
        </w:tc>
        <w:tc>
          <w:tcPr>
            <w:tcW w:w="97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5,300,002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3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OWNED BY</w:t>
            </w:r>
          </w:p>
        </w:tc>
        <w:tc>
          <w:tcPr>
            <w:tcW w:w="320" w:type="dxa"/>
            <w:vAlign w:val="bottom"/>
            <w:tcBorders>
              <w:bottom w:val="single" w:sz="8" w:color="auto"/>
            </w:tcBorders>
          </w:tcPr>
          <w:p>
            <w:pPr>
              <w:spacing w:after="0"/>
              <w:rPr>
                <w:sz w:val="8"/>
                <w:szCs w:val="8"/>
                <w:color w:val="auto"/>
              </w:rPr>
            </w:pPr>
          </w:p>
        </w:tc>
        <w:tc>
          <w:tcPr>
            <w:tcW w:w="97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8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3"/>
        </w:trPr>
        <w:tc>
          <w:tcPr>
            <w:tcW w:w="13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320" w:type="dxa"/>
            <w:vAlign w:val="bottom"/>
            <w:vMerge w:val="continue"/>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REPORTING</w:t>
            </w:r>
          </w:p>
        </w:tc>
        <w:tc>
          <w:tcPr>
            <w:tcW w:w="320" w:type="dxa"/>
            <w:vAlign w:val="bottom"/>
          </w:tcPr>
          <w:p>
            <w:pPr>
              <w:spacing w:after="0"/>
              <w:rPr>
                <w:sz w:val="17"/>
                <w:szCs w:val="17"/>
                <w:color w:val="auto"/>
              </w:rPr>
            </w:pPr>
          </w:p>
        </w:tc>
        <w:tc>
          <w:tcPr>
            <w:tcW w:w="97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PERSON WITH</w:t>
            </w:r>
          </w:p>
        </w:tc>
        <w:tc>
          <w:tcPr>
            <w:tcW w:w="320" w:type="dxa"/>
            <w:vAlign w:val="bottom"/>
            <w:tcBorders>
              <w:bottom w:val="single" w:sz="8" w:color="auto"/>
            </w:tcBorders>
          </w:tcPr>
          <w:p>
            <w:pPr>
              <w:spacing w:after="0"/>
              <w:rPr>
                <w:sz w:val="9"/>
                <w:szCs w:val="9"/>
                <w:color w:val="auto"/>
              </w:rPr>
            </w:pPr>
          </w:p>
        </w:tc>
        <w:tc>
          <w:tcPr>
            <w:tcW w:w="97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9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1"/>
        </w:trPr>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5,300,002</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 AGGREGATE AMOUNT BENEFICIALLY OWNED BY EACH REPORTING PERSON</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5,300,002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80" w:right="3640" w:hanging="359"/>
        <w:spacing w:after="0" w:line="220" w:lineRule="exact"/>
        <w:tabs>
          <w:tab w:leader="none" w:pos="360" w:val="left"/>
        </w:tabs>
        <w:rPr>
          <w:sz w:val="20"/>
          <w:szCs w:val="20"/>
          <w:color w:val="auto"/>
        </w:rPr>
      </w:pPr>
      <w:r>
        <w:rPr>
          <w:rFonts w:ascii="Arial" w:cs="Arial" w:eastAsia="Arial" w:hAnsi="Arial"/>
          <w:sz w:val="18"/>
          <w:szCs w:val="18"/>
          <w:color w:val="auto"/>
        </w:rPr>
        <w:t>12.</w:t>
        <w:tab/>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 PERCENT OF CLASS REPRESENTED BY AMOUNT IN ROW (11)</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 TYPE OF REPORTING PERSON (see instructions)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w:t>
      </w:r>
    </w:p>
    <w:p>
      <w:pPr>
        <w:spacing w:after="0" w:line="32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 As of the filing date and as described in Items 4, 5(a) and 5(b), Eastern Capital Limited beneficially owns 4,050,001 shares of Common Stock and 1,250,001 shares of Common Stock issuable upon exercise of the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ectPr>
          <w:pgSz w:w="11900" w:h="16838" w:orient="portrait"/>
          <w:cols w:equalWidth="0" w:num="1">
            <w:col w:w="11420"/>
          </w:cols>
          <w:pgMar w:left="240" w:top="819" w:right="239" w:bottom="1440" w:gutter="0" w:footer="0" w:header="0"/>
        </w:sectPr>
      </w:pPr>
    </w:p>
    <w:bookmarkStart w:id="2" w:name="page3"/>
    <w:bookmarkEnd w:id="2"/>
    <w:p>
      <w:pPr>
        <w:spacing w:after="0"/>
        <w:tabs>
          <w:tab w:leader="none" w:pos="4720" w:val="left"/>
          <w:tab w:leader="none" w:pos="10440" w:val="left"/>
        </w:tabs>
        <w:rPr>
          <w:sz w:val="20"/>
          <w:szCs w:val="20"/>
          <w:color w:val="auto"/>
        </w:rPr>
      </w:pPr>
      <w:r>
        <w:rPr>
          <w:rFonts w:ascii="Arial" w:cs="Arial" w:eastAsia="Arial" w:hAnsi="Arial"/>
          <w:sz w:val="18"/>
          <w:szCs w:val="18"/>
          <w:b w:val="1"/>
          <w:bCs w:val="1"/>
          <w:color w:val="auto"/>
        </w:rPr>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8"/>
          <w:szCs w:val="18"/>
          <w:b w:val="1"/>
          <w:bCs w:val="1"/>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460" w:hanging="34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44" w:lineRule="exact"/>
        <w:rPr>
          <w:rFonts w:ascii="Arial" w:cs="Arial" w:eastAsia="Arial" w:hAnsi="Arial"/>
          <w:sz w:val="18"/>
          <w:szCs w:val="18"/>
          <w:color w:val="auto"/>
        </w:rPr>
      </w:pPr>
    </w:p>
    <w:p>
      <w:pPr>
        <w:ind w:left="460" w:right="5760" w:hanging="345"/>
        <w:spacing w:after="0" w:line="23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80" w:hanging="413"/>
        <w:spacing w:after="0" w:line="202" w:lineRule="exact"/>
        <w:tabs>
          <w:tab w:leader="none" w:pos="8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ind w:left="880" w:hanging="413"/>
        <w:spacing w:after="0" w:line="207" w:lineRule="exact"/>
        <w:tabs>
          <w:tab w:leader="none" w:pos="8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460" w:hanging="34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460" w:hanging="34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460" w:hanging="345"/>
        <w:spacing w:after="0" w:line="23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4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0" w:lineRule="exact"/>
        <w:rPr>
          <w:rFonts w:ascii="Arial" w:cs="Arial" w:eastAsia="Arial" w:hAnsi="Arial"/>
          <w:sz w:val="18"/>
          <w:szCs w:val="18"/>
          <w:color w:val="auto"/>
        </w:rPr>
      </w:pPr>
    </w:p>
    <w:p>
      <w:pPr>
        <w:ind w:left="460" w:hanging="34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47" w:lineRule="exact"/>
        <w:rPr>
          <w:rFonts w:ascii="Arial" w:cs="Arial" w:eastAsia="Arial" w:hAnsi="Arial"/>
          <w:sz w:val="18"/>
          <w:szCs w:val="18"/>
          <w:color w:val="auto"/>
        </w:rPr>
      </w:pPr>
    </w:p>
    <w:p>
      <w:pPr>
        <w:ind w:left="1840" w:hanging="253"/>
        <w:spacing w:after="0"/>
        <w:tabs>
          <w:tab w:leader="none" w:pos="18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-2119630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-1597025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-1330960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-936625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9"/>
              </w:rPr>
              <w:t>NUMBER OF</w:t>
            </w:r>
          </w:p>
        </w:tc>
        <w:tc>
          <w:tcPr>
            <w:tcW w:w="320" w:type="dxa"/>
            <w:vAlign w:val="bottom"/>
            <w:tcBorders>
              <w:bottom w:val="single" w:sz="8" w:color="auto"/>
            </w:tcBorders>
          </w:tcPr>
          <w:p>
            <w:pPr>
              <w:spacing w:after="0"/>
              <w:rPr>
                <w:sz w:val="17"/>
                <w:szCs w:val="17"/>
                <w:color w:val="auto"/>
              </w:rPr>
            </w:pPr>
          </w:p>
        </w:tc>
        <w:tc>
          <w:tcPr>
            <w:tcW w:w="9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480" w:type="dxa"/>
            <w:vAlign w:val="bottom"/>
            <w:vMerge w:val="continue"/>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62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480" w:type="dxa"/>
            <w:vAlign w:val="bottom"/>
            <w:vMerge w:val="restart"/>
          </w:tcPr>
          <w:p>
            <w:pPr>
              <w:jc w:val="center"/>
              <w:ind w:right="10"/>
              <w:spacing w:after="0" w:line="202" w:lineRule="exact"/>
              <w:rPr>
                <w:sz w:val="20"/>
                <w:szCs w:val="20"/>
                <w:color w:val="auto"/>
              </w:rPr>
            </w:pPr>
            <w:r>
              <w:rPr>
                <w:rFonts w:ascii="Arial" w:cs="Arial" w:eastAsia="Arial" w:hAnsi="Arial"/>
                <w:sz w:val="18"/>
                <w:szCs w:val="18"/>
                <w:color w:val="auto"/>
                <w:w w:val="99"/>
              </w:rPr>
              <w:t>SHARES</w:t>
            </w:r>
          </w:p>
        </w:tc>
        <w:tc>
          <w:tcPr>
            <w:tcW w:w="320" w:type="dxa"/>
            <w:vAlign w:val="bottom"/>
            <w:vMerge w:val="continue"/>
          </w:tcPr>
          <w:p>
            <w:pPr>
              <w:spacing w:after="0"/>
              <w:rPr>
                <w:sz w:val="9"/>
                <w:szCs w:val="9"/>
                <w:color w:val="auto"/>
              </w:rPr>
            </w:pPr>
          </w:p>
        </w:tc>
        <w:tc>
          <w:tcPr>
            <w:tcW w:w="9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BENEFICIALLY</w:t>
            </w:r>
          </w:p>
        </w:tc>
        <w:tc>
          <w:tcPr>
            <w:tcW w:w="320" w:type="dxa"/>
            <w:vAlign w:val="bottom"/>
          </w:tcPr>
          <w:p>
            <w:pPr>
              <w:spacing w:after="0"/>
              <w:rPr>
                <w:sz w:val="17"/>
                <w:szCs w:val="17"/>
                <w:color w:val="auto"/>
              </w:rPr>
            </w:pPr>
          </w:p>
        </w:tc>
        <w:tc>
          <w:tcPr>
            <w:tcW w:w="96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5,300,002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480" w:type="dxa"/>
            <w:vAlign w:val="bottom"/>
            <w:vMerge w:val="restart"/>
          </w:tcPr>
          <w:p>
            <w:pPr>
              <w:jc w:val="center"/>
              <w:ind w:right="10"/>
              <w:spacing w:after="0" w:line="202" w:lineRule="exact"/>
              <w:rPr>
                <w:sz w:val="20"/>
                <w:szCs w:val="20"/>
                <w:color w:val="auto"/>
              </w:rPr>
            </w:pPr>
            <w:r>
              <w:rPr>
                <w:rFonts w:ascii="Arial" w:cs="Arial" w:eastAsia="Arial" w:hAnsi="Arial"/>
                <w:sz w:val="18"/>
                <w:szCs w:val="18"/>
                <w:color w:val="auto"/>
                <w:w w:val="99"/>
              </w:rPr>
              <w:t>OWNED BY</w:t>
            </w:r>
          </w:p>
        </w:tc>
        <w:tc>
          <w:tcPr>
            <w:tcW w:w="320" w:type="dxa"/>
            <w:vAlign w:val="bottom"/>
            <w:tcBorders>
              <w:bottom w:val="single" w:sz="8" w:color="auto"/>
            </w:tcBorders>
          </w:tcPr>
          <w:p>
            <w:pPr>
              <w:spacing w:after="0"/>
              <w:rPr>
                <w:sz w:val="8"/>
                <w:szCs w:val="8"/>
                <w:color w:val="auto"/>
              </w:rPr>
            </w:pPr>
          </w:p>
        </w:tc>
        <w:tc>
          <w:tcPr>
            <w:tcW w:w="96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48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6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3"/>
        </w:trPr>
        <w:tc>
          <w:tcPr>
            <w:tcW w:w="1480" w:type="dxa"/>
            <w:vAlign w:val="bottom"/>
            <w:vMerge w:val="restart"/>
          </w:tcPr>
          <w:p>
            <w:pPr>
              <w:jc w:val="center"/>
              <w:ind w:right="10"/>
              <w:spacing w:after="0" w:line="202" w:lineRule="exact"/>
              <w:rPr>
                <w:sz w:val="20"/>
                <w:szCs w:val="20"/>
                <w:color w:val="auto"/>
              </w:rPr>
            </w:pPr>
            <w:r>
              <w:rPr>
                <w:rFonts w:ascii="Arial" w:cs="Arial" w:eastAsia="Arial" w:hAnsi="Arial"/>
                <w:sz w:val="18"/>
                <w:szCs w:val="18"/>
                <w:color w:val="auto"/>
                <w:w w:val="99"/>
              </w:rPr>
              <w:t>EACH</w:t>
            </w:r>
          </w:p>
        </w:tc>
        <w:tc>
          <w:tcPr>
            <w:tcW w:w="320" w:type="dxa"/>
            <w:vAlign w:val="bottom"/>
            <w:vMerge w:val="continue"/>
          </w:tcPr>
          <w:p>
            <w:pPr>
              <w:spacing w:after="0"/>
              <w:rPr>
                <w:sz w:val="10"/>
                <w:szCs w:val="10"/>
                <w:color w:val="auto"/>
              </w:rPr>
            </w:pP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4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REPORTING</w:t>
            </w:r>
          </w:p>
        </w:tc>
        <w:tc>
          <w:tcPr>
            <w:tcW w:w="320" w:type="dxa"/>
            <w:vAlign w:val="bottom"/>
          </w:tcPr>
          <w:p>
            <w:pPr>
              <w:spacing w:after="0"/>
              <w:rPr>
                <w:sz w:val="17"/>
                <w:szCs w:val="17"/>
                <w:color w:val="auto"/>
              </w:rPr>
            </w:pPr>
          </w:p>
        </w:tc>
        <w:tc>
          <w:tcPr>
            <w:tcW w:w="96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PERSON WITH</w:t>
            </w:r>
          </w:p>
        </w:tc>
        <w:tc>
          <w:tcPr>
            <w:tcW w:w="320" w:type="dxa"/>
            <w:vAlign w:val="bottom"/>
            <w:tcBorders>
              <w:bottom w:val="single" w:sz="8" w:color="auto"/>
            </w:tcBorders>
          </w:tcPr>
          <w:p>
            <w:pPr>
              <w:spacing w:after="0"/>
              <w:rPr>
                <w:sz w:val="9"/>
                <w:szCs w:val="9"/>
                <w:color w:val="auto"/>
              </w:rPr>
            </w:pPr>
          </w:p>
        </w:tc>
        <w:tc>
          <w:tcPr>
            <w:tcW w:w="96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480" w:type="dxa"/>
            <w:vAlign w:val="bottom"/>
            <w:vMerge w:val="continue"/>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9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1"/>
        </w:trPr>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5,300,002</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11.</w:t>
        <w:tab/>
        <w:t>AGGREGATE AMOUNT BENEFICIALLY OWNED BY EACH REPORTING PERSON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5,300,002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460" w:right="3540" w:hanging="439"/>
        <w:spacing w:after="0" w:line="220" w:lineRule="exact"/>
        <w:tabs>
          <w:tab w:leader="none" w:pos="440" w:val="left"/>
        </w:tabs>
        <w:rPr>
          <w:sz w:val="20"/>
          <w:szCs w:val="20"/>
          <w:color w:val="auto"/>
        </w:rPr>
      </w:pPr>
      <w:r>
        <w:rPr>
          <w:rFonts w:ascii="Arial" w:cs="Arial" w:eastAsia="Arial" w:hAnsi="Arial"/>
          <w:sz w:val="18"/>
          <w:szCs w:val="18"/>
          <w:color w:val="auto"/>
        </w:rPr>
        <w:t>12.</w:t>
        <w:tab/>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13.</w:t>
        <w:tab/>
        <w:t>PERCENT OF CLASS REPRESENTED BY AMOUNT IN ROW (11)</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14.</w:t>
        <w:tab/>
        <w:t>TYPE OF REPORTING PERSON (see instructions)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w:t>
      </w:r>
    </w:p>
    <w:p>
      <w:pPr>
        <w:spacing w:after="0" w:line="328" w:lineRule="exact"/>
        <w:rPr>
          <w:sz w:val="20"/>
          <w:szCs w:val="20"/>
          <w:color w:val="auto"/>
        </w:rPr>
      </w:pPr>
    </w:p>
    <w:p>
      <w:pPr>
        <w:jc w:val="both"/>
        <w:ind w:right="120"/>
        <w:spacing w:after="0" w:line="227" w:lineRule="auto"/>
        <w:rPr>
          <w:sz w:val="20"/>
          <w:szCs w:val="20"/>
          <w:color w:val="auto"/>
        </w:rPr>
      </w:pPr>
      <w:r>
        <w:rPr>
          <w:rFonts w:ascii="Arial" w:cs="Arial" w:eastAsia="Arial" w:hAnsi="Arial"/>
          <w:sz w:val="18"/>
          <w:szCs w:val="18"/>
          <w:color w:val="auto"/>
        </w:rPr>
        <w:t>* As of the filing date and as described in Items 4, 5(a) and 5(b), Portfolio Services Ltd. beneficially owns 4,050,001 shares of Common Stock and 1,250,001 shares of Common Stock issuable upon exercise of the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ectPr>
          <w:pgSz w:w="11900" w:h="16838" w:orient="portrait"/>
          <w:cols w:equalWidth="0" w:num="1">
            <w:col w:w="11420"/>
          </w:cols>
          <w:pgMar w:left="240" w:top="886" w:right="239" w:bottom="1440" w:gutter="0" w:footer="0" w:header="0"/>
        </w:sectPr>
      </w:pPr>
    </w:p>
    <w:bookmarkStart w:id="3" w:name="page4"/>
    <w:bookmarkEnd w:id="3"/>
    <w:p>
      <w:pPr>
        <w:spacing w:after="0"/>
        <w:tabs>
          <w:tab w:leader="none" w:pos="4820" w:val="left"/>
          <w:tab w:leader="none" w:pos="10440" w:val="left"/>
        </w:tabs>
        <w:rPr>
          <w:sz w:val="20"/>
          <w:szCs w:val="20"/>
          <w:color w:val="auto"/>
        </w:rPr>
      </w:pPr>
      <w:r>
        <w:rPr>
          <w:rFonts w:ascii="Arial" w:cs="Arial" w:eastAsia="Arial" w:hAnsi="Arial"/>
          <w:sz w:val="18"/>
          <w:szCs w:val="18"/>
          <w:b w:val="1"/>
          <w:bCs w:val="1"/>
          <w:color w:val="auto"/>
        </w:rPr>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8"/>
          <w:szCs w:val="18"/>
          <w:b w:val="1"/>
          <w:bCs w:val="1"/>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460" w:hanging="345"/>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44" w:lineRule="exact"/>
        <w:rPr>
          <w:rFonts w:ascii="Arial" w:cs="Arial" w:eastAsia="Arial" w:hAnsi="Arial"/>
          <w:sz w:val="18"/>
          <w:szCs w:val="18"/>
          <w:color w:val="auto"/>
        </w:rPr>
      </w:pPr>
    </w:p>
    <w:p>
      <w:pPr>
        <w:ind w:left="460" w:right="5760" w:hanging="345"/>
        <w:spacing w:after="0" w:line="23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80" w:hanging="413"/>
        <w:spacing w:after="0" w:line="202" w:lineRule="exact"/>
        <w:tabs>
          <w:tab w:leader="none" w:pos="8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ind w:left="880" w:hanging="413"/>
        <w:spacing w:after="0" w:line="207" w:lineRule="exact"/>
        <w:tabs>
          <w:tab w:leader="none" w:pos="8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460" w:hanging="345"/>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460" w:hanging="345"/>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460" w:hanging="345"/>
        <w:spacing w:after="0" w:line="23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4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0" w:lineRule="exact"/>
        <w:rPr>
          <w:rFonts w:ascii="Arial" w:cs="Arial" w:eastAsia="Arial" w:hAnsi="Arial"/>
          <w:sz w:val="18"/>
          <w:szCs w:val="18"/>
          <w:color w:val="auto"/>
        </w:rPr>
      </w:pPr>
    </w:p>
    <w:p>
      <w:pPr>
        <w:ind w:left="460" w:hanging="345"/>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-1831340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-1042670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96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2"/>
        </w:trPr>
        <w:tc>
          <w:tcPr>
            <w:tcW w:w="1420" w:type="dxa"/>
            <w:vAlign w:val="bottom"/>
          </w:tcPr>
          <w:p>
            <w:pPr>
              <w:jc w:val="center"/>
              <w:ind w:right="50"/>
              <w:spacing w:after="0"/>
              <w:rPr>
                <w:sz w:val="20"/>
                <w:szCs w:val="20"/>
                <w:color w:val="auto"/>
              </w:rPr>
            </w:pPr>
            <w:r>
              <w:rPr>
                <w:rFonts w:ascii="Arial" w:cs="Arial" w:eastAsia="Arial" w:hAnsi="Arial"/>
                <w:sz w:val="18"/>
                <w:szCs w:val="18"/>
                <w:color w:val="auto"/>
                <w:w w:val="99"/>
              </w:rPr>
              <w:t>NUMBER OF</w:t>
            </w:r>
          </w:p>
        </w:tc>
        <w:tc>
          <w:tcPr>
            <w:tcW w:w="32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4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9"/>
              </w:rPr>
              <w:t>SHARES</w:t>
            </w: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9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3"/>
        </w:trPr>
        <w:tc>
          <w:tcPr>
            <w:tcW w:w="142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BENEFICIALLY</w:t>
            </w:r>
          </w:p>
        </w:tc>
        <w:tc>
          <w:tcPr>
            <w:tcW w:w="320" w:type="dxa"/>
            <w:vAlign w:val="bottom"/>
          </w:tcPr>
          <w:p>
            <w:pPr>
              <w:spacing w:after="0"/>
              <w:rPr>
                <w:sz w:val="17"/>
                <w:szCs w:val="17"/>
                <w:color w:val="auto"/>
              </w:rPr>
            </w:pPr>
          </w:p>
        </w:tc>
        <w:tc>
          <w:tcPr>
            <w:tcW w:w="96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5,300,002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42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OWNED BY</w:t>
            </w:r>
          </w:p>
        </w:tc>
        <w:tc>
          <w:tcPr>
            <w:tcW w:w="320" w:type="dxa"/>
            <w:vAlign w:val="bottom"/>
            <w:tcBorders>
              <w:bottom w:val="single" w:sz="8" w:color="auto"/>
            </w:tcBorders>
          </w:tcPr>
          <w:p>
            <w:pPr>
              <w:spacing w:after="0"/>
              <w:rPr>
                <w:sz w:val="17"/>
                <w:szCs w:val="17"/>
                <w:color w:val="auto"/>
              </w:rPr>
            </w:pPr>
          </w:p>
        </w:tc>
        <w:tc>
          <w:tcPr>
            <w:tcW w:w="9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420" w:type="dxa"/>
            <w:vAlign w:val="bottom"/>
          </w:tcPr>
          <w:p>
            <w:pPr>
              <w:jc w:val="center"/>
              <w:ind w:right="70"/>
              <w:spacing w:after="0" w:line="182" w:lineRule="exact"/>
              <w:rPr>
                <w:sz w:val="20"/>
                <w:szCs w:val="20"/>
                <w:color w:val="auto"/>
              </w:rPr>
            </w:pPr>
            <w:r>
              <w:rPr>
                <w:rFonts w:ascii="Arial" w:cs="Arial" w:eastAsia="Arial" w:hAnsi="Arial"/>
                <w:sz w:val="18"/>
                <w:szCs w:val="18"/>
                <w:color w:val="auto"/>
                <w:w w:val="99"/>
              </w:rPr>
              <w:t>EACH</w:t>
            </w: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962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3"/>
        </w:trPr>
        <w:tc>
          <w:tcPr>
            <w:tcW w:w="142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9"/>
              </w:rPr>
              <w:t>REPORTING</w:t>
            </w:r>
          </w:p>
        </w:tc>
        <w:tc>
          <w:tcPr>
            <w:tcW w:w="320" w:type="dxa"/>
            <w:vAlign w:val="bottom"/>
          </w:tcPr>
          <w:p>
            <w:pPr>
              <w:spacing w:after="0"/>
              <w:rPr>
                <w:sz w:val="17"/>
                <w:szCs w:val="17"/>
                <w:color w:val="auto"/>
              </w:rPr>
            </w:pPr>
          </w:p>
        </w:tc>
        <w:tc>
          <w:tcPr>
            <w:tcW w:w="9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tcPr>
          <w:p>
            <w:pPr>
              <w:jc w:val="center"/>
              <w:ind w:right="70"/>
              <w:spacing w:after="0"/>
              <w:rPr>
                <w:sz w:val="20"/>
                <w:szCs w:val="20"/>
                <w:color w:val="auto"/>
              </w:rPr>
            </w:pPr>
            <w:r>
              <w:rPr>
                <w:rFonts w:ascii="Arial" w:cs="Arial" w:eastAsia="Arial" w:hAnsi="Arial"/>
                <w:sz w:val="18"/>
                <w:szCs w:val="18"/>
                <w:color w:val="auto"/>
                <w:w w:val="99"/>
              </w:rPr>
              <w:t>PERSON WITH</w:t>
            </w:r>
          </w:p>
        </w:tc>
        <w:tc>
          <w:tcPr>
            <w:tcW w:w="320" w:type="dxa"/>
            <w:vAlign w:val="bottom"/>
          </w:tcPr>
          <w:p>
            <w:pPr>
              <w:spacing w:after="0"/>
              <w:rPr>
                <w:sz w:val="19"/>
                <w:szCs w:val="19"/>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-7620</wp:posOffset>
            </wp:positionV>
            <wp:extent cx="6311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ind w:left="1900" w:right="6920" w:hanging="413"/>
        <w:spacing w:after="0" w:line="246" w:lineRule="auto"/>
        <w:tabs>
          <w:tab w:leader="none" w:pos="185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5,300,002</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460" w:hanging="445"/>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5,300,002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460" w:right="3540" w:hanging="445"/>
        <w:spacing w:after="0" w:line="220" w:lineRule="exact"/>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96" w:lineRule="exact"/>
        <w:rPr>
          <w:rFonts w:ascii="Arial" w:cs="Arial" w:eastAsia="Arial" w:hAnsi="Arial"/>
          <w:sz w:val="18"/>
          <w:szCs w:val="18"/>
          <w:color w:val="auto"/>
        </w:rPr>
      </w:pPr>
    </w:p>
    <w:p>
      <w:pPr>
        <w:ind w:left="460" w:hanging="445"/>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11.2%</w:t>
      </w:r>
    </w:p>
    <w:p>
      <w:pPr>
        <w:spacing w:after="0" w:line="31" w:lineRule="exact"/>
        <w:rPr>
          <w:rFonts w:ascii="Arial" w:cs="Arial" w:eastAsia="Arial" w:hAnsi="Arial"/>
          <w:sz w:val="18"/>
          <w:szCs w:val="18"/>
          <w:color w:val="auto"/>
        </w:rPr>
      </w:pPr>
    </w:p>
    <w:p>
      <w:pPr>
        <w:ind w:left="460" w:hanging="445"/>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-776605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*As of the filing date and as described in Items 4, 5(a) and 5(b), Kenneth B. Dart beneficially owns 4,050,001 shares of Common Stock and 1,250,001 shares of Common Stock issuable upon exercise of the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ectPr>
          <w:pgSz w:w="11900" w:h="16838" w:orient="portrait"/>
          <w:cols w:equalWidth="0" w:num="1">
            <w:col w:w="11420"/>
          </w:cols>
          <w:pgMar w:left="240" w:top="684" w:right="239" w:bottom="1440" w:gutter="0" w:footer="0" w:header="0"/>
        </w:sectPr>
      </w:pPr>
    </w:p>
    <w:bookmarkStart w:id="4" w:name="page5"/>
    <w:bookmarkEnd w:id="4"/>
    <w:p>
      <w:pPr>
        <w:spacing w:after="0"/>
        <w:tabs>
          <w:tab w:leader="none" w:pos="5700" w:val="left"/>
          <w:tab w:leader="none" w:pos="10440" w:val="left"/>
        </w:tabs>
        <w:rPr>
          <w:sz w:val="20"/>
          <w:szCs w:val="20"/>
          <w:color w:val="auto"/>
        </w:rPr>
      </w:pPr>
      <w:r>
        <w:rPr>
          <w:rFonts w:ascii="Arial" w:cs="Arial" w:eastAsia="Arial" w:hAnsi="Arial"/>
          <w:sz w:val="18"/>
          <w:szCs w:val="18"/>
          <w:b w:val="1"/>
          <w:bCs w:val="1"/>
          <w:color w:val="auto"/>
        </w:rPr>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8"/>
          <w:szCs w:val="18"/>
          <w:b w:val="1"/>
          <w:bCs w:val="1"/>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This Amendment No. 10 to Schedule 13D (this “Amendment No. 10”) relates to shares of common stock, par value $0.001 per share (the “Common Stock”), of Marker Therapeutics, Inc., (the “Issuer”). This Amendment No. 10 amends the original Schedule 13D filed with the U.S. Securities and Exchange Commission by the Reporting Persons as previously amended by Amendments No. 1 through 9 (the “Schedule 13D”). Except as otherwise specified in this Amendment No. 10, all previous Items are unchanged. Defined terms used herein but not otherwise defined have the meanings set forth in the Schedule 13D.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February 18, 2020 the Reporting Persons exercised the Series A-1 Warrant to purchase 416,667 shares of Common Stock of the Issuer at an exercised price of $1.20 per share.</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Reporting Persons currently have no plans or proposals which relate to or would result in any transaction, event or action enumerated in paragraphs (a) through (j) of Item 4 of Schedule 13D.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 5(a)–(b)</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beneficially owns 5,300,002 shares of the Issuer’s Common Stock, representing 11.2% of the Issuer’s outstanding Common Stock. Eastern Capital Limited has shared voting and dispositive power of the shares it beneficially owns with its parent, Portfolio Services Ltd. and Kenneth B. Dart.</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of the outstanding shares of Eastern Capital Limited, indirectly beneficially owns 5,300,002 shares of the Issuer’s Common Stock, representing 11.2% of the Issuer’s outstanding Common Stock. Portfolio Services Ltd. has shared voting and dispositive power of the shares it beneficially owns.</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5,300,002 shares of the Issuer’s Common Stock, representing 11.2% of the Issuer’s outstanding Common Stock. Kenneth B. Dart has shared voting and dispositive power of the shares he beneficially owns.</w:t>
      </w:r>
    </w:p>
    <w:p>
      <w:pPr>
        <w:spacing w:after="0" w:line="12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percentage ownership noted in this Schedule 13D/A is based on 45,723,414 shares outstanding as of November 4, 2019 as reported in the Issuer’s Form 10-K filed with the U.S. Securities Exchange Commission on November 12, 2019, plus 416,667 shares of Common stock issued upon the exercise of the Series A-1 Warrant, plus 1,250,001 shares of Common Stock that may be issued upon exercise of the Series D-1 Warrant, Series E-1 Warrant or the Series F-1 Warrant held by the Reporting Persons.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Pursuant to the conditions of the Warrant Amendment Agreement and each Series D-1 Warrant, Series E-1 Warrant and Series F-1 Warrant respectively and subsequent Reverse Stock Split:</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D-1 Warrant, as amended is exercisable at an initial exercise price of $9.00 per share, and will expire on the five year anniversary of September 9, 2015.</w:t>
      </w:r>
    </w:p>
    <w:p>
      <w:pPr>
        <w:spacing w:after="0" w:line="8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Each Series E-1 Warrant, as amended is exercisable at an initial exercise price of $15.00 per share, and will expire on the five year anniversary of June 16, 2015.</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F-1 Warrant, is exercisable at an initial exercise price of $7.20 per share, and will expire on the five year anniversary of the date of issuance.</w:t>
      </w:r>
    </w:p>
    <w:p>
      <w:pPr>
        <w:sectPr>
          <w:pgSz w:w="11900" w:h="16838" w:orient="portrait"/>
          <w:cols w:equalWidth="0" w:num="1">
            <w:col w:w="11420"/>
          </w:cols>
          <w:pgMar w:left="240" w:top="886" w:right="239" w:bottom="1440" w:gutter="0" w:footer="0" w:header="0"/>
        </w:sectPr>
      </w:pPr>
    </w:p>
    <w:bookmarkStart w:id="5" w:name="page6"/>
    <w:bookmarkEnd w:id="5"/>
    <w:p>
      <w:pPr>
        <w:spacing w:after="0"/>
        <w:tabs>
          <w:tab w:leader="none" w:pos="5700" w:val="left"/>
          <w:tab w:leader="none" w:pos="10440" w:val="left"/>
        </w:tabs>
        <w:rPr>
          <w:sz w:val="20"/>
          <w:szCs w:val="20"/>
          <w:color w:val="auto"/>
        </w:rPr>
      </w:pPr>
      <w:r>
        <w:rPr>
          <w:rFonts w:ascii="Arial" w:cs="Arial" w:eastAsia="Arial" w:hAnsi="Arial"/>
          <w:sz w:val="18"/>
          <w:szCs w:val="18"/>
          <w:b w:val="1"/>
          <w:bCs w:val="1"/>
          <w:color w:val="auto"/>
        </w:rPr>
        <w:t>CUSIP No. 57055L107</w:t>
      </w:r>
      <w:r>
        <w:rPr>
          <w:sz w:val="20"/>
          <w:szCs w:val="20"/>
          <w:color w:val="auto"/>
        </w:rPr>
        <w:tab/>
      </w:r>
      <w:r>
        <w:rPr>
          <w:rFonts w:ascii="Arial" w:cs="Arial" w:eastAsia="Arial" w:hAnsi="Arial"/>
          <w:sz w:val="18"/>
          <w:szCs w:val="18"/>
          <w:b w:val="1"/>
          <w:bCs w:val="1"/>
          <w:color w:val="auto"/>
        </w:rPr>
        <w:t>13D/A</w:t>
      </w:r>
      <w:r>
        <w:rPr>
          <w:sz w:val="20"/>
          <w:szCs w:val="20"/>
          <w:color w:val="auto"/>
        </w:rPr>
        <w:tab/>
      </w:r>
      <w:r>
        <w:rPr>
          <w:rFonts w:ascii="Arial" w:cs="Arial" w:eastAsia="Arial" w:hAnsi="Arial"/>
          <w:sz w:val="18"/>
          <w:szCs w:val="18"/>
          <w:b w:val="1"/>
          <w:bCs w:val="1"/>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A copy of the Certificate of Change filed Pursuant to NRS 78.209 reflecting the Reverse Stock Split is included as Exhibit 3.1 to the Form 8-K filed by the Issuer with the U.S. Securities and Exchange Commission on September 15, 2016 and are incorporated by reference herein.</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Copies of the form of the respective warrants, as amended, are included as Exhibits 4.6 – 4.8 and Exhibit 4.10 to the Form 8-K filed by the Issuer with the U.S. Securities and Exchange Commission on August 11, 2016 and are incorporated by reference herein.</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copy of the Warrant Amendment Agreement is included as Exhibit 10.3 to the Form 8-K filed by the Issuer with the U.S. Securities and Exchange Commission on August 11, 2016 and is incorporated by reference herein.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pacing w:after="0" w:line="9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2.1 Form of Amended Series D-1 Warrant to Purchase Common Stock (Incorporated herein by reference to Exhibit 4.7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2.2 Form of Amended Series E-1 Warrant to Purchase Common Stock (Incorporated herein by reference to Exhibit 4.8 to the Issuer’s Form 8-K filed with the U.S. Securities and Exchange Commission on August 11, 2016)</w:t>
      </w:r>
    </w:p>
    <w:p>
      <w:pPr>
        <w:spacing w:after="0" w:line="8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Exhibit 2.3 Form of Series F-1 Warrant to Purchase Common Stock (Incorporated herein by reference to Exhibit 4.10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3 – Form of Warrant Amendment Agreement (Incorporated herein by reference to Exhibit 10.3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4 – Form of Certificate of Change filed Pursuant to NRS 78.209 (Incorporated herein by reference to Exhibit 3.1 to the Issuer’s Form 8-K filed with the U.S. Securities and Exchange Commission on September 15, 2016)</w:t>
      </w:r>
    </w:p>
    <w:p>
      <w:pPr>
        <w:sectPr>
          <w:pgSz w:w="11900" w:h="16838" w:orient="portrait"/>
          <w:cols w:equalWidth="0" w:num="1">
            <w:col w:w="11420"/>
          </w:cols>
          <w:pgMar w:left="240" w:top="819" w:right="239" w:bottom="1440" w:gutter="0" w:footer="0" w:header="0"/>
        </w:sectPr>
      </w:pPr>
    </w:p>
    <w:bookmarkStart w:id="6" w:name="page7"/>
    <w:bookmarkEnd w:id="6"/>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CUSIP No. 57055L107</w:t>
            </w:r>
          </w:p>
        </w:tc>
        <w:tc>
          <w:tcPr>
            <w:tcW w:w="4860" w:type="dxa"/>
            <w:vAlign w:val="bottom"/>
            <w:tcBorders>
              <w:top w:val="single" w:sz="8" w:color="auto"/>
            </w:tcBorders>
          </w:tcPr>
          <w:p>
            <w:pPr>
              <w:ind w:left="2220"/>
              <w:spacing w:after="0" w:line="194" w:lineRule="exact"/>
              <w:rPr>
                <w:sz w:val="20"/>
                <w:szCs w:val="20"/>
                <w:color w:val="auto"/>
              </w:rPr>
            </w:pPr>
            <w:r>
              <w:rPr>
                <w:rFonts w:ascii="Arial" w:cs="Arial" w:eastAsia="Arial" w:hAnsi="Arial"/>
                <w:sz w:val="18"/>
                <w:szCs w:val="18"/>
                <w:color w:val="auto"/>
              </w:rPr>
              <w:t>13D/A</w:t>
            </w:r>
          </w:p>
        </w:tc>
        <w:tc>
          <w:tcPr>
            <w:tcW w:w="3040" w:type="dxa"/>
            <w:vAlign w:val="bottom"/>
            <w:tcBorders>
              <w:top w:val="single" w:sz="8" w:color="auto"/>
            </w:tcBorders>
          </w:tcPr>
          <w:p>
            <w:pPr>
              <w:ind w:left="2120"/>
              <w:spacing w:after="0" w:line="194" w:lineRule="exact"/>
              <w:rPr>
                <w:sz w:val="20"/>
                <w:szCs w:val="20"/>
                <w:color w:val="auto"/>
              </w:rPr>
            </w:pPr>
            <w:r>
              <w:rPr>
                <w:rFonts w:ascii="Arial" w:cs="Arial" w:eastAsia="Arial" w:hAnsi="Arial"/>
                <w:sz w:val="18"/>
                <w:szCs w:val="18"/>
                <w:color w:val="auto"/>
                <w:w w:val="97"/>
              </w:rPr>
              <w:t xml:space="preserve">Page </w:t>
            </w:r>
            <w:r>
              <w:rPr>
                <w:rFonts w:ascii="Arial" w:cs="Arial" w:eastAsia="Arial" w:hAnsi="Arial"/>
                <w:sz w:val="18"/>
                <w:szCs w:val="18"/>
                <w:b w:val="1"/>
                <w:bCs w:val="1"/>
                <w:color w:val="auto"/>
                <w:w w:val="97"/>
              </w:rPr>
              <w:t>7</w:t>
            </w:r>
            <w:r>
              <w:rPr>
                <w:rFonts w:ascii="Arial" w:cs="Arial" w:eastAsia="Arial" w:hAnsi="Arial"/>
                <w:sz w:val="18"/>
                <w:szCs w:val="18"/>
                <w:color w:val="auto"/>
                <w:w w:val="97"/>
              </w:rPr>
              <w:t xml:space="preserve"> of </w:t>
            </w:r>
            <w:r>
              <w:rPr>
                <w:rFonts w:ascii="Arial" w:cs="Arial" w:eastAsia="Arial" w:hAnsi="Arial"/>
                <w:sz w:val="18"/>
                <w:szCs w:val="18"/>
                <w:b w:val="1"/>
                <w:bCs w:val="1"/>
                <w:color w:val="auto"/>
                <w:w w:val="97"/>
              </w:rPr>
              <w:t>7</w:t>
            </w:r>
          </w:p>
        </w:tc>
      </w:tr>
      <w:tr>
        <w:trPr>
          <w:trHeight w:val="239"/>
        </w:trPr>
        <w:tc>
          <w:tcPr>
            <w:tcW w:w="3520" w:type="dxa"/>
            <w:vAlign w:val="bottom"/>
          </w:tcPr>
          <w:p>
            <w:pPr>
              <w:spacing w:after="0"/>
              <w:rPr>
                <w:sz w:val="20"/>
                <w:szCs w:val="20"/>
                <w:color w:val="auto"/>
              </w:rPr>
            </w:pPr>
          </w:p>
        </w:tc>
        <w:tc>
          <w:tcPr>
            <w:tcW w:w="4860" w:type="dxa"/>
            <w:vAlign w:val="bottom"/>
          </w:tcPr>
          <w:p>
            <w:pPr>
              <w:ind w:left="1680"/>
              <w:spacing w:after="0"/>
              <w:rPr>
                <w:sz w:val="20"/>
                <w:szCs w:val="20"/>
                <w:color w:val="auto"/>
              </w:rPr>
            </w:pPr>
            <w:r>
              <w:rPr>
                <w:rFonts w:ascii="Arial" w:cs="Arial" w:eastAsia="Arial" w:hAnsi="Arial"/>
                <w:sz w:val="18"/>
                <w:szCs w:val="18"/>
                <w:b w:val="1"/>
                <w:bCs w:val="1"/>
                <w:color w:val="auto"/>
              </w:rPr>
              <w:t>SIGNATURE</w:t>
            </w:r>
          </w:p>
        </w:tc>
        <w:tc>
          <w:tcPr>
            <w:tcW w:w="3040" w:type="dxa"/>
            <w:vAlign w:val="bottom"/>
          </w:tcPr>
          <w:p>
            <w:pPr>
              <w:spacing w:after="0"/>
              <w:rPr>
                <w:sz w:val="20"/>
                <w:szCs w:val="20"/>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02/20/2020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31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02/20/2020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31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02/20/2020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420"/>
          </w:cols>
          <w:pgMar w:left="240" w:top="1440" w:right="239" w:bottom="1440" w:gutter="0" w:footer="0" w:header="0"/>
        </w:sectPr>
      </w:pPr>
    </w:p>
    <w:bookmarkStart w:id="7" w:name="page8"/>
    <w:bookmarkEnd w:id="7"/>
    <w:p>
      <w:pPr>
        <w:spacing w:after="0"/>
        <w:tabs>
          <w:tab w:leader="none" w:pos="5900" w:val="left"/>
        </w:tabs>
        <w:rPr>
          <w:sz w:val="20"/>
          <w:szCs w:val="20"/>
          <w:color w:val="auto"/>
        </w:rPr>
      </w:pPr>
      <w:r>
        <w:rPr>
          <w:rFonts w:ascii="Arial" w:cs="Arial" w:eastAsia="Arial" w:hAnsi="Arial"/>
          <w:sz w:val="18"/>
          <w:szCs w:val="18"/>
          <w:color w:val="auto"/>
        </w:rPr>
        <w:t>CUSIP No. 57055L107</w:t>
      </w:r>
      <w:r>
        <w:rPr>
          <w:sz w:val="20"/>
          <w:szCs w:val="20"/>
          <w:color w:val="auto"/>
        </w:rPr>
        <w:tab/>
      </w:r>
      <w:r>
        <w:rPr>
          <w:rFonts w:ascii="Arial" w:cs="Arial" w:eastAsia="Arial" w:hAnsi="Arial"/>
          <w:sz w:val="17"/>
          <w:szCs w:val="17"/>
          <w:b w:val="1"/>
          <w:bCs w:val="1"/>
          <w:color w:val="auto"/>
        </w:rPr>
        <w:t>EXHIBIT 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JOINT FILING AGREEMENT</w:t>
      </w:r>
    </w:p>
    <w:p>
      <w:pPr>
        <w:spacing w:after="0" w:line="180"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Marker Therapeutics,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02/20/2020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02/20/2020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02/20/2020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360"/>
          </w:cols>
          <w:pgMar w:left="240" w:top="171" w:right="299" w:bottom="1440" w:gutter="0" w:footer="0" w:header="0"/>
        </w:sectPr>
      </w:pPr>
    </w:p>
    <w:bookmarkStart w:id="8" w:name="page9"/>
    <w:bookmarkEnd w:id="8"/>
    <w:p>
      <w:pPr>
        <w:spacing w:after="0"/>
        <w:tabs>
          <w:tab w:leader="none" w:pos="5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57055L107</w:t>
      </w:r>
      <w:r>
        <w:rPr>
          <w:sz w:val="20"/>
          <w:szCs w:val="20"/>
          <w:color w:val="auto"/>
        </w:rPr>
        <w:tab/>
      </w:r>
      <w:r>
        <w:rPr>
          <w:rFonts w:ascii="Arial" w:cs="Arial" w:eastAsia="Arial" w:hAnsi="Arial"/>
          <w:sz w:val="17"/>
          <w:szCs w:val="17"/>
          <w:b w:val="1"/>
          <w:bCs w:val="1"/>
          <w:color w:val="auto"/>
        </w:rPr>
        <w:t>Exhibit 2.1</w:t>
      </w:r>
    </w:p>
    <w:p>
      <w:pPr>
        <w:spacing w:after="0" w:line="247" w:lineRule="exact"/>
        <w:rPr>
          <w:sz w:val="20"/>
          <w:szCs w:val="20"/>
          <w:color w:val="auto"/>
        </w:rPr>
      </w:pPr>
    </w:p>
    <w:p>
      <w:pPr>
        <w:ind w:left="40" w:firstLine="60"/>
        <w:spacing w:after="0" w:line="227" w:lineRule="auto"/>
        <w:rPr>
          <w:sz w:val="20"/>
          <w:szCs w:val="20"/>
          <w:color w:val="auto"/>
        </w:rPr>
      </w:pPr>
      <w:r>
        <w:rPr>
          <w:rFonts w:ascii="Arial" w:cs="Arial" w:eastAsia="Arial" w:hAnsi="Arial"/>
          <w:sz w:val="18"/>
          <w:szCs w:val="18"/>
          <w:color w:val="auto"/>
        </w:rPr>
        <w:t>Form of Amended Series D-1 Warrant to Purchase Common Stock (Incorporated herein by reference to Exhibit 4.7 to the Issuer’s Form 8-K filed with the U.S. Securities and Exchange Commission on August 11, 2016)</w:t>
      </w:r>
    </w:p>
    <w:p>
      <w:pPr>
        <w:sectPr>
          <w:pgSz w:w="11900" w:h="16838" w:orient="portrait"/>
          <w:cols w:equalWidth="0" w:num="1">
            <w:col w:w="11420"/>
          </w:cols>
          <w:pgMar w:left="240" w:top="184" w:right="239" w:bottom="1440" w:gutter="0" w:footer="0" w:header="0"/>
        </w:sectPr>
      </w:pPr>
    </w:p>
    <w:bookmarkStart w:id="9" w:name="page10"/>
    <w:bookmarkEnd w:id="9"/>
    <w:p>
      <w:pPr>
        <w:spacing w:after="0"/>
        <w:tabs>
          <w:tab w:leader="none" w:pos="5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57055L107</w:t>
      </w:r>
      <w:r>
        <w:rPr>
          <w:sz w:val="20"/>
          <w:szCs w:val="20"/>
          <w:color w:val="auto"/>
        </w:rPr>
        <w:tab/>
      </w:r>
      <w:r>
        <w:rPr>
          <w:rFonts w:ascii="Arial" w:cs="Arial" w:eastAsia="Arial" w:hAnsi="Arial"/>
          <w:sz w:val="17"/>
          <w:szCs w:val="17"/>
          <w:b w:val="1"/>
          <w:bCs w:val="1"/>
          <w:color w:val="auto"/>
        </w:rPr>
        <w:t>Exhibit 2.2</w:t>
      </w:r>
    </w:p>
    <w:p>
      <w:pPr>
        <w:spacing w:after="0" w:line="24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Amended Series E-1 Warrant to Purchase Common Stock (Incorporated herein by reference to Exhibit 4.8 to the Issuer’s Form 8-K filed with the U.S. Securities and Exchange Commission on August 11, 2016)</w:t>
      </w:r>
    </w:p>
    <w:p>
      <w:pPr>
        <w:sectPr>
          <w:pgSz w:w="11900" w:h="16838" w:orient="portrait"/>
          <w:cols w:equalWidth="0" w:num="1">
            <w:col w:w="11100"/>
          </w:cols>
          <w:pgMar w:left="240" w:top="184" w:right="559" w:bottom="1440" w:gutter="0" w:footer="0" w:header="0"/>
        </w:sectPr>
      </w:pPr>
    </w:p>
    <w:bookmarkStart w:id="10" w:name="page11"/>
    <w:bookmarkEnd w:id="10"/>
    <w:p>
      <w:pPr>
        <w:spacing w:after="0"/>
        <w:tabs>
          <w:tab w:leader="none" w:pos="5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57055L107</w:t>
      </w:r>
      <w:r>
        <w:rPr>
          <w:sz w:val="20"/>
          <w:szCs w:val="20"/>
          <w:color w:val="auto"/>
        </w:rPr>
        <w:tab/>
      </w:r>
      <w:r>
        <w:rPr>
          <w:rFonts w:ascii="Arial" w:cs="Arial" w:eastAsia="Arial" w:hAnsi="Arial"/>
          <w:sz w:val="17"/>
          <w:szCs w:val="17"/>
          <w:b w:val="1"/>
          <w:bCs w:val="1"/>
          <w:color w:val="auto"/>
        </w:rPr>
        <w:t>Exhibit 2.3</w:t>
      </w:r>
    </w:p>
    <w:p>
      <w:pPr>
        <w:spacing w:after="0" w:line="207"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F-1 Warrant to Purchase Common Stock (Incorporated herein by reference to Exhibit 4.10 to the Issuer’s Form 8-K filed with the U.S. Securities and Exchange Commission on August 11, 2016)</w:t>
      </w:r>
    </w:p>
    <w:p>
      <w:pPr>
        <w:sectPr>
          <w:pgSz w:w="11900" w:h="16838" w:orient="portrait"/>
          <w:cols w:equalWidth="0" w:num="1">
            <w:col w:w="11420"/>
          </w:cols>
          <w:pgMar w:left="240" w:top="184" w:right="239" w:bottom="1440" w:gutter="0" w:footer="0" w:header="0"/>
        </w:sectPr>
      </w:pPr>
    </w:p>
    <w:bookmarkStart w:id="11" w:name="page12"/>
    <w:bookmarkEnd w:id="11"/>
    <w:p>
      <w:pPr>
        <w:spacing w:after="0"/>
        <w:tabs>
          <w:tab w:leader="none" w:pos="5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25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Exhibit 3</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Warrant Amendment Agreement (Incorporated herein by reference to Exhibit 10.3 to the Issuer’s Form 8-K filed with the U.S. Securities and Exchange Commission on August 11, 2016)</w:t>
      </w:r>
    </w:p>
    <w:p>
      <w:pPr>
        <w:sectPr>
          <w:pgSz w:w="11900" w:h="16838" w:orient="portrait"/>
          <w:cols w:equalWidth="0" w:num="1">
            <w:col w:w="10600"/>
          </w:cols>
          <w:pgMar w:left="240" w:top="171" w:right="1059" w:bottom="1440" w:gutter="0" w:footer="0" w:header="0"/>
        </w:sectPr>
      </w:pPr>
    </w:p>
    <w:bookmarkStart w:id="12" w:name="page13"/>
    <w:bookmarkEnd w:id="12"/>
    <w:p>
      <w:pPr>
        <w:spacing w:after="0"/>
        <w:tabs>
          <w:tab w:leader="none" w:pos="5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Exhibit 4</w:t>
      </w:r>
    </w:p>
    <w:p>
      <w:pPr>
        <w:spacing w:after="0" w:line="180"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Certificate of Change filed Pursuant to NRS 78.209 (Incorporated herein by reference to Exhibit 3.1 to the Issuer’s Form 8-K filed with the U.S. Securities and Exchange Commission on September 15, 2016)</w:t>
      </w:r>
    </w:p>
    <w:sectPr>
      <w:pgSz w:w="11900" w:h="16838" w:orient="portrait"/>
      <w:cols w:equalWidth="0" w:num="1">
        <w:col w:w="11320"/>
      </w:cols>
      <w:pgMar w:left="240" w:top="1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46E87C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decimal"/>
      <w:start w:val="10"/>
    </w:lvl>
  </w:abstractNum>
  <w:abstractNum w:abstractNumId="5">
    <w:nsid w:val="2EB141F2"/>
    <w:multiLevelType w:val="hybridMultilevel"/>
    <w:lvl w:ilvl="0">
      <w:lvlJc w:val="left"/>
      <w:lvlText w:val="%1."/>
      <w:numFmt w:val="decimal"/>
      <w:start w:val="11"/>
    </w:lvl>
    <w:lvl w:ilvl="1">
      <w:lvlJc w:val="left"/>
      <w:lvlText w:val="%2"/>
      <w:numFmt w:val="decimal"/>
      <w:start w:val="1"/>
    </w:lvl>
  </w:abstractNum>
  <w:abstractNum w:abstractNumId="6">
    <w:nsid w:val="41B71EF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2020-02-20T15:38:59Z</dcterms:created>
  <dcterms:modified xsi:type="dcterms:W3CDTF">2020-02-20T15:38:59Z</dcterms:modified>
</cp:coreProperties>
</file>