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143510</wp:posOffset>
            </wp:positionH>
            <wp:positionV relativeFrom="page">
              <wp:posOffset>366395</wp:posOffset>
            </wp:positionV>
            <wp:extent cx="727456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4560" cy="34290"/>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FORM 8-K</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CURRENT REPORT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 of the Securities Exchange Act of 1934</w:t>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October 30, 2014</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Date of Report</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TAPIMMUNE INC.</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pacing w:after="0" w:line="186" w:lineRule="exact"/>
        <w:rPr>
          <w:sz w:val="24"/>
          <w:szCs w:val="24"/>
          <w:color w:val="auto"/>
        </w:rPr>
      </w:pPr>
    </w:p>
    <w:tbl>
      <w:tblPr>
        <w:tblLayout w:type="fixed"/>
        <w:tblInd w:w="500" w:type="dxa"/>
        <w:tblCellMar>
          <w:top w:w="0" w:type="dxa"/>
          <w:left w:w="0" w:type="dxa"/>
          <w:bottom w:w="0" w:type="dxa"/>
          <w:right w:w="0" w:type="dxa"/>
        </w:tblCellMar>
      </w:tblPr>
      <w:tr>
        <w:trPr>
          <w:trHeight w:val="172"/>
        </w:trPr>
        <w:tc>
          <w:tcPr>
            <w:tcW w:w="138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Nevada</w:t>
            </w:r>
          </w:p>
        </w:tc>
        <w:tc>
          <w:tcPr>
            <w:tcW w:w="1580" w:type="dxa"/>
            <w:vAlign w:val="bottom"/>
            <w:gridSpan w:val="2"/>
          </w:tcPr>
          <w:p>
            <w:pPr>
              <w:spacing w:after="0"/>
              <w:rPr>
                <w:sz w:val="15"/>
                <w:szCs w:val="15"/>
                <w:color w:val="auto"/>
              </w:rPr>
            </w:pPr>
          </w:p>
        </w:tc>
        <w:tc>
          <w:tcPr>
            <w:tcW w:w="1440" w:type="dxa"/>
            <w:vAlign w:val="bottom"/>
            <w:gridSpan w:val="2"/>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98"/>
              </w:rPr>
              <w:t>000-27239</w:t>
            </w: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0" w:type="dxa"/>
            <w:vAlign w:val="bottom"/>
            <w:gridSpan w:val="4"/>
          </w:tcPr>
          <w:p>
            <w:pPr>
              <w:jc w:val="right"/>
              <w:ind w:right="680"/>
              <w:spacing w:after="0"/>
              <w:rPr>
                <w:sz w:val="20"/>
                <w:szCs w:val="20"/>
                <w:color w:val="auto"/>
              </w:rPr>
            </w:pPr>
            <w:r>
              <w:rPr>
                <w:rFonts w:ascii="Times New Roman" w:cs="Times New Roman" w:eastAsia="Times New Roman" w:hAnsi="Times New Roman"/>
                <w:sz w:val="15"/>
                <w:szCs w:val="15"/>
                <w:b w:val="1"/>
                <w:bCs w:val="1"/>
                <w:color w:val="auto"/>
                <w:w w:val="96"/>
              </w:rPr>
              <w:t>88-0277072</w:t>
            </w:r>
          </w:p>
        </w:tc>
      </w:tr>
      <w:tr>
        <w:trPr>
          <w:trHeight w:val="20"/>
        </w:trPr>
        <w:tc>
          <w:tcPr>
            <w:tcW w:w="1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3440" w:type="dxa"/>
            <w:vAlign w:val="bottom"/>
            <w:gridSpan w:val="4"/>
          </w:tcPr>
          <w:p>
            <w:pPr>
              <w:jc w:val="center"/>
              <w:ind w:right="200"/>
              <w:spacing w:after="0"/>
              <w:rPr>
                <w:sz w:val="20"/>
                <w:szCs w:val="20"/>
                <w:color w:val="auto"/>
              </w:rPr>
            </w:pPr>
            <w:r>
              <w:rPr>
                <w:rFonts w:ascii="Times New Roman" w:cs="Times New Roman" w:eastAsia="Times New Roman" w:hAnsi="Times New Roman"/>
                <w:sz w:val="15"/>
                <w:szCs w:val="15"/>
                <w:color w:val="auto"/>
              </w:rPr>
              <w:t>(State or other jurisdiction of incorporation)</w:t>
            </w:r>
          </w:p>
        </w:tc>
        <w:tc>
          <w:tcPr>
            <w:tcW w:w="3820" w:type="dxa"/>
            <w:vAlign w:val="bottom"/>
            <w:gridSpan w:val="5"/>
          </w:tcPr>
          <w:p>
            <w:pPr>
              <w:jc w:val="center"/>
              <w:ind w:right="280"/>
              <w:spacing w:after="0"/>
              <w:rPr>
                <w:sz w:val="20"/>
                <w:szCs w:val="20"/>
                <w:color w:val="auto"/>
              </w:rPr>
            </w:pPr>
            <w:r>
              <w:rPr>
                <w:rFonts w:ascii="Times New Roman" w:cs="Times New Roman" w:eastAsia="Times New Roman" w:hAnsi="Times New Roman"/>
                <w:sz w:val="15"/>
                <w:szCs w:val="15"/>
                <w:color w:val="auto"/>
              </w:rPr>
              <w:t>(Commission File Number)</w:t>
            </w:r>
          </w:p>
        </w:tc>
        <w:tc>
          <w:tcPr>
            <w:tcW w:w="2580" w:type="dxa"/>
            <w:vAlign w:val="bottom"/>
            <w:gridSpan w:val="5"/>
          </w:tcPr>
          <w:p>
            <w:pPr>
              <w:jc w:val="center"/>
              <w:ind w:left="425"/>
              <w:spacing w:after="0"/>
              <w:rPr>
                <w:sz w:val="20"/>
                <w:szCs w:val="20"/>
                <w:color w:val="auto"/>
              </w:rPr>
            </w:pPr>
            <w:r>
              <w:rPr>
                <w:rFonts w:ascii="Times New Roman" w:cs="Times New Roman" w:eastAsia="Times New Roman" w:hAnsi="Times New Roman"/>
                <w:sz w:val="15"/>
                <w:szCs w:val="15"/>
                <w:color w:val="auto"/>
              </w:rPr>
              <w:t>(IRS Employer Identification No.)</w:t>
            </w:r>
          </w:p>
        </w:tc>
      </w:tr>
      <w:tr>
        <w:trPr>
          <w:trHeight w:val="350"/>
        </w:trPr>
        <w:tc>
          <w:tcPr>
            <w:tcW w:w="3440" w:type="dxa"/>
            <w:vAlign w:val="bottom"/>
            <w:gridSpan w:val="4"/>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1551 Eastlake Avenue East, Suite 100, Seattle, WA</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00" w:type="dxa"/>
            <w:vAlign w:val="bottom"/>
            <w:gridSpan w:val="4"/>
          </w:tcPr>
          <w:p>
            <w:pPr>
              <w:jc w:val="right"/>
              <w:ind w:right="160"/>
              <w:spacing w:after="0"/>
              <w:rPr>
                <w:sz w:val="20"/>
                <w:szCs w:val="20"/>
                <w:color w:val="auto"/>
              </w:rPr>
            </w:pPr>
            <w:r>
              <w:rPr>
                <w:rFonts w:ascii="Times New Roman" w:cs="Times New Roman" w:eastAsia="Times New Roman" w:hAnsi="Times New Roman"/>
                <w:sz w:val="15"/>
                <w:szCs w:val="15"/>
                <w:b w:val="1"/>
                <w:bCs w:val="1"/>
                <w:color w:val="auto"/>
              </w:rPr>
              <w:t>98102</w:t>
            </w:r>
          </w:p>
        </w:tc>
        <w:tc>
          <w:tcPr>
            <w:tcW w:w="680" w:type="dxa"/>
            <w:vAlign w:val="bottom"/>
          </w:tcPr>
          <w:p>
            <w:pPr>
              <w:spacing w:after="0"/>
              <w:rPr>
                <w:sz w:val="24"/>
                <w:szCs w:val="24"/>
                <w:color w:val="auto"/>
              </w:rPr>
            </w:pPr>
          </w:p>
        </w:tc>
      </w:tr>
      <w:tr>
        <w:trPr>
          <w:trHeight w:val="20"/>
        </w:trPr>
        <w:tc>
          <w:tcPr>
            <w:tcW w:w="322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196"/>
        </w:trPr>
        <w:tc>
          <w:tcPr>
            <w:tcW w:w="322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(Address of principal executive offices)</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0" w:type="dxa"/>
            <w:vAlign w:val="bottom"/>
            <w:gridSpan w:val="4"/>
          </w:tcPr>
          <w:p>
            <w:pPr>
              <w:jc w:val="center"/>
              <w:ind w:right="660"/>
              <w:spacing w:after="0"/>
              <w:rPr>
                <w:sz w:val="20"/>
                <w:szCs w:val="20"/>
                <w:color w:val="auto"/>
              </w:rPr>
            </w:pPr>
            <w:r>
              <w:rPr>
                <w:rFonts w:ascii="Times New Roman" w:cs="Times New Roman" w:eastAsia="Times New Roman" w:hAnsi="Times New Roman"/>
                <w:sz w:val="15"/>
                <w:szCs w:val="15"/>
                <w:color w:val="auto"/>
                <w:w w:val="99"/>
              </w:rPr>
              <w:t>(Zip Code)</w:t>
            </w:r>
          </w:p>
        </w:tc>
      </w:tr>
      <w:tr>
        <w:trPr>
          <w:trHeight w:val="350"/>
        </w:trPr>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w w:val="98"/>
              </w:rPr>
              <w:t>(206) 504-7278</w:t>
            </w:r>
          </w:p>
        </w:tc>
        <w:tc>
          <w:tcPr>
            <w:tcW w:w="1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gridSpan w:val="5"/>
          </w:tcPr>
          <w:p>
            <w:pPr>
              <w:jc w:val="center"/>
              <w:ind w:right="280"/>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r>
    </w:tbl>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N/A</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(Former name or former address, if changed since last report)</w:t>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Check the appropriate box below if the Form 8-K is intended to simultaneously satisfy the filing obligation of the registrant under any of the following provisions:</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140" w:type="dxa"/>
            <w:vAlign w:val="bottom"/>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660" w:type="dxa"/>
            <w:vAlign w:val="bottom"/>
          </w:tcPr>
          <w:p>
            <w:pPr>
              <w:jc w:val="right"/>
              <w:ind w:right="445"/>
              <w:spacing w:after="0"/>
              <w:rPr>
                <w:sz w:val="20"/>
                <w:szCs w:val="20"/>
                <w:color w:val="auto"/>
              </w:rPr>
            </w:pPr>
            <w:r>
              <w:rPr>
                <w:rFonts w:ascii="Times New Roman" w:cs="Times New Roman" w:eastAsia="Times New Roman" w:hAnsi="Times New Roman"/>
                <w:sz w:val="15"/>
                <w:szCs w:val="15"/>
                <w:color w:val="auto"/>
              </w:rPr>
              <w:t>]</w:t>
            </w:r>
          </w:p>
        </w:tc>
        <w:tc>
          <w:tcPr>
            <w:tcW w:w="106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Written communications pursuant to Rule 425 under the Securities Act (17 CFR 230.425)</w:t>
            </w:r>
          </w:p>
        </w:tc>
      </w:tr>
      <w:tr>
        <w:trPr>
          <w:trHeight w:val="181"/>
        </w:trPr>
        <w:tc>
          <w:tcPr>
            <w:tcW w:w="140" w:type="dxa"/>
            <w:vAlign w:val="bottom"/>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660" w:type="dxa"/>
            <w:vAlign w:val="bottom"/>
          </w:tcPr>
          <w:p>
            <w:pPr>
              <w:jc w:val="right"/>
              <w:ind w:right="445"/>
              <w:spacing w:after="0"/>
              <w:rPr>
                <w:sz w:val="20"/>
                <w:szCs w:val="20"/>
                <w:color w:val="auto"/>
              </w:rPr>
            </w:pPr>
            <w:r>
              <w:rPr>
                <w:rFonts w:ascii="Times New Roman" w:cs="Times New Roman" w:eastAsia="Times New Roman" w:hAnsi="Times New Roman"/>
                <w:sz w:val="15"/>
                <w:szCs w:val="15"/>
                <w:color w:val="auto"/>
              </w:rPr>
              <w:t>]</w:t>
            </w:r>
          </w:p>
        </w:tc>
        <w:tc>
          <w:tcPr>
            <w:tcW w:w="106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Soliciting material pursuant to Rule 14a-12 under the Exchange Act (17 CFR 240.14a-12)</w:t>
            </w:r>
          </w:p>
        </w:tc>
      </w:tr>
      <w:tr>
        <w:trPr>
          <w:trHeight w:val="181"/>
        </w:trPr>
        <w:tc>
          <w:tcPr>
            <w:tcW w:w="140" w:type="dxa"/>
            <w:vAlign w:val="bottom"/>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660" w:type="dxa"/>
            <w:vAlign w:val="bottom"/>
          </w:tcPr>
          <w:p>
            <w:pPr>
              <w:jc w:val="right"/>
              <w:ind w:right="445"/>
              <w:spacing w:after="0"/>
              <w:rPr>
                <w:sz w:val="20"/>
                <w:szCs w:val="20"/>
                <w:color w:val="auto"/>
              </w:rPr>
            </w:pPr>
            <w:r>
              <w:rPr>
                <w:rFonts w:ascii="Times New Roman" w:cs="Times New Roman" w:eastAsia="Times New Roman" w:hAnsi="Times New Roman"/>
                <w:sz w:val="15"/>
                <w:szCs w:val="15"/>
                <w:color w:val="auto"/>
              </w:rPr>
              <w:t>]</w:t>
            </w:r>
          </w:p>
        </w:tc>
        <w:tc>
          <w:tcPr>
            <w:tcW w:w="106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tc>
      </w:tr>
      <w:tr>
        <w:trPr>
          <w:trHeight w:val="196"/>
        </w:trPr>
        <w:tc>
          <w:tcPr>
            <w:tcW w:w="140" w:type="dxa"/>
            <w:vAlign w:val="bottom"/>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660" w:type="dxa"/>
            <w:vAlign w:val="bottom"/>
          </w:tcPr>
          <w:p>
            <w:pPr>
              <w:jc w:val="right"/>
              <w:ind w:right="445"/>
              <w:spacing w:after="0"/>
              <w:rPr>
                <w:sz w:val="20"/>
                <w:szCs w:val="20"/>
                <w:color w:val="auto"/>
              </w:rPr>
            </w:pPr>
            <w:r>
              <w:rPr>
                <w:rFonts w:ascii="Times New Roman" w:cs="Times New Roman" w:eastAsia="Times New Roman" w:hAnsi="Times New Roman"/>
                <w:sz w:val="15"/>
                <w:szCs w:val="15"/>
                <w:color w:val="auto"/>
              </w:rPr>
              <w:t>]</w:t>
            </w:r>
          </w:p>
        </w:tc>
        <w:tc>
          <w:tcPr>
            <w:tcW w:w="106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tc>
      </w:tr>
      <w:tr>
        <w:trPr>
          <w:trHeight w:val="753"/>
        </w:trPr>
        <w:tc>
          <w:tcPr>
            <w:tcW w:w="1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6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094" w:right="219" w:bottom="1440" w:gutter="0" w:footer="0" w:header="0"/>
        </w:sectPr>
      </w:pPr>
    </w:p>
    <w:bookmarkStart w:id="1" w:name="page2"/>
    <w:bookmarkEnd w:id="1"/>
    <w:p>
      <w:pPr>
        <w:ind w:left="10"/>
        <w:spacing w:after="0"/>
        <w:tabs>
          <w:tab w:leader="none" w:pos="1509" w:val="left"/>
        </w:tabs>
        <w:rPr>
          <w:sz w:val="20"/>
          <w:szCs w:val="20"/>
          <w:color w:val="auto"/>
        </w:rPr>
      </w:pPr>
      <w:r>
        <w:rPr>
          <w:rFonts w:ascii="Times New Roman" w:cs="Times New Roman" w:eastAsia="Times New Roman" w:hAnsi="Times New Roman"/>
          <w:sz w:val="15"/>
          <w:szCs w:val="15"/>
          <w:b w:val="1"/>
          <w:bCs w:val="1"/>
          <w:color w:val="auto"/>
        </w:rPr>
        <w:t>ITEM 4.01</w:t>
      </w:r>
      <w:r>
        <w:rPr>
          <w:sz w:val="20"/>
          <w:szCs w:val="20"/>
          <w:color w:val="auto"/>
        </w:rPr>
        <w:tab/>
      </w:r>
      <w:r>
        <w:rPr>
          <w:rFonts w:ascii="Times New Roman" w:cs="Times New Roman" w:eastAsia="Times New Roman" w:hAnsi="Times New Roman"/>
          <w:sz w:val="15"/>
          <w:szCs w:val="15"/>
          <w:b w:val="1"/>
          <w:bCs w:val="1"/>
          <w:color w:val="auto"/>
        </w:rPr>
        <w:t>CHANGES IN REGISTRANT'S CERTIFYING ACCOUNTANT</w:t>
      </w:r>
    </w:p>
    <w:p>
      <w:pPr>
        <w:spacing w:after="0" w:line="216" w:lineRule="exact"/>
        <w:rPr>
          <w:sz w:val="20"/>
          <w:szCs w:val="20"/>
          <w:color w:val="auto"/>
        </w:rPr>
      </w:pPr>
    </w:p>
    <w:p>
      <w:pPr>
        <w:ind w:left="530" w:hanging="530"/>
        <w:spacing w:after="0"/>
        <w:tabs>
          <w:tab w:leader="none" w:pos="530" w:val="left"/>
        </w:tabs>
        <w:numPr>
          <w:ilvl w:val="0"/>
          <w:numId w:val="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Previous Independent Accountant</w:t>
      </w:r>
    </w:p>
    <w:p>
      <w:pPr>
        <w:spacing w:after="0" w:line="212" w:lineRule="exact"/>
        <w:rPr>
          <w:sz w:val="20"/>
          <w:szCs w:val="20"/>
          <w:color w:val="auto"/>
        </w:rPr>
      </w:pPr>
    </w:p>
    <w:p>
      <w:pPr>
        <w:jc w:val="both"/>
        <w:ind w:left="10"/>
        <w:spacing w:after="0" w:line="257" w:lineRule="auto"/>
        <w:rPr>
          <w:sz w:val="20"/>
          <w:szCs w:val="20"/>
          <w:color w:val="auto"/>
        </w:rPr>
      </w:pPr>
      <w:r>
        <w:rPr>
          <w:rFonts w:ascii="Times New Roman" w:cs="Times New Roman" w:eastAsia="Times New Roman" w:hAnsi="Times New Roman"/>
          <w:sz w:val="15"/>
          <w:szCs w:val="15"/>
          <w:color w:val="auto"/>
        </w:rPr>
        <w:t>On October 30, 2014, Dale Matheson Carr-Hilton LaBonte LLP (“DMCL”), 1500-1140 West Pender Street Vancouver BC Canada, was dismissed as the principal independent registered public accounting firm for TapImmune Inc. (the “Company”). The Audit Reports of DMCL, dated April 14, 2014 and May 15, 2013, on the Company’s financial statements for the past two fiscal years did not contain any adverse opinion or disclaimer of opinion, and were not qualified or modified as to uncertainty, audit scope, or accounting principles, except that the report dated April 14, 2014 for the fiscal year ended December 31, 2013, and the report dated May 15, 2013 for the fiscal year ended December 31, 2012, contained statements indicating there is substantial doubt about the Company’s ability to continue as a going-concern. During the Company’s two most recent fiscal years and any subsequent interim period up to and including the date of DMCL’s dismissal, there have been no disagreements with DMCL on any matter of accounting principles or practices, financial statement disclosure, or auditing scope or procedure, which, if not resolved to the satisfaction of DMCL, would have caused them to make reference thereto in their report on the financial statements for such periods.</w:t>
      </w:r>
    </w:p>
    <w:p>
      <w:pPr>
        <w:spacing w:after="0" w:line="177" w:lineRule="exact"/>
        <w:rPr>
          <w:sz w:val="20"/>
          <w:szCs w:val="20"/>
          <w:color w:val="auto"/>
        </w:rPr>
      </w:pPr>
    </w:p>
    <w:p>
      <w:pPr>
        <w:jc w:val="both"/>
        <w:ind w:left="10" w:right="20"/>
        <w:spacing w:after="0" w:line="284" w:lineRule="auto"/>
        <w:rPr>
          <w:sz w:val="20"/>
          <w:szCs w:val="20"/>
          <w:color w:val="auto"/>
        </w:rPr>
      </w:pPr>
      <w:r>
        <w:rPr>
          <w:rFonts w:ascii="Times New Roman" w:cs="Times New Roman" w:eastAsia="Times New Roman" w:hAnsi="Times New Roman"/>
          <w:sz w:val="15"/>
          <w:szCs w:val="15"/>
          <w:color w:val="auto"/>
        </w:rPr>
        <w:t>On October 31, 2014, the Company provided a draft copy of this report on Form 8-K to DMCL, requesting their comments on the information contained herein. The responsive letter from DMCL is herewith filed as an exhibit to this current report on Form 8-K.</w:t>
      </w:r>
    </w:p>
    <w:p>
      <w:pPr>
        <w:spacing w:after="0" w:line="157" w:lineRule="exact"/>
        <w:rPr>
          <w:sz w:val="20"/>
          <w:szCs w:val="20"/>
          <w:color w:val="auto"/>
        </w:rPr>
      </w:pPr>
    </w:p>
    <w:p>
      <w:pPr>
        <w:ind w:left="550" w:hanging="550"/>
        <w:spacing w:after="0"/>
        <w:tabs>
          <w:tab w:leader="none" w:pos="55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New Independent Accountant</w:t>
      </w:r>
    </w:p>
    <w:p>
      <w:pPr>
        <w:spacing w:after="0" w:line="212"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15"/>
          <w:szCs w:val="15"/>
          <w:color w:val="auto"/>
        </w:rPr>
        <w:t>On October 31, 2014, the Board of Directors of the Company appointed the firm of Marcum LLP, 750 Third Avenue, New York, NY 10017, as the principal independent registered public accounting firm of the Company for the fiscal year ending December 31, 2014. During the two most recent fiscal years or subsequent interim period, neither the Company, nor anyone on its behalf, consulted with Marcum LLP regarding the application of accounting principles to a specific transaction, either completed or proposed, or the type of audit opinion that might be rendered on the Company's financial statements, nor did the entity of Marcum LLP, provide advice to the Company, either written or oral, that was an important factor considered by the Company in reaching a decision as to the accounting, auditing or financial reporting issue. Further, during the Company's two most recent fiscal years or subsequent interim period, the Company has not consulted the entity of Marcum LLP, on any matter that was the subject of a disagreement or a reportable event.</w:t>
      </w:r>
    </w:p>
    <w:p>
      <w:pPr>
        <w:spacing w:after="0" w:line="1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Item 9.01 Financial Statements and Exhibits.</w:t>
      </w:r>
    </w:p>
    <w:p>
      <w:pPr>
        <w:spacing w:after="0" w:line="193" w:lineRule="exact"/>
        <w:rPr>
          <w:sz w:val="20"/>
          <w:szCs w:val="20"/>
          <w:color w:val="auto"/>
        </w:rPr>
      </w:pPr>
    </w:p>
    <w:p>
      <w:pPr>
        <w:ind w:left="1130" w:hanging="587"/>
        <w:spacing w:after="0"/>
        <w:tabs>
          <w:tab w:leader="none" w:pos="113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Exhibits.</w:t>
      </w:r>
    </w:p>
    <w:p>
      <w:pPr>
        <w:spacing w:after="0" w:line="185"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300" w:type="dxa"/>
            <w:vAlign w:val="bottom"/>
          </w:tcPr>
          <w:p>
            <w:pPr>
              <w:ind w:left="4000"/>
              <w:spacing w:after="0"/>
              <w:rPr>
                <w:sz w:val="20"/>
                <w:szCs w:val="20"/>
                <w:color w:val="auto"/>
              </w:rPr>
            </w:pPr>
            <w:r>
              <w:rPr>
                <w:rFonts w:ascii="Times New Roman" w:cs="Times New Roman" w:eastAsia="Times New Roman" w:hAnsi="Times New Roman"/>
                <w:sz w:val="15"/>
                <w:szCs w:val="15"/>
                <w:b w:val="1"/>
                <w:bCs w:val="1"/>
                <w:color w:val="auto"/>
              </w:rPr>
              <w:t>EXHIBIT INDEX</w:t>
            </w:r>
          </w:p>
        </w:tc>
      </w:tr>
      <w:tr>
        <w:trPr>
          <w:trHeight w:val="364"/>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280" w:type="dxa"/>
            <w:vAlign w:val="bottom"/>
          </w:tcPr>
          <w:p>
            <w:pPr>
              <w:spacing w:after="0"/>
              <w:rPr>
                <w:sz w:val="24"/>
                <w:szCs w:val="24"/>
                <w:color w:val="auto"/>
              </w:rPr>
            </w:pPr>
          </w:p>
        </w:tc>
        <w:tc>
          <w:tcPr>
            <w:tcW w:w="10300" w:type="dxa"/>
            <w:vAlign w:val="bottom"/>
            <w:tcBorders>
              <w:bottom w:val="single" w:sz="8" w:color="auto"/>
            </w:tcBorders>
          </w:tcPr>
          <w:p>
            <w:pPr>
              <w:ind w:left="4780"/>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363"/>
        </w:trPr>
        <w:tc>
          <w:tcPr>
            <w:tcW w:w="860" w:type="dxa"/>
            <w:vAlign w:val="bottom"/>
          </w:tcPr>
          <w:p>
            <w:pPr>
              <w:spacing w:after="0"/>
              <w:rPr>
                <w:sz w:val="20"/>
                <w:szCs w:val="20"/>
                <w:color w:val="auto"/>
              </w:rPr>
            </w:pPr>
            <w:r>
              <w:rPr>
                <w:rFonts w:ascii="Times New Roman" w:cs="Times New Roman" w:eastAsia="Times New Roman" w:hAnsi="Times New Roman"/>
                <w:sz w:val="15"/>
                <w:szCs w:val="15"/>
                <w:color w:val="auto"/>
              </w:rPr>
              <w:t>16.1</w:t>
            </w:r>
          </w:p>
        </w:tc>
        <w:tc>
          <w:tcPr>
            <w:tcW w:w="1058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Responsive Letter from Dale Matheson Carr-Hilton LaBonte LLP</w:t>
            </w:r>
          </w:p>
        </w:tc>
      </w:tr>
      <w:tr>
        <w:trPr>
          <w:trHeight w:val="753"/>
        </w:trPr>
        <w:tc>
          <w:tcPr>
            <w:tcW w:w="8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-12700</wp:posOffset>
            </wp:positionV>
            <wp:extent cx="1270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-12700</wp:posOffset>
            </wp:positionV>
            <wp:extent cx="1270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50"/>
          </w:cols>
          <w:pgMar w:left="230" w:top="449" w:right="2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7600" w:type="dxa"/>
            <w:vAlign w:val="bottom"/>
          </w:tcPr>
          <w:p>
            <w:pPr>
              <w:ind w:left="1880"/>
              <w:spacing w:after="0"/>
              <w:rPr>
                <w:sz w:val="20"/>
                <w:szCs w:val="20"/>
                <w:color w:val="auto"/>
              </w:rPr>
            </w:pPr>
            <w:r>
              <w:rPr>
                <w:rFonts w:ascii="Times New Roman" w:cs="Times New Roman" w:eastAsia="Times New Roman" w:hAnsi="Times New Roman"/>
                <w:sz w:val="15"/>
                <w:szCs w:val="15"/>
                <w:b w:val="1"/>
                <w:bCs w:val="1"/>
                <w:color w:val="auto"/>
              </w:rPr>
              <w:t>TAPIMMUNE INC.</w:t>
            </w:r>
          </w:p>
        </w:tc>
      </w:tr>
      <w:tr>
        <w:trPr>
          <w:trHeight w:val="347"/>
        </w:trPr>
        <w:tc>
          <w:tcPr>
            <w:tcW w:w="5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Date:</w:t>
            </w:r>
          </w:p>
        </w:tc>
        <w:tc>
          <w:tcPr>
            <w:tcW w:w="3300" w:type="dxa"/>
            <w:vAlign w:val="bottom"/>
          </w:tcPr>
          <w:p>
            <w:pPr>
              <w:ind w:left="180"/>
              <w:spacing w:after="0"/>
              <w:rPr>
                <w:sz w:val="20"/>
                <w:szCs w:val="20"/>
                <w:color w:val="auto"/>
              </w:rPr>
            </w:pPr>
            <w:r>
              <w:rPr>
                <w:rFonts w:ascii="Times New Roman" w:cs="Times New Roman" w:eastAsia="Times New Roman" w:hAnsi="Times New Roman"/>
                <w:sz w:val="15"/>
                <w:szCs w:val="15"/>
                <w:b w:val="1"/>
                <w:bCs w:val="1"/>
                <w:color w:val="auto"/>
              </w:rPr>
              <w:t>November 10, 2014</w:t>
            </w:r>
          </w:p>
        </w:tc>
        <w:tc>
          <w:tcPr>
            <w:tcW w:w="7600" w:type="dxa"/>
            <w:vAlign w:val="bottom"/>
          </w:tcPr>
          <w:p>
            <w:pPr>
              <w:ind w:left="1880"/>
              <w:spacing w:after="0"/>
              <w:rPr>
                <w:sz w:val="20"/>
                <w:szCs w:val="20"/>
                <w:color w:val="auto"/>
              </w:rPr>
            </w:pPr>
            <w:r>
              <w:rPr>
                <w:rFonts w:ascii="Times New Roman" w:cs="Times New Roman" w:eastAsia="Times New Roman" w:hAnsi="Times New Roman"/>
                <w:sz w:val="15"/>
                <w:szCs w:val="15"/>
                <w:color w:val="auto"/>
              </w:rPr>
              <w:t>By: /s/ Glynn Wilson</w:t>
            </w:r>
          </w:p>
        </w:tc>
      </w:tr>
      <w:tr>
        <w:trPr>
          <w:trHeight w:val="181"/>
        </w:trPr>
        <w:tc>
          <w:tcPr>
            <w:tcW w:w="5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7600" w:type="dxa"/>
            <w:vAlign w:val="bottom"/>
          </w:tcPr>
          <w:p>
            <w:pPr>
              <w:ind w:left="1880"/>
              <w:spacing w:after="0"/>
              <w:rPr>
                <w:sz w:val="20"/>
                <w:szCs w:val="20"/>
                <w:color w:val="auto"/>
              </w:rPr>
            </w:pPr>
            <w:r>
              <w:rPr>
                <w:rFonts w:ascii="Times New Roman" w:cs="Times New Roman" w:eastAsia="Times New Roman" w:hAnsi="Times New Roman"/>
                <w:sz w:val="15"/>
                <w:szCs w:val="15"/>
                <w:color w:val="auto"/>
              </w:rPr>
              <w:t>Name: Glynn Wilson</w:t>
            </w:r>
          </w:p>
        </w:tc>
      </w:tr>
      <w:tr>
        <w:trPr>
          <w:trHeight w:val="196"/>
        </w:trPr>
        <w:tc>
          <w:tcPr>
            <w:tcW w:w="56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7600" w:type="dxa"/>
            <w:vAlign w:val="bottom"/>
          </w:tcPr>
          <w:p>
            <w:pPr>
              <w:ind w:left="1880"/>
              <w:spacing w:after="0"/>
              <w:rPr>
                <w:sz w:val="20"/>
                <w:szCs w:val="20"/>
                <w:color w:val="auto"/>
              </w:rPr>
            </w:pPr>
            <w:r>
              <w:rPr>
                <w:rFonts w:ascii="Times New Roman" w:cs="Times New Roman" w:eastAsia="Times New Roman" w:hAnsi="Times New Roman"/>
                <w:sz w:val="15"/>
                <w:szCs w:val="15"/>
                <w:color w:val="auto"/>
              </w:rPr>
              <w:t>Title: Chairman and CEO</w:t>
            </w:r>
          </w:p>
        </w:tc>
      </w:tr>
      <w:tr>
        <w:trPr>
          <w:trHeight w:val="481"/>
        </w:trPr>
        <w:tc>
          <w:tcPr>
            <w:tcW w:w="5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7600" w:type="dxa"/>
            <w:vAlign w:val="bottom"/>
          </w:tcPr>
          <w:p>
            <w:pPr>
              <w:spacing w:after="0"/>
              <w:rPr>
                <w:sz w:val="24"/>
                <w:szCs w:val="24"/>
                <w:color w:val="auto"/>
              </w:rPr>
            </w:pPr>
          </w:p>
        </w:tc>
      </w:tr>
      <w:tr>
        <w:trPr>
          <w:trHeight w:val="61"/>
        </w:trPr>
        <w:tc>
          <w:tcPr>
            <w:tcW w:w="560" w:type="dxa"/>
            <w:vAlign w:val="bottom"/>
            <w:shd w:val="clear" w:color="auto" w:fill="808080"/>
          </w:tcPr>
          <w:p>
            <w:pPr>
              <w:spacing w:after="0"/>
              <w:rPr>
                <w:sz w:val="5"/>
                <w:szCs w:val="5"/>
                <w:color w:val="auto"/>
              </w:rPr>
            </w:pPr>
          </w:p>
        </w:tc>
        <w:tc>
          <w:tcPr>
            <w:tcW w:w="3300" w:type="dxa"/>
            <w:vAlign w:val="bottom"/>
            <w:shd w:val="clear" w:color="auto" w:fill="808080"/>
          </w:tcPr>
          <w:p>
            <w:pPr>
              <w:spacing w:after="0"/>
              <w:rPr>
                <w:sz w:val="5"/>
                <w:szCs w:val="5"/>
                <w:color w:val="auto"/>
              </w:rPr>
            </w:pPr>
          </w:p>
        </w:tc>
        <w:tc>
          <w:tcPr>
            <w:tcW w:w="76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20" w:top="449" w:right="2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308610</wp:posOffset>
            </wp:positionV>
            <wp:extent cx="727456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4560" cy="34290"/>
                    </a:xfrm>
                    <a:prstGeom prst="rect">
                      <a:avLst/>
                    </a:prstGeom>
                    <a:noFill/>
                  </pic:spPr>
                </pic:pic>
              </a:graphicData>
            </a:graphic>
          </wp:anchor>
        </w:drawing>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144145</wp:posOffset>
            </wp:positionV>
            <wp:extent cx="7321550" cy="1724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21550" cy="172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November 3, 2014</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U.S. Securities and Exchange Commission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450 Fifth Street, N.W.</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Washington, DC 20549</w:t>
      </w:r>
    </w:p>
    <w:p>
      <w:pPr>
        <w:sectPr>
          <w:pgSz w:w="11900" w:h="16838" w:orient="portrait"/>
          <w:cols w:equalWidth="0" w:num="1">
            <w:col w:w="11440"/>
          </w:cols>
          <w:pgMar w:left="240" w:top="588" w:right="219" w:bottom="1440" w:gutter="0" w:footer="0" w:header="0"/>
        </w:sectPr>
      </w:pP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File No.:</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right"/>
        <w:ind w:right="9400"/>
        <w:spacing w:after="0"/>
        <w:rPr>
          <w:sz w:val="20"/>
          <w:szCs w:val="20"/>
          <w:color w:val="auto"/>
        </w:rPr>
      </w:pPr>
      <w:r>
        <w:rPr>
          <w:rFonts w:ascii="Times New Roman" w:cs="Times New Roman" w:eastAsia="Times New Roman" w:hAnsi="Times New Roman"/>
          <w:sz w:val="14"/>
          <w:szCs w:val="14"/>
          <w:color w:val="auto"/>
        </w:rPr>
        <w:t>TapImmune Inc.</w:t>
      </w:r>
    </w:p>
    <w:p>
      <w:pPr>
        <w:spacing w:after="0" w:line="35" w:lineRule="exact"/>
        <w:rPr>
          <w:sz w:val="20"/>
          <w:szCs w:val="20"/>
          <w:color w:val="auto"/>
        </w:rPr>
      </w:pPr>
    </w:p>
    <w:p>
      <w:pPr>
        <w:jc w:val="right"/>
        <w:ind w:right="9440"/>
        <w:spacing w:after="0"/>
        <w:rPr>
          <w:sz w:val="20"/>
          <w:szCs w:val="20"/>
          <w:color w:val="auto"/>
        </w:rPr>
      </w:pPr>
      <w:r>
        <w:rPr>
          <w:rFonts w:ascii="Times New Roman" w:cs="Times New Roman" w:eastAsia="Times New Roman" w:hAnsi="Times New Roman"/>
          <w:sz w:val="15"/>
          <w:szCs w:val="15"/>
          <w:color w:val="auto"/>
        </w:rPr>
        <w:t>000-27239</w:t>
      </w:r>
    </w:p>
    <w:p>
      <w:pPr>
        <w:spacing w:after="0" w:line="197" w:lineRule="exact"/>
        <w:rPr>
          <w:sz w:val="20"/>
          <w:szCs w:val="20"/>
          <w:color w:val="auto"/>
        </w:rPr>
      </w:pPr>
    </w:p>
    <w:p>
      <w:pPr>
        <w:sectPr>
          <w:pgSz w:w="11900" w:h="16838" w:orient="portrait"/>
          <w:cols w:equalWidth="0" w:num="2">
            <w:col w:w="520" w:space="540"/>
            <w:col w:w="10380"/>
          </w:cols>
          <w:pgMar w:left="240" w:top="588" w:right="219" w:bottom="1440" w:gutter="0" w:footer="0" w:header="0"/>
          <w:type w:val="continuous"/>
        </w:sectPr>
      </w:pPr>
    </w:p>
    <w:p>
      <w:pPr>
        <w:ind w:right="280"/>
        <w:spacing w:after="0" w:line="284" w:lineRule="auto"/>
        <w:rPr>
          <w:sz w:val="20"/>
          <w:szCs w:val="20"/>
          <w:color w:val="auto"/>
        </w:rPr>
      </w:pPr>
      <w:r>
        <w:rPr>
          <w:rFonts w:ascii="Times New Roman" w:cs="Times New Roman" w:eastAsia="Times New Roman" w:hAnsi="Times New Roman"/>
          <w:sz w:val="15"/>
          <w:szCs w:val="15"/>
          <w:color w:val="auto"/>
        </w:rPr>
        <w:t>We have read the statements under Item 4.01 of the Current Report on Form 8-K to be filed with the Securities and Exchange Commission on November 3, 2014 regarding the change of auditors. We agree with all statements pertaining to us.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have no basis to agree or disagree with statements pertaining to the successor auditors.</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Dale Matheson Carr-Hilton LaBonte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593725</wp:posOffset>
            </wp:positionV>
            <wp:extent cx="727456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4560" cy="38735"/>
                    </a:xfrm>
                    <a:prstGeom prst="rect">
                      <a:avLst/>
                    </a:prstGeom>
                    <a:noFill/>
                  </pic:spPr>
                </pic:pic>
              </a:graphicData>
            </a:graphic>
          </wp:anchor>
        </w:drawing>
      </w:r>
    </w:p>
    <w:sectPr>
      <w:pgSz w:w="11900" w:h="16838" w:orient="portrait"/>
      <w:cols w:equalWidth="0" w:num="1">
        <w:col w:w="11440"/>
      </w:cols>
      <w:pgMar w:left="240" w:top="588" w:right="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2020-02-25T21:07:47Z</dcterms:created>
  <dcterms:modified xsi:type="dcterms:W3CDTF">2020-02-25T21:07:47Z</dcterms:modified>
</cp:coreProperties>
</file>