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May 19,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w w:val="91"/>
              </w:rPr>
              <w:t>Delaware</w:t>
            </w:r>
          </w:p>
        </w:tc>
        <w:tc>
          <w:tcPr>
            <w:tcW w:w="42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4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w:t>
            </w:r>
          </w:p>
        </w:tc>
        <w:tc>
          <w:tcPr>
            <w:tcW w:w="420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5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33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3200 Southwest Freeway</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340" w:type="dxa"/>
            <w:vAlign w:val="bottom"/>
            <w:gridSpan w:val="4"/>
          </w:tcPr>
          <w:p>
            <w:pPr>
              <w:jc w:val="center"/>
              <w:ind w:right="1180"/>
              <w:spacing w:after="0"/>
              <w:rPr>
                <w:sz w:val="20"/>
                <w:szCs w:val="20"/>
                <w:color w:val="auto"/>
              </w:rPr>
            </w:pPr>
            <w:r>
              <w:rPr>
                <w:rFonts w:ascii="Arial" w:cs="Arial" w:eastAsia="Arial" w:hAnsi="Arial"/>
                <w:sz w:val="18"/>
                <w:szCs w:val="18"/>
                <w:b w:val="1"/>
                <w:bCs w:val="1"/>
                <w:color w:val="auto"/>
                <w:w w:val="89"/>
              </w:rPr>
              <w:t>Suite 2240</w:t>
            </w:r>
          </w:p>
        </w:tc>
        <w:tc>
          <w:tcPr>
            <w:tcW w:w="1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1000" w:type="dxa"/>
            <w:vAlign w:val="bottom"/>
          </w:tcPr>
          <w:p>
            <w:pPr>
              <w:spacing w:after="0"/>
              <w:rPr>
                <w:sz w:val="16"/>
                <w:szCs w:val="16"/>
                <w:color w:val="auto"/>
              </w:rPr>
            </w:pPr>
          </w:p>
        </w:tc>
        <w:tc>
          <w:tcPr>
            <w:tcW w:w="118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8"/>
              </w:rPr>
              <w:t>Houston, Texas</w:t>
            </w:r>
          </w:p>
        </w:tc>
        <w:tc>
          <w:tcPr>
            <w:tcW w:w="1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0" w:type="dxa"/>
            <w:vAlign w:val="bottom"/>
            <w:gridSpan w:val="4"/>
          </w:tcPr>
          <w:p>
            <w:pPr>
              <w:jc w:val="right"/>
              <w:ind w:right="200"/>
              <w:spacing w:after="0" w:line="188"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3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34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(Address of principal executive offices)</w:t>
            </w: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Arial" w:cs="Arial" w:eastAsia="Arial" w:hAnsi="Arial"/>
                <w:sz w:val="18"/>
                <w:szCs w:val="18"/>
                <w:color w:val="auto"/>
                <w:w w:val="91"/>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1260" w:hanging="1207"/>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260" w:hanging="1207"/>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260" w:hanging="1207"/>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1260" w:hanging="1207"/>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2240" w:type="dxa"/>
            <w:vAlign w:val="bottom"/>
          </w:tcPr>
          <w:p>
            <w:pPr>
              <w:jc w:val="center"/>
              <w:ind w:right="270"/>
              <w:spacing w:after="0"/>
              <w:rPr>
                <w:sz w:val="20"/>
                <w:szCs w:val="20"/>
                <w:color w:val="auto"/>
              </w:rPr>
            </w:pPr>
            <w:r>
              <w:rPr>
                <w:rFonts w:ascii="Arial" w:cs="Arial" w:eastAsia="Arial" w:hAnsi="Arial"/>
                <w:sz w:val="18"/>
                <w:szCs w:val="18"/>
                <w:color w:val="auto"/>
                <w:w w:val="91"/>
              </w:rPr>
              <w:t>Trading</w:t>
            </w:r>
          </w:p>
        </w:tc>
        <w:tc>
          <w:tcPr>
            <w:tcW w:w="430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ind w:right="990"/>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3"/>
              </w:rPr>
              <w:t>Symbol(s)</w:t>
            </w:r>
          </w:p>
        </w:tc>
        <w:tc>
          <w:tcPr>
            <w:tcW w:w="430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ind w:right="99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tcPr>
          <w:p>
            <w:pPr>
              <w:jc w:val="center"/>
              <w:ind w:right="270"/>
              <w:spacing w:after="0"/>
              <w:rPr>
                <w:sz w:val="20"/>
                <w:szCs w:val="20"/>
                <w:color w:val="auto"/>
              </w:rPr>
            </w:pPr>
            <w:r>
              <w:rPr>
                <w:rFonts w:ascii="Arial" w:cs="Arial" w:eastAsia="Arial" w:hAnsi="Arial"/>
                <w:sz w:val="18"/>
                <w:szCs w:val="18"/>
                <w:color w:val="auto"/>
                <w:w w:val="98"/>
              </w:rPr>
              <w:t>MRKR</w:t>
            </w:r>
          </w:p>
        </w:tc>
        <w:tc>
          <w:tcPr>
            <w:tcW w:w="4300" w:type="dxa"/>
            <w:vAlign w:val="bottom"/>
          </w:tcPr>
          <w:p>
            <w:pPr>
              <w:jc w:val="center"/>
              <w:ind w:left="630"/>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color w:val="auto"/>
        </w:rPr>
        <w:t>On May 19, 2020, Marker Therapeutics, Inc. (the “Company”) held its 2020 Annual Meeting of Stockholders (the “Annual Meeting”). The stockholders considered four proposals, each of which is described in more detail in the Company’s definitive proxy statement filed with the Securities and Exchange Commission on April 17, 2020. Of the 46,532,522 shares outstanding as of the record date, 38,282,910 shares, or 82.3%, were present or represented by proxy at the Annual Meeting. Set forth below are the results of the matters submitted for a vote of stockholders at the Annual Meeting.</w:t>
      </w:r>
    </w:p>
    <w:p>
      <w:pPr>
        <w:spacing w:after="0" w:line="15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Proposal No. 1</w:t>
      </w:r>
      <w:r>
        <w:rPr>
          <w:rFonts w:ascii="Arial" w:cs="Arial" w:eastAsia="Arial" w:hAnsi="Arial"/>
          <w:sz w:val="18"/>
          <w:szCs w:val="18"/>
          <w:color w:val="auto"/>
        </w:rPr>
        <w:t>: Election of seven nominees to serve as directors until the 2021 annual meeting of stockholders and until their respective successors are</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and qualified. The votes were cast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60" w:type="dxa"/>
            <w:vAlign w:val="bottom"/>
            <w:gridSpan w:val="2"/>
          </w:tcPr>
          <w:p>
            <w:pPr>
              <w:ind w:left="260"/>
              <w:spacing w:after="0"/>
              <w:rPr>
                <w:sz w:val="20"/>
                <w:szCs w:val="20"/>
                <w:color w:val="auto"/>
              </w:rPr>
            </w:pPr>
            <w:r>
              <w:rPr>
                <w:rFonts w:ascii="Arial" w:cs="Arial" w:eastAsia="Arial" w:hAnsi="Arial"/>
                <w:sz w:val="18"/>
                <w:szCs w:val="18"/>
                <w:b w:val="1"/>
                <w:bCs w:val="1"/>
                <w:color w:val="auto"/>
              </w:rPr>
              <w:t>Votes For</w:t>
            </w: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Votes Withheld</w:t>
            </w:r>
          </w:p>
        </w:tc>
      </w:tr>
      <w:tr>
        <w:trPr>
          <w:trHeight w:val="209"/>
        </w:trPr>
        <w:tc>
          <w:tcPr>
            <w:tcW w:w="8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Eansor</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6"/>
              </w:rPr>
              <w:t>26,664,902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Steven Elms</w:t>
            </w:r>
          </w:p>
        </w:tc>
        <w:tc>
          <w:tcPr>
            <w:tcW w:w="1460" w:type="dxa"/>
            <w:vAlign w:val="bottom"/>
            <w:gridSpan w:val="2"/>
          </w:tcPr>
          <w:p>
            <w:pPr>
              <w:ind w:left="440"/>
              <w:spacing w:after="0"/>
              <w:rPr>
                <w:sz w:val="20"/>
                <w:szCs w:val="20"/>
                <w:color w:val="auto"/>
              </w:rPr>
            </w:pPr>
            <w:r>
              <w:rPr>
                <w:rFonts w:ascii="Arial" w:cs="Arial" w:eastAsia="Arial" w:hAnsi="Arial"/>
                <w:sz w:val="18"/>
                <w:szCs w:val="18"/>
                <w:color w:val="auto"/>
              </w:rPr>
              <w:t>26,772,270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146,329</w:t>
            </w: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Hoang</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26,718,442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200,157</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David Laskow-Pooley</w:t>
            </w:r>
          </w:p>
        </w:tc>
        <w:tc>
          <w:tcPr>
            <w:tcW w:w="1460" w:type="dxa"/>
            <w:vAlign w:val="bottom"/>
            <w:gridSpan w:val="2"/>
          </w:tcPr>
          <w:p>
            <w:pPr>
              <w:ind w:left="440"/>
              <w:spacing w:after="0"/>
              <w:rPr>
                <w:sz w:val="20"/>
                <w:szCs w:val="20"/>
                <w:color w:val="auto"/>
              </w:rPr>
            </w:pPr>
            <w:r>
              <w:rPr>
                <w:rFonts w:ascii="Arial" w:cs="Arial" w:eastAsia="Arial" w:hAnsi="Arial"/>
                <w:sz w:val="18"/>
                <w:szCs w:val="18"/>
                <w:color w:val="auto"/>
              </w:rPr>
              <w:t>26,724,089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194,510</w:t>
            </w: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Frederick Wasserman</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26,657,185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261,414</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John Wilson</w:t>
            </w:r>
          </w:p>
        </w:tc>
        <w:tc>
          <w:tcPr>
            <w:tcW w:w="1460" w:type="dxa"/>
            <w:vAlign w:val="bottom"/>
            <w:gridSpan w:val="2"/>
          </w:tcPr>
          <w:p>
            <w:pPr>
              <w:ind w:left="440"/>
              <w:spacing w:after="0"/>
              <w:rPr>
                <w:sz w:val="20"/>
                <w:szCs w:val="20"/>
                <w:color w:val="auto"/>
              </w:rPr>
            </w:pPr>
            <w:r>
              <w:rPr>
                <w:rFonts w:ascii="Arial" w:cs="Arial" w:eastAsia="Arial" w:hAnsi="Arial"/>
                <w:sz w:val="18"/>
                <w:szCs w:val="18"/>
                <w:color w:val="auto"/>
              </w:rPr>
              <w:t>25,817,199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1,101,400</w:t>
            </w: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Juan Vera</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26,738,748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179,851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Broker Non-Votes: 11,364,311.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nominees were elected.</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No. 2</w:t>
      </w:r>
      <w:r>
        <w:rPr>
          <w:rFonts w:ascii="Arial" w:cs="Arial" w:eastAsia="Arial" w:hAnsi="Arial"/>
          <w:sz w:val="17"/>
          <w:szCs w:val="17"/>
          <w:color w:val="auto"/>
        </w:rPr>
        <w:t>: Approval, on an advisory basis, of the compensation of the Company’s named executive officers. The votes were cast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480" w:type="dxa"/>
            <w:vAlign w:val="bottom"/>
            <w:gridSpan w:val="2"/>
          </w:tcPr>
          <w:p>
            <w:pPr>
              <w:ind w:left="260"/>
              <w:spacing w:after="0"/>
              <w:rPr>
                <w:sz w:val="20"/>
                <w:szCs w:val="20"/>
                <w:color w:val="auto"/>
              </w:rPr>
            </w:pPr>
            <w:r>
              <w:rPr>
                <w:rFonts w:ascii="Arial" w:cs="Arial" w:eastAsia="Arial" w:hAnsi="Arial"/>
                <w:sz w:val="18"/>
                <w:szCs w:val="18"/>
                <w:b w:val="1"/>
                <w:bCs w:val="1"/>
                <w:color w:val="auto"/>
              </w:rPr>
              <w:t>Votes For</w:t>
            </w:r>
          </w:p>
        </w:tc>
        <w:tc>
          <w:tcPr>
            <w:tcW w:w="1440" w:type="dxa"/>
            <w:vAlign w:val="bottom"/>
            <w:gridSpan w:val="2"/>
          </w:tcPr>
          <w:p>
            <w:pPr>
              <w:ind w:left="100"/>
              <w:spacing w:after="0"/>
              <w:rPr>
                <w:sz w:val="20"/>
                <w:szCs w:val="20"/>
                <w:color w:val="auto"/>
              </w:rPr>
            </w:pPr>
            <w:r>
              <w:rPr>
                <w:rFonts w:ascii="Arial" w:cs="Arial" w:eastAsia="Arial" w:hAnsi="Arial"/>
                <w:sz w:val="18"/>
                <w:szCs w:val="18"/>
                <w:b w:val="1"/>
                <w:bCs w:val="1"/>
                <w:color w:val="auto"/>
              </w:rPr>
              <w:t>Votes Against</w:t>
            </w: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Abstained</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Advisory approval of named executive officer compensation</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25,973,352</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433,967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511,280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6980" w:type="dxa"/>
            <w:vAlign w:val="bottom"/>
          </w:tcPr>
          <w:p>
            <w:pPr>
              <w:spacing w:after="0"/>
              <w:rPr>
                <w:sz w:val="20"/>
                <w:szCs w:val="20"/>
                <w:color w:val="auto"/>
              </w:rPr>
            </w:pPr>
            <w:r>
              <w:rPr>
                <w:rFonts w:ascii="Arial" w:cs="Arial" w:eastAsia="Arial" w:hAnsi="Arial"/>
                <w:sz w:val="18"/>
                <w:szCs w:val="18"/>
                <w:color w:val="auto"/>
              </w:rPr>
              <w:t>Broker Non-Votes: 11,364,311.</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Proposal No. 3</w:t>
      </w:r>
      <w:r>
        <w:rPr>
          <w:rFonts w:ascii="Arial" w:cs="Arial" w:eastAsia="Arial" w:hAnsi="Arial"/>
          <w:sz w:val="18"/>
          <w:szCs w:val="18"/>
          <w:color w:val="auto"/>
        </w:rPr>
        <w:t>: Ratification of the selection of Marcum LLP as independent registered public accounting firm for the fiscal year ending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2020. The votes were cast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480" w:type="dxa"/>
            <w:vAlign w:val="bottom"/>
            <w:gridSpan w:val="2"/>
          </w:tcPr>
          <w:p>
            <w:pPr>
              <w:ind w:left="260"/>
              <w:spacing w:after="0"/>
              <w:rPr>
                <w:sz w:val="20"/>
                <w:szCs w:val="20"/>
                <w:color w:val="auto"/>
              </w:rPr>
            </w:pPr>
            <w:r>
              <w:rPr>
                <w:rFonts w:ascii="Arial" w:cs="Arial" w:eastAsia="Arial" w:hAnsi="Arial"/>
                <w:sz w:val="18"/>
                <w:szCs w:val="18"/>
                <w:b w:val="1"/>
                <w:bCs w:val="1"/>
                <w:color w:val="auto"/>
              </w:rPr>
              <w:t>Votes For</w:t>
            </w:r>
          </w:p>
        </w:tc>
        <w:tc>
          <w:tcPr>
            <w:tcW w:w="1440" w:type="dxa"/>
            <w:vAlign w:val="bottom"/>
            <w:gridSpan w:val="2"/>
          </w:tcPr>
          <w:p>
            <w:pPr>
              <w:ind w:left="100"/>
              <w:spacing w:after="0"/>
              <w:rPr>
                <w:sz w:val="20"/>
                <w:szCs w:val="20"/>
                <w:color w:val="auto"/>
              </w:rPr>
            </w:pPr>
            <w:r>
              <w:rPr>
                <w:rFonts w:ascii="Arial" w:cs="Arial" w:eastAsia="Arial" w:hAnsi="Arial"/>
                <w:sz w:val="18"/>
                <w:szCs w:val="18"/>
                <w:b w:val="1"/>
                <w:bCs w:val="1"/>
                <w:color w:val="auto"/>
              </w:rPr>
              <w:t>Votes Against</w:t>
            </w: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Abstained</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Ratification of appointment of Marcum LLP</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37,480,186</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561,384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6980" w:type="dxa"/>
            <w:vAlign w:val="bottom"/>
          </w:tcPr>
          <w:p>
            <w:pPr>
              <w:spacing w:after="0"/>
              <w:rPr>
                <w:sz w:val="20"/>
                <w:szCs w:val="20"/>
                <w:color w:val="auto"/>
              </w:rPr>
            </w:pPr>
            <w:r>
              <w:rPr>
                <w:rFonts w:ascii="Arial" w:cs="Arial" w:eastAsia="Arial" w:hAnsi="Arial"/>
                <w:sz w:val="18"/>
                <w:szCs w:val="18"/>
                <w:color w:val="auto"/>
              </w:rPr>
              <w:t>Broker Non-Votes: 0.</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4</w:t>
      </w:r>
      <w:r>
        <w:rPr>
          <w:rFonts w:ascii="Arial" w:cs="Arial" w:eastAsia="Arial" w:hAnsi="Arial"/>
          <w:sz w:val="18"/>
          <w:szCs w:val="18"/>
          <w:color w:val="auto"/>
        </w:rPr>
        <w:t>: Approval of the Company’s 2020 Equity Incentive Plan. The votes were cast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480" w:type="dxa"/>
            <w:vAlign w:val="bottom"/>
            <w:gridSpan w:val="2"/>
          </w:tcPr>
          <w:p>
            <w:pPr>
              <w:ind w:left="260"/>
              <w:spacing w:after="0"/>
              <w:rPr>
                <w:sz w:val="20"/>
                <w:szCs w:val="20"/>
                <w:color w:val="auto"/>
              </w:rPr>
            </w:pPr>
            <w:r>
              <w:rPr>
                <w:rFonts w:ascii="Arial" w:cs="Arial" w:eastAsia="Arial" w:hAnsi="Arial"/>
                <w:sz w:val="18"/>
                <w:szCs w:val="18"/>
                <w:b w:val="1"/>
                <w:bCs w:val="1"/>
                <w:color w:val="auto"/>
              </w:rPr>
              <w:t>Votes For</w:t>
            </w:r>
          </w:p>
        </w:tc>
        <w:tc>
          <w:tcPr>
            <w:tcW w:w="1440" w:type="dxa"/>
            <w:vAlign w:val="bottom"/>
            <w:gridSpan w:val="2"/>
          </w:tcPr>
          <w:p>
            <w:pPr>
              <w:ind w:left="100"/>
              <w:spacing w:after="0"/>
              <w:rPr>
                <w:sz w:val="20"/>
                <w:szCs w:val="20"/>
                <w:color w:val="auto"/>
              </w:rPr>
            </w:pPr>
            <w:r>
              <w:rPr>
                <w:rFonts w:ascii="Arial" w:cs="Arial" w:eastAsia="Arial" w:hAnsi="Arial"/>
                <w:sz w:val="18"/>
                <w:szCs w:val="18"/>
                <w:b w:val="1"/>
                <w:bCs w:val="1"/>
                <w:color w:val="auto"/>
              </w:rPr>
              <w:t>Votes Against</w:t>
            </w: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Abstained</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Approval of 2020 Equity Incentive Plan</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25,159,583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1,275,771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483,245</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6980" w:type="dxa"/>
            <w:vAlign w:val="bottom"/>
          </w:tcPr>
          <w:p>
            <w:pPr>
              <w:spacing w:after="0"/>
              <w:rPr>
                <w:sz w:val="20"/>
                <w:szCs w:val="20"/>
                <w:color w:val="auto"/>
              </w:rPr>
            </w:pPr>
            <w:r>
              <w:rPr>
                <w:rFonts w:ascii="Arial" w:cs="Arial" w:eastAsia="Arial" w:hAnsi="Arial"/>
                <w:sz w:val="18"/>
                <w:szCs w:val="18"/>
                <w:color w:val="auto"/>
              </w:rPr>
              <w:t>Broker Non-Votes: 11,364,311.</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5"/>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Dated: May 21, 2020</w:t>
            </w:r>
          </w:p>
        </w:tc>
        <w:tc>
          <w:tcPr>
            <w:tcW w:w="7660" w:type="dxa"/>
            <w:vAlign w:val="bottom"/>
            <w:gridSpan w:val="2"/>
          </w:tcPr>
          <w:p>
            <w:pPr>
              <w:ind w:left="2060"/>
              <w:spacing w:after="0"/>
              <w:rPr>
                <w:sz w:val="20"/>
                <w:szCs w:val="20"/>
                <w:color w:val="auto"/>
              </w:rPr>
            </w:pPr>
            <w:r>
              <w:rPr>
                <w:rFonts w:ascii="Arial" w:cs="Arial" w:eastAsia="Arial" w:hAnsi="Arial"/>
                <w:sz w:val="18"/>
                <w:szCs w:val="18"/>
                <w:color w:val="auto"/>
              </w:rPr>
              <w:t>By:   /s/ Anthony Kim</w:t>
            </w:r>
          </w:p>
        </w:tc>
      </w:tr>
      <w:tr>
        <w:trPr>
          <w:trHeight w:val="195"/>
        </w:trPr>
        <w:tc>
          <w:tcPr>
            <w:tcW w:w="3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1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60" w:type="dxa"/>
            <w:vAlign w:val="bottom"/>
          </w:tcPr>
          <w:p>
            <w:pPr>
              <w:ind w:left="120"/>
              <w:spacing w:after="0"/>
              <w:rPr>
                <w:sz w:val="20"/>
                <w:szCs w:val="20"/>
                <w:color w:val="auto"/>
              </w:rPr>
            </w:pPr>
            <w:r>
              <w:rPr>
                <w:rFonts w:ascii="Arial" w:cs="Arial" w:eastAsia="Arial" w:hAnsi="Arial"/>
                <w:sz w:val="18"/>
                <w:szCs w:val="18"/>
                <w:i w:val="1"/>
                <w:iCs w:val="1"/>
                <w:color w:val="auto"/>
              </w:rPr>
              <w:t>Chief Financial Officer</w:t>
            </w:r>
          </w:p>
        </w:tc>
      </w:tr>
      <w:tr>
        <w:trPr>
          <w:trHeight w:val="675"/>
        </w:trPr>
        <w:tc>
          <w:tcPr>
            <w:tcW w:w="35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2020-05-21T15:07:08Z</dcterms:created>
  <dcterms:modified xsi:type="dcterms:W3CDTF">2020-05-21T15:07:08Z</dcterms:modified>
</cp:coreProperties>
</file>