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1906905</wp:posOffset>
            </wp:positionH>
            <wp:positionV relativeFrom="page">
              <wp:posOffset>2070735</wp:posOffset>
            </wp:positionV>
            <wp:extent cx="3836035" cy="1012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8360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48"/>
          <w:szCs w:val="48"/>
          <w:b w:val="1"/>
          <w:bCs w:val="1"/>
          <w:color w:val="auto"/>
        </w:rPr>
        <w:t>Marker Therapeutics,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52"/>
          <w:szCs w:val="52"/>
          <w:b w:val="1"/>
          <w:bCs w:val="1"/>
          <w:color w:val="auto"/>
        </w:rPr>
        <w:t>202</w:t>
      </w:r>
      <w:r>
        <w:rPr>
          <w:rFonts w:ascii="Times New Roman" w:cs="Times New Roman" w:eastAsia="Times New Roman" w:hAnsi="Times New Roman"/>
          <w:sz w:val="52"/>
          <w:szCs w:val="52"/>
          <w:b w:val="1"/>
          <w:bCs w:val="1"/>
          <w:color w:val="auto"/>
        </w:rPr>
        <w:t>5</w:t>
      </w:r>
      <w:r>
        <w:rPr>
          <w:rFonts w:ascii="Arial" w:cs="Arial" w:eastAsia="Arial" w:hAnsi="Arial"/>
          <w:sz w:val="52"/>
          <w:szCs w:val="52"/>
          <w:b w:val="1"/>
          <w:bCs w:val="1"/>
          <w:color w:val="auto"/>
        </w:rPr>
        <w:t xml:space="preserve">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auto"/>
        </w:rPr>
        <mc:AlternateContent>
          <mc:Choice Requires="wps">
            <w:drawing>
              <wp:anchor simplePos="0" relativeHeight="251657728" behindDoc="1" locked="0" layoutInCell="0" allowOverlap="1">
                <wp:simplePos x="0" y="0"/>
                <wp:positionH relativeFrom="page">
                  <wp:posOffset>635000</wp:posOffset>
                </wp:positionH>
                <wp:positionV relativeFrom="page">
                  <wp:posOffset>328295</wp:posOffset>
                </wp:positionV>
                <wp:extent cx="649795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7955" cy="4763"/>
                        </a:xfrm>
                        <a:prstGeom prst="line">
                          <a:avLst/>
                        </a:prstGeom>
                        <a:solidFill>
                          <a:srgbClr val="FFFFFF"/>
                        </a:solidFill>
                        <a:ln w="3429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pt,25.85pt" to="561.65pt,25.85pt" o:allowincell="f" strokecolor="#000000" strokeweight="2.7pt">
                <w10:wrap anchorx="page" anchory="page"/>
              </v:line>
            </w:pict>
          </mc:Fallback>
        </mc:AlternateContent>
        <mc:AlternateContent>
          <mc:Choice Requires="wps">
            <w:drawing>
              <wp:anchor simplePos="0" relativeHeight="251657728" behindDoc="1" locked="0" layoutInCell="0" allowOverlap="1">
                <wp:simplePos x="0" y="0"/>
                <wp:positionH relativeFrom="page">
                  <wp:posOffset>635000</wp:posOffset>
                </wp:positionH>
                <wp:positionV relativeFrom="page">
                  <wp:posOffset>384175</wp:posOffset>
                </wp:positionV>
                <wp:extent cx="649795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795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pt,30.25pt" to="561.65pt,30.25pt" o:allowincell="f" strokecolor="#000000" strokeweight="0.675pt">
                <w10:wrap anchorx="page" anchory="page"/>
              </v:line>
            </w:pict>
          </mc:Fallback>
        </mc:AlternateContent>
        <w:t>UNITED STATES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4" w:lineRule="exact"/>
        <w:rPr>
          <w:sz w:val="20"/>
          <w:szCs w:val="20"/>
          <w:color w:val="auto"/>
        </w:rPr>
      </w:pPr>
    </w:p>
    <w:p>
      <w:pPr>
        <w:ind w:left="340" w:hanging="333"/>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w:t>
      </w:r>
    </w:p>
    <w:p>
      <w:pPr>
        <w:spacing w:after="0" w:line="77" w:lineRule="exact"/>
        <w:rPr>
          <w:rFonts w:ascii="MS PGothic" w:cs="MS PGothic" w:eastAsia="MS PGothic" w:hAnsi="MS PGothic"/>
          <w:sz w:val="13"/>
          <w:szCs w:val="13"/>
          <w:color w:val="auto"/>
        </w:rPr>
      </w:pPr>
    </w:p>
    <w:p>
      <w:pPr>
        <w:ind w:left="388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For the Fiscal Year Ended December 31, 2024</w:t>
      </w:r>
    </w:p>
    <w:p>
      <w:pPr>
        <w:spacing w:after="0" w:line="80" w:lineRule="exact"/>
        <w:rPr>
          <w:rFonts w:ascii="MS PGothic" w:cs="MS PGothic" w:eastAsia="MS PGothic" w:hAnsi="MS PGothic"/>
          <w:sz w:val="13"/>
          <w:szCs w:val="13"/>
          <w:color w:val="auto"/>
        </w:rPr>
      </w:pPr>
    </w:p>
    <w:p>
      <w:pPr>
        <w:ind w:left="502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OR</w:t>
      </w:r>
    </w:p>
    <w:p>
      <w:pPr>
        <w:spacing w:after="0" w:line="96" w:lineRule="exact"/>
        <w:rPr>
          <w:sz w:val="20"/>
          <w:szCs w:val="20"/>
          <w:color w:val="auto"/>
        </w:rPr>
      </w:pPr>
    </w:p>
    <w:p>
      <w:pPr>
        <w:ind w:left="340" w:right="3820" w:hanging="333"/>
        <w:spacing w:after="0" w:line="344" w:lineRule="auto"/>
        <w:tabs>
          <w:tab w:leader="none" w:pos="3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TRANSITION REPORT PURSUANT TO SECTION 13 OR 15(d) OF THE SECURITIES EXCHANGE ACT OF 1934 For the transition period from _______________ to ______________.</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001-37939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2237740</wp:posOffset>
            </wp:positionH>
            <wp:positionV relativeFrom="paragraph">
              <wp:posOffset>46990</wp:posOffset>
            </wp:positionV>
            <wp:extent cx="2023110"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202311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44"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1100" w:type="dxa"/>
            <w:vAlign w:val="bottom"/>
            <w:vMerge w:val="restart"/>
          </w:tcPr>
          <w:p>
            <w:pPr>
              <w:ind w:left="620"/>
              <w:spacing w:after="0"/>
              <w:rPr>
                <w:sz w:val="20"/>
                <w:szCs w:val="20"/>
                <w:color w:val="auto"/>
              </w:rPr>
            </w:pPr>
            <w:r>
              <w:rPr>
                <w:rFonts w:ascii="Times New Roman" w:cs="Times New Roman" w:eastAsia="Times New Roman" w:hAnsi="Times New Roman"/>
                <w:sz w:val="13"/>
                <w:szCs w:val="13"/>
                <w:color w:val="auto"/>
              </w:rPr>
              <w:t>(State or</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5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45-4497941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00" w:type="dxa"/>
            <w:vAlign w:val="bottom"/>
            <w:vMerge w:val="continue"/>
          </w:tcPr>
          <w:p>
            <w:pPr>
              <w:spacing w:after="0"/>
              <w:rPr>
                <w:sz w:val="9"/>
                <w:szCs w:val="9"/>
                <w:color w:val="auto"/>
              </w:rPr>
            </w:pPr>
          </w:p>
        </w:tc>
        <w:tc>
          <w:tcPr>
            <w:tcW w:w="204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other jurisdiction of</w:t>
            </w:r>
          </w:p>
        </w:tc>
        <w:tc>
          <w:tcPr>
            <w:tcW w:w="4280" w:type="dxa"/>
            <w:vAlign w:val="bottom"/>
            <w:gridSpan w:val="3"/>
          </w:tcPr>
          <w:p>
            <w:pPr>
              <w:jc w:val="center"/>
              <w:ind w:left="2479"/>
              <w:spacing w:after="0" w:line="110" w:lineRule="exact"/>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65"/>
        </w:trPr>
        <w:tc>
          <w:tcPr>
            <w:tcW w:w="31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color w:val="auto"/>
                <w:w w:val="96"/>
              </w:rPr>
              <w:t>incorporation)</w:t>
            </w:r>
          </w:p>
        </w:tc>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2450 Holcombe Blvd, Suite BCM-A, MS: BCM251</w:t>
            </w:r>
          </w:p>
        </w:tc>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40" w:type="dxa"/>
            <w:vAlign w:val="bottom"/>
            <w:gridSpan w:val="3"/>
          </w:tcPr>
          <w:p>
            <w:pPr>
              <w:jc w:val="center"/>
              <w:ind w:right="440"/>
              <w:spacing w:after="0" w:line="138" w:lineRule="exact"/>
              <w:rPr>
                <w:sz w:val="20"/>
                <w:szCs w:val="20"/>
                <w:color w:val="auto"/>
              </w:rPr>
            </w:pPr>
            <w:r>
              <w:rPr>
                <w:rFonts w:ascii="Times New Roman" w:cs="Times New Roman" w:eastAsia="Times New Roman" w:hAnsi="Times New Roman"/>
                <w:sz w:val="13"/>
                <w:szCs w:val="13"/>
                <w:b w:val="1"/>
                <w:bCs w:val="1"/>
                <w:color w:val="auto"/>
                <w:w w:val="95"/>
              </w:rPr>
              <w:t>Houston, Texas</w:t>
            </w:r>
          </w:p>
        </w:tc>
        <w:tc>
          <w:tcPr>
            <w:tcW w:w="3720" w:type="dxa"/>
            <w:vAlign w:val="bottom"/>
            <w:gridSpan w:val="2"/>
          </w:tcPr>
          <w:p>
            <w:pPr>
              <w:jc w:val="right"/>
              <w:ind w:right="97"/>
              <w:spacing w:after="0" w:line="138" w:lineRule="exact"/>
              <w:rPr>
                <w:sz w:val="20"/>
                <w:szCs w:val="20"/>
                <w:color w:val="auto"/>
              </w:rPr>
            </w:pPr>
            <w:r>
              <w:rPr>
                <w:rFonts w:ascii="Times New Roman" w:cs="Times New Roman" w:eastAsia="Times New Roman" w:hAnsi="Times New Roman"/>
                <w:sz w:val="13"/>
                <w:szCs w:val="13"/>
                <w:b w:val="1"/>
                <w:bCs w:val="1"/>
                <w:color w:val="auto"/>
              </w:rPr>
              <w:t>77021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10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w w:val="98"/>
              </w:rPr>
              <w:t>(Zip code)</w:t>
            </w: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100" w:type="dxa"/>
            <w:vAlign w:val="bottom"/>
          </w:tcPr>
          <w:p>
            <w:pPr>
              <w:jc w:val="right"/>
              <w:ind w:right="1819"/>
              <w:spacing w:after="0" w:line="146"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u w:val="single" w:color="auto"/>
                <w:color w:val="auto"/>
              </w:rPr>
              <w:t>713</w:t>
            </w:r>
            <w:r>
              <w:rPr>
                <w:rFonts w:ascii="Times New Roman" w:cs="Times New Roman" w:eastAsia="Times New Roman" w:hAnsi="Times New Roman"/>
                <w:sz w:val="13"/>
                <w:szCs w:val="13"/>
                <w:b w:val="1"/>
                <w:bCs w:val="1"/>
                <w:color w:val="auto"/>
              </w:rPr>
              <w:t>) 400-6400</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(Telephone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2997835</wp:posOffset>
                </wp:positionH>
                <wp:positionV relativeFrom="paragraph">
                  <wp:posOffset>-93345</wp:posOffset>
                </wp:positionV>
                <wp:extent cx="13335" cy="1270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5" o:spid="_x0000_s1030" style="position:absolute;margin-left:236.05pt;margin-top:-7.3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3161665</wp:posOffset>
                </wp:positionH>
                <wp:positionV relativeFrom="paragraph">
                  <wp:posOffset>-86995</wp:posOffset>
                </wp:positionV>
                <wp:extent cx="33718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718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95pt,-6.8499pt" to="275.5pt,-6.8499pt" o:allowincell="f" strokecolor="#000000" strokeweight="0.675pt"/>
            </w:pict>
          </mc:Fallback>
        </mc:AlternateConten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9350 Kirby Drive, Suite 300, Houston, Texas, 77032</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-86995</wp:posOffset>
                </wp:positionV>
                <wp:extent cx="648081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081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499pt" to="510.3pt,-6.8499pt" o:allowincell="f" strokecolor="#000000" strokeweight="0.675pt"/>
            </w:pict>
          </mc:Fallback>
        </mc:AlternateConten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02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29"/>
        </w:trPr>
        <w:tc>
          <w:tcPr>
            <w:tcW w:w="36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28"/>
        </w:trPr>
        <w:tc>
          <w:tcPr>
            <w:tcW w:w="36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Title of each class</w:t>
            </w:r>
          </w:p>
        </w:tc>
        <w:tc>
          <w:tcPr>
            <w:tcW w:w="3020" w:type="dxa"/>
            <w:vAlign w:val="bottom"/>
            <w:tcBorders>
              <w:bottom w:val="single" w:sz="8" w:color="auto"/>
              <w:right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Trading Symbol(s)</w:t>
            </w:r>
          </w:p>
        </w:tc>
        <w:tc>
          <w:tcPr>
            <w:tcW w:w="3560" w:type="dxa"/>
            <w:vAlign w:val="bottom"/>
            <w:tcBorders>
              <w:bottom w:val="single" w:sz="8" w:color="auto"/>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29"/>
        </w:trPr>
        <w:tc>
          <w:tcPr>
            <w:tcW w:w="366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 par value $0.001 per share</w:t>
            </w:r>
          </w:p>
        </w:tc>
        <w:tc>
          <w:tcPr>
            <w:tcW w:w="3020" w:type="dxa"/>
            <w:vAlign w:val="bottom"/>
            <w:tcBorders>
              <w:bottom w:val="single" w:sz="8" w:color="auto"/>
              <w:right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MRKR</w:t>
            </w:r>
          </w:p>
        </w:tc>
        <w:tc>
          <w:tcPr>
            <w:tcW w:w="3560" w:type="dxa"/>
            <w:vAlign w:val="bottom"/>
            <w:tcBorders>
              <w:bottom w:val="single" w:sz="8" w:color="auto"/>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u w:val="single" w:color="auto"/>
          <w:color w:val="auto"/>
        </w:rPr>
        <w:t>None</w:t>
      </w:r>
    </w:p>
    <w:p>
      <w:pPr>
        <w:spacing w:after="0" w:line="14" w:lineRule="exact"/>
        <w:rPr>
          <w:sz w:val="20"/>
          <w:szCs w:val="20"/>
          <w:color w:val="auto"/>
        </w:rPr>
      </w:pPr>
    </w:p>
    <w:p>
      <w:pPr>
        <w:ind w:right="3500"/>
        <w:spacing w:after="0" w:line="197"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of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0"/>
          <w:szCs w:val="20"/>
          <w:color w:val="auto"/>
        </w:rPr>
      </w:pPr>
    </w:p>
    <w:p>
      <w:pPr>
        <w:jc w:val="both"/>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right="20"/>
        <w:spacing w:after="0" w:line="241" w:lineRule="auto"/>
        <w:rPr>
          <w:sz w:val="20"/>
          <w:szCs w:val="20"/>
          <w:color w:val="auto"/>
        </w:rPr>
      </w:pPr>
      <w:r>
        <w:rPr>
          <w:rFonts w:ascii="Times New Roman" w:cs="Times New Roman" w:eastAsia="Times New Roman" w:hAnsi="Times New Roman"/>
          <w:sz w:val="13"/>
          <w:szCs w:val="13"/>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140" w:type="dxa"/>
            <w:vAlign w:val="bottom"/>
          </w:tcPr>
          <w:p>
            <w:pPr>
              <w:ind w:left="760"/>
              <w:spacing w:after="0" w:line="131" w:lineRule="exact"/>
              <w:rPr>
                <w:sz w:val="20"/>
                <w:szCs w:val="20"/>
                <w:color w:val="auto"/>
              </w:rPr>
            </w:pPr>
            <w:r>
              <w:rPr>
                <w:rFonts w:ascii="MS PGothic" w:cs="MS PGothic" w:eastAsia="MS PGothic" w:hAnsi="MS PGothic"/>
                <w:sz w:val="13"/>
                <w:szCs w:val="13"/>
                <w:color w:val="auto"/>
              </w:rPr>
              <w:t>☐</w:t>
            </w:r>
          </w:p>
        </w:tc>
        <w:tc>
          <w:tcPr>
            <w:tcW w:w="3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Accelerated filer</w:t>
            </w:r>
          </w:p>
        </w:tc>
        <w:tc>
          <w:tcPr>
            <w:tcW w:w="1740" w:type="dxa"/>
            <w:vAlign w:val="bottom"/>
          </w:tcPr>
          <w:p>
            <w:pPr>
              <w:ind w:left="16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140" w:type="dxa"/>
            <w:vAlign w:val="bottom"/>
          </w:tcPr>
          <w:p>
            <w:pPr>
              <w:ind w:left="760"/>
              <w:spacing w:after="0" w:line="131" w:lineRule="exact"/>
              <w:rPr>
                <w:sz w:val="20"/>
                <w:szCs w:val="20"/>
                <w:color w:val="auto"/>
              </w:rPr>
            </w:pPr>
            <w:r>
              <w:rPr>
                <w:rFonts w:ascii="MS PGothic" w:cs="MS PGothic" w:eastAsia="MS PGothic" w:hAnsi="MS PGothic"/>
                <w:sz w:val="13"/>
                <w:szCs w:val="13"/>
                <w:color w:val="auto"/>
              </w:rPr>
              <w:t>☒</w:t>
            </w:r>
          </w:p>
        </w:tc>
        <w:tc>
          <w:tcPr>
            <w:tcW w:w="3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740" w:type="dxa"/>
            <w:vAlign w:val="bottom"/>
          </w:tcPr>
          <w:p>
            <w:pPr>
              <w:ind w:left="16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4"/>
        </w:trPr>
        <w:tc>
          <w:tcPr>
            <w:tcW w:w="1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Emerging growth company</w:t>
            </w:r>
          </w:p>
        </w:tc>
        <w:tc>
          <w:tcPr>
            <w:tcW w:w="1740" w:type="dxa"/>
            <w:vAlign w:val="bottom"/>
          </w:tcPr>
          <w:p>
            <w:pPr>
              <w:ind w:left="164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jc w:val="both"/>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jc w:val="both"/>
        <w:ind w:right="20"/>
        <w:spacing w:after="0" w:line="155"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as of June 30, 2024 (the last day of the registrant’s most recently completed second fiscal quarter) based on the closing sale price of $5.43 as reported on the Nasdaq Capital Market as of that date was approximately $48,450,000.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registrant had 10,709,005 shares of common stock outstanding as of March 18, 2025.</w:t>
      </w:r>
    </w:p>
    <w:p>
      <w:pPr>
        <w:spacing w:after="0" w:line="2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0"/>
          <w:szCs w:val="20"/>
          <w:color w:val="auto"/>
        </w:rPr>
      </w:pPr>
    </w:p>
    <w:p>
      <w:pPr>
        <w:jc w:val="both"/>
        <w:ind w:right="20" w:firstLine="1"/>
        <w:spacing w:after="0" w:line="232" w:lineRule="auto"/>
        <w:rPr>
          <w:sz w:val="20"/>
          <w:szCs w:val="20"/>
          <w:color w:val="auto"/>
        </w:rPr>
      </w:pPr>
      <w:r>
        <w:rPr>
          <w:rFonts w:ascii="Times New Roman" w:cs="Times New Roman" w:eastAsia="Times New Roman" w:hAnsi="Times New Roman"/>
          <w:sz w:val="13"/>
          <w:szCs w:val="13"/>
          <w:color w:val="auto"/>
        </w:rPr>
        <w:t>Portions of the registrant’s proxy statement relating to registrant’s 2024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473710</wp:posOffset>
                </wp:positionV>
                <wp:extent cx="649795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7955" cy="4763"/>
                        </a:xfrm>
                        <a:prstGeom prst="line">
                          <a:avLst/>
                        </a:prstGeom>
                        <a:solidFill>
                          <a:srgbClr val="FFFFFF"/>
                        </a:solidFill>
                        <a:ln w="1714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3pt" to="511.65pt,37.3pt" o:allowincell="f" strokecolor="#000000" strokeweight="1.3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49530</wp:posOffset>
                </wp:positionV>
                <wp:extent cx="649795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795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pt" to="511.65pt,3.9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105410</wp:posOffset>
                </wp:positionV>
                <wp:extent cx="649795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7955" cy="4763"/>
                        </a:xfrm>
                        <a:prstGeom prst="line">
                          <a:avLst/>
                        </a:prstGeom>
                        <a:solidFill>
                          <a:srgbClr val="FFFFFF"/>
                        </a:solidFill>
                        <a:ln w="34289">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pt" to="511.65pt,8.3pt" o:allowincell="f" strokecolor="#000000" strokeweight="2.6999pt"/>
            </w:pict>
          </mc:Fallback>
        </mc:AlternateContent>
      </w:r>
    </w:p>
    <w:p>
      <w:pPr>
        <w:sectPr>
          <w:pgSz w:w="12240" w:h="15840" w:orient="portrait"/>
          <w:cols w:equalWidth="0" w:num="1">
            <w:col w:w="10240"/>
          </w:cols>
          <w:pgMar w:left="1000" w:top="677" w:right="100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FORWARD LOOKING STATEMENTS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7"/>
        </w:trPr>
        <w:tc>
          <w:tcPr>
            <w:tcW w:w="92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Business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Cybersecurity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Properties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Legal Proceedings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Mine Safety Disclosure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0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[Reserved]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Compensation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10-K Summary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5"/>
        </w:trPr>
        <w:tc>
          <w:tcPr>
            <w:tcW w:w="920" w:type="dxa"/>
            <w:vAlign w:val="bottom"/>
          </w:tcPr>
          <w:p>
            <w:pPr>
              <w:spacing w:after="0"/>
              <w:rPr>
                <w:sz w:val="20"/>
                <w:szCs w:val="20"/>
                <w:color w:val="auto"/>
              </w:rPr>
            </w:pPr>
          </w:p>
        </w:tc>
        <w:tc>
          <w:tcPr>
            <w:tcW w:w="8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Signatures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20"/>
          </w:cols>
          <w:pgMar w:left="1160" w:top="41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920"/>
          </w:cols>
          <w:pgMar w:left="1160" w:top="419" w:right="116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p>
      <w:pPr>
        <w:spacing w:after="0" w:line="190" w:lineRule="exact"/>
        <w:rPr>
          <w:sz w:val="20"/>
          <w:szCs w:val="20"/>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4" w:lineRule="exact"/>
        <w:rPr>
          <w:rFonts w:ascii="Arial" w:cs="Arial" w:eastAsia="Arial" w:hAnsi="Arial"/>
          <w:sz w:val="18"/>
          <w:szCs w:val="18"/>
          <w:color w:val="auto"/>
        </w:rPr>
      </w:pPr>
    </w:p>
    <w:p>
      <w:pPr>
        <w:jc w:val="both"/>
        <w:ind w:left="680" w:right="20" w:hanging="328"/>
        <w:spacing w:after="0" w:line="261" w:lineRule="auto"/>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progress and results of clinical trials of multi antigen recognizing (“MAR”)-T cell therapies (formerly known as multi-tumor associated antigen-specific T cells, or multiTAA)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178" w:lineRule="exact"/>
        <w:rPr>
          <w:rFonts w:ascii="Arial" w:cs="Arial" w:eastAsia="Arial" w:hAnsi="Arial"/>
          <w:sz w:val="18"/>
          <w:szCs w:val="18"/>
          <w:color w:val="auto"/>
        </w:rPr>
      </w:pPr>
    </w:p>
    <w:p>
      <w:pPr>
        <w:ind w:left="680" w:right="20" w:hanging="328"/>
        <w:spacing w:after="0" w:line="282" w:lineRule="auto"/>
        <w:tabs>
          <w:tab w:leader="none" w:pos="681"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successfully commercialize product candidates;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Cell Ready LLC, the Baylor College of Medicine (“BCM”) and other collaboration or strategic relationships;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manufacture our product candidates;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use the MAR-T cell platform to develop future product candidates;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needs for or ability to obtain additional funding;</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financial performance;</w:t>
      </w:r>
    </w:p>
    <w:p>
      <w:pPr>
        <w:sectPr>
          <w:pgSz w:w="12240" w:h="15840" w:orient="portrait"/>
          <w:cols w:equalWidth="0" w:num="1">
            <w:col w:w="9920"/>
          </w:cols>
          <w:pgMar w:left="1160" w:top="4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w:t>
      </w:r>
    </w:p>
    <w:p>
      <w:pPr>
        <w:sectPr>
          <w:pgSz w:w="12240" w:h="15840" w:orient="portrait"/>
          <w:cols w:equalWidth="0" w:num="1">
            <w:col w:w="9920"/>
          </w:cols>
          <w:pgMar w:left="1160" w:top="427" w:right="1160" w:bottom="0" w:gutter="0" w:footer="0" w:header="0"/>
          <w:type w:val="continuous"/>
        </w:sectPr>
      </w:pPr>
    </w:p>
    <w:bookmarkStart w:id="5" w:name="page6"/>
    <w:bookmarkEnd w:id="5"/>
    <w:p>
      <w:pPr>
        <w:ind w:left="680" w:hanging="328"/>
        <w:spacing w:after="0"/>
        <w:tabs>
          <w:tab w:leader="none" w:pos="68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laws and regulations.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Arial" w:cs="Arial" w:eastAsia="Arial" w:hAnsi="Arial"/>
          <w:sz w:val="18"/>
          <w:szCs w:val="18"/>
          <w:i w:val="1"/>
          <w:iCs w:val="1"/>
          <w:color w:val="auto"/>
        </w:rPr>
        <w:t>Securities Act of 1933</w:t>
      </w:r>
      <w:r>
        <w:rPr>
          <w:rFonts w:ascii="Times New Roman" w:cs="Times New Roman" w:eastAsia="Times New Roman" w:hAnsi="Times New Roman"/>
          <w:sz w:val="18"/>
          <w:szCs w:val="18"/>
          <w:color w:val="auto"/>
        </w:rPr>
        <w:t xml:space="preserve">, as amended; (iv) “Exchange Act” refers to the United States </w:t>
      </w:r>
      <w:r>
        <w:rPr>
          <w:rFonts w:ascii="Arial" w:cs="Arial" w:eastAsia="Arial" w:hAnsi="Arial"/>
          <w:sz w:val="18"/>
          <w:szCs w:val="18"/>
          <w:i w:val="1"/>
          <w:iCs w:val="1"/>
          <w:color w:val="auto"/>
        </w:rPr>
        <w:t>Securities Exchange Act of 1934</w:t>
      </w:r>
      <w:r>
        <w:rPr>
          <w:rFonts w:ascii="Times New Roman" w:cs="Times New Roman" w:eastAsia="Times New Roman" w:hAnsi="Times New Roman"/>
          <w:sz w:val="18"/>
          <w:szCs w:val="18"/>
          <w:color w:val="auto"/>
        </w:rPr>
        <w:t>, as amended; and (v) all dollar amounts refer to United States dollars unless otherwise indicated.</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2240" w:h="15840" w:orient="portrait"/>
          <w:cols w:equalWidth="0" w:num="1">
            <w:col w:w="9920"/>
          </w:cols>
          <w:pgMar w:left="1160" w:top="431" w:right="116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(formerly known as multi-tumor associated antigen-specific T cells, or multiTAA)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MAR-T cell program for:</w:t>
      </w:r>
    </w:p>
    <w:p>
      <w:pPr>
        <w:spacing w:after="0" w:line="225" w:lineRule="exact"/>
        <w:rPr>
          <w:sz w:val="20"/>
          <w:szCs w:val="20"/>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Autologous MAR-T cell product for the treatment of lymphoma and pancreatic cancer (MT-601)</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22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We do not genetically engineer our MAR-T cell therapies and we believe that our product candidates are superior to T cells engineered with chimeric antigen receptors, or CAR-T, for several reasons including:</w:t>
      </w:r>
    </w:p>
    <w:p>
      <w:pPr>
        <w:spacing w:after="0" w:line="160" w:lineRule="exact"/>
        <w:rPr>
          <w:sz w:val="20"/>
          <w:szCs w:val="20"/>
          <w:color w:val="auto"/>
        </w:rPr>
      </w:pPr>
    </w:p>
    <w:p>
      <w:pPr>
        <w:ind w:left="680" w:hanging="328"/>
        <w:spacing w:after="0"/>
        <w:tabs>
          <w:tab w:leader="none" w:pos="68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Multiple targets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enhanced tumoricidal effect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minimized tumor immune escape</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Clinical safety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treatment-related side effects, including immune effector cell-associated neurotoxicity syndrome (ICANS) or other severe adverse effects (SAEs), were attributed to the use of MAR-T cell therapies to date</w:t>
      </w:r>
    </w:p>
    <w:p>
      <w:pPr>
        <w:spacing w:after="0" w:line="160" w:lineRule="exact"/>
        <w:rPr>
          <w:rFonts w:ascii="Arial" w:cs="Arial" w:eastAsia="Arial" w:hAnsi="Arial"/>
          <w:sz w:val="18"/>
          <w:szCs w:val="18"/>
          <w:color w:val="auto"/>
        </w:rPr>
      </w:pPr>
    </w:p>
    <w:p>
      <w:pPr>
        <w:jc w:val="both"/>
        <w:ind w:left="680" w:right="20" w:hanging="328"/>
        <w:spacing w:after="0" w:line="265" w:lineRule="auto"/>
        <w:tabs>
          <w:tab w:leader="none" w:pos="68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Non-genetically engineered T cell products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selective expansion of tumor-specific T cells from a patient’s or donor’s blood capable of recognizing a broad range of tumor antigens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risk of mutagenesis and reduced manufacturing complexity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124460</wp:posOffset>
            </wp:positionV>
            <wp:extent cx="5846445" cy="143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5846445" cy="1431925"/>
                    </a:xfrm>
                    <a:prstGeom prst="rect">
                      <a:avLst/>
                    </a:prstGeom>
                    <a:noFill/>
                  </pic:spPr>
                </pic:pic>
              </a:graphicData>
            </a:graphic>
          </wp:anchor>
        </w:drawing>
      </w:r>
    </w:p>
    <w:p>
      <w:pPr>
        <w:sectPr>
          <w:pgSz w:w="12240" w:h="15840" w:orient="portrait"/>
          <w:cols w:equalWidth="0" w:num="1">
            <w:col w:w="9920"/>
          </w:cols>
          <w:pgMar w:left="1160" w:top="4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920"/>
          </w:cols>
          <w:pgMar w:left="1160" w:top="427" w:right="1160" w:bottom="0" w:gutter="0" w:footer="0" w:header="0"/>
          <w:type w:val="continuous"/>
        </w:sectPr>
      </w:pPr>
    </w:p>
    <w:bookmarkStart w:id="7" w:name="page8"/>
    <w:bookmarkEnd w:id="7"/>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We believe that our manufacturing process allows additional modifications to expand MAR-T cell recognition of cancer targets. For example, we are assessing the potential of combining MAR-T cell products with other products.</w:t>
      </w:r>
    </w:p>
    <w:p>
      <w:pPr>
        <w:spacing w:after="0" w:line="156" w:lineRule="exact"/>
        <w:rPr>
          <w:sz w:val="20"/>
          <w:szCs w:val="20"/>
          <w:color w:val="auto"/>
        </w:rPr>
      </w:pPr>
    </w:p>
    <w:p>
      <w:pPr>
        <w:ind w:right="4580"/>
        <w:spacing w:after="0" w:line="502" w:lineRule="auto"/>
        <w:rPr>
          <w:sz w:val="20"/>
          <w:szCs w:val="20"/>
          <w:color w:val="auto"/>
        </w:rPr>
      </w:pPr>
      <w:r>
        <w:rPr>
          <w:rFonts w:ascii="Times New Roman" w:cs="Times New Roman" w:eastAsia="Times New Roman" w:hAnsi="Times New Roman"/>
          <w:sz w:val="18"/>
          <w:szCs w:val="18"/>
          <w:b w:val="1"/>
          <w:bCs w:val="1"/>
          <w:color w:val="auto"/>
        </w:rPr>
        <w:t xml:space="preserve">Company-Sponsored Clinical Development of MAR-T Cell Therapies </w:t>
      </w:r>
      <w:r>
        <w:rPr>
          <w:rFonts w:ascii="Arial" w:cs="Arial" w:eastAsia="Arial" w:hAnsi="Arial"/>
          <w:sz w:val="18"/>
          <w:szCs w:val="18"/>
          <w:i w:val="1"/>
          <w:iCs w:val="1"/>
          <w:color w:val="auto"/>
        </w:rPr>
        <w:t>MT-601 for the Treatment of Lymphoma</w:t>
      </w:r>
    </w:p>
    <w:p>
      <w:pPr>
        <w:jc w:val="both"/>
        <w:spacing w:after="0" w:line="283" w:lineRule="auto"/>
        <w:rPr>
          <w:sz w:val="20"/>
          <w:szCs w:val="20"/>
          <w:color w:val="auto"/>
        </w:rPr>
      </w:pPr>
      <w:r>
        <w:rPr>
          <w:rFonts w:ascii="Times New Roman" w:cs="Times New Roman" w:eastAsia="Times New Roman" w:hAnsi="Times New Roman"/>
          <w:sz w:val="18"/>
          <w:szCs w:val="18"/>
          <w:color w:val="auto"/>
        </w:rPr>
        <w:t>We developed MT-601, a MAR-T cell product capable of recognizing multiple target antigens expressed by the tumor, thereby limiting tumor adaptation by negative antigen selection or downregulation.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evaluating the safety and efficacy of MT-601 in a Phase 1, multicenter, open-label study (APOLLO) in participants with relapsed or refractory lymphoma who either failed or are ineligible for anti-CD19 CAR-T cell therapy. MT-601 is a MAR-T cell product that specifically targets six different tumor antigens upregulated in lymphoma cells (Survivin, PRAME, WT1, NY-ESO-1, SSX-2, MAGEA-4). Although CD19-targeting CAR-T cell therapies have gained acceptance as treatment for patients with lymphoma, 40-60% of patients relapse within the first year of treatment (</w:t>
      </w:r>
      <w:r>
        <w:rPr>
          <w:rFonts w:ascii="Times New Roman" w:cs="Times New Roman" w:eastAsia="Times New Roman" w:hAnsi="Times New Roman"/>
          <w:sz w:val="18"/>
          <w:szCs w:val="18"/>
          <w:u w:val="single" w:color="auto"/>
          <w:color w:val="auto"/>
        </w:rPr>
        <w:t>Chong et al, N Engl J Med, 2021; Neelapu et al, Blood, 2023</w:t>
      </w:r>
      <w:r>
        <w:rPr>
          <w:rFonts w:ascii="Times New Roman" w:cs="Times New Roman" w:eastAsia="Times New Roman" w:hAnsi="Times New Roman"/>
          <w:sz w:val="18"/>
          <w:szCs w:val="18"/>
          <w:color w:val="auto"/>
        </w:rPr>
        <w:t>.). These post-CD19 CAR-T relapsed patients currently have no approved standard of care, illustrating a high unmet medical need and urgency for new therapies. In addition, CAR-T cells are associated with severe side effects such as CRS or ICANS and may increase the risk for secondary malignancies (U.S. Food and Drug Administration, November 28, 2023). Data from clinical trials to date have demonstrated that MAR-T cells are well tolerated with no evidence of ICANS. In addition, Marker’s non-engineered MAR-T cell approach selectively expands natural tumor-specific T cells from a patient’s blood that can recognize a broad range of tumor antigens, minimizing the risk of mutagenesis.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-452120</wp:posOffset>
            </wp:positionV>
            <wp:extent cx="26371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2637155" cy="34290"/>
                    </a:xfrm>
                    <a:prstGeom prst="rect">
                      <a:avLst/>
                    </a:prstGeom>
                    <a:noFill/>
                  </pic:spPr>
                </pic:pic>
              </a:graphicData>
            </a:graphic>
          </wp:anchor>
        </w:drawing>
      </w:r>
    </w:p>
    <w:p>
      <w:pPr>
        <w:spacing w:after="0" w:line="172"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In August 2022, the FDA cleared our IND application for MT-601 for the treatment of patients with relapsed/refractory non-Hodgkin lymphoma who have failed or are ineligible to receive anti-CD19 CAR-T cell treatment. The Phase 1 APOLLO trial was initiated in January 2023. In June 2023, we reported first enrollment in the dose escalation stage of the Phase 1 study. In December 2024, the Company provided an update on the progress and clinical observations from the Phase 1 study, with a data cutoff date of September 10, 2024. In this update, clinical data was available for 9 patients from 5 clinical sites across the United States. Study participants showed early objective responses with and without lymphodepletion. However, immunomonitoring data confirmed that lymphodepletion enhanced the expansion and persistence of MAR-T cell clones in vivo.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the APOLLO study include:</w:t>
      </w:r>
    </w:p>
    <w:p>
      <w:pPr>
        <w:spacing w:after="0" w:line="222" w:lineRule="exact"/>
        <w:rPr>
          <w:sz w:val="20"/>
          <w:szCs w:val="20"/>
          <w:color w:val="auto"/>
        </w:rPr>
      </w:pPr>
    </w:p>
    <w:p>
      <w:pPr>
        <w:jc w:val="both"/>
        <w:ind w:left="680" w:right="20" w:hanging="328"/>
        <w:spacing w:after="0" w:line="268" w:lineRule="auto"/>
        <w:tabs>
          <w:tab w:leader="none" w:pos="68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 Infusion of MT-601 was well tolerated in all study participants, with no observation of immune-effector cell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neurotoxicity syndrome (ICANS) and one reported Grade 1 cytokine release syndrome (CRS). No dose limiting toxicities (DLTs) have been reported to date.</w:t>
      </w:r>
    </w:p>
    <w:p>
      <w:pPr>
        <w:spacing w:after="0" w:line="169" w:lineRule="exact"/>
        <w:rPr>
          <w:rFonts w:ascii="Arial" w:cs="Arial" w:eastAsia="Arial" w:hAnsi="Arial"/>
          <w:sz w:val="18"/>
          <w:szCs w:val="18"/>
          <w:color w:val="auto"/>
        </w:rPr>
      </w:pPr>
    </w:p>
    <w:p>
      <w:pPr>
        <w:ind w:left="680" w:right="20" w:hanging="328"/>
        <w:spacing w:after="0" w:line="285" w:lineRule="auto"/>
        <w:tabs>
          <w:tab w:leader="none" w:pos="68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Efficacy </w:t>
      </w:r>
      <w:r>
        <w:rPr>
          <w:rFonts w:ascii="Times New Roman" w:cs="Times New Roman" w:eastAsia="Times New Roman" w:hAnsi="Times New Roman"/>
          <w:sz w:val="18"/>
          <w:szCs w:val="18"/>
          <w:color w:val="auto"/>
        </w:rPr>
        <w:t>– In the first dose cohort, 7 out of 9 patients achieved objective responses (78%) at first response assessment, with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demonstrating complete response (CR; 44.4%) (Table 1).</w:t>
      </w:r>
    </w:p>
    <w:p>
      <w:pPr>
        <w:spacing w:after="0" w:line="155" w:lineRule="exact"/>
        <w:rPr>
          <w:rFonts w:ascii="Arial" w:cs="Arial" w:eastAsia="Arial" w:hAnsi="Arial"/>
          <w:sz w:val="18"/>
          <w:szCs w:val="18"/>
          <w:color w:val="auto"/>
        </w:rPr>
      </w:pPr>
    </w:p>
    <w:p>
      <w:pPr>
        <w:jc w:val="both"/>
        <w:ind w:left="680" w:right="20" w:hanging="328"/>
        <w:spacing w:after="0" w:line="268" w:lineRule="auto"/>
        <w:tabs>
          <w:tab w:leader="none" w:pos="681"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Time in Follow-Up </w:t>
      </w:r>
      <w:r>
        <w:rPr>
          <w:rFonts w:ascii="Times New Roman" w:cs="Times New Roman" w:eastAsia="Times New Roman" w:hAnsi="Times New Roman"/>
          <w:sz w:val="18"/>
          <w:szCs w:val="18"/>
          <w:color w:val="auto"/>
        </w:rPr>
        <w:t>– Long-term follow-up of 6 to 12 months is currently available for three patients (Table 2). Ongoing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follow-up visits are being conducted to assess the durability of responses. All study participants are monitored closely to ensure comprehensive data collection and patient safety.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1: MT-601 shows objective responses at first disease assessment.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 of Patients Treated</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 Prior Lines of</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Response Rate at First</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CR at First Assessment</w:t>
            </w:r>
          </w:p>
        </w:tc>
        <w:tc>
          <w:tcPr>
            <w:tcW w:w="0" w:type="dxa"/>
            <w:vAlign w:val="bottom"/>
          </w:tcPr>
          <w:p>
            <w:pPr>
              <w:spacing w:after="0"/>
              <w:rPr>
                <w:sz w:val="1"/>
                <w:szCs w:val="1"/>
                <w:color w:val="auto"/>
              </w:rPr>
            </w:pPr>
          </w:p>
        </w:tc>
      </w:tr>
      <w:tr>
        <w:trPr>
          <w:trHeight w:val="175"/>
        </w:trPr>
        <w:tc>
          <w:tcPr>
            <w:tcW w:w="2860" w:type="dxa"/>
            <w:vAlign w:val="bottom"/>
            <w:gridSpan w:val="2"/>
            <w:vMerge w:val="continue"/>
          </w:tcPr>
          <w:p>
            <w:pPr>
              <w:spacing w:after="0"/>
              <w:rPr>
                <w:sz w:val="15"/>
                <w:szCs w:val="15"/>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Therapy</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Assessment</w:t>
            </w:r>
          </w:p>
        </w:tc>
        <w:tc>
          <w:tcPr>
            <w:tcW w:w="2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20" w:type="dxa"/>
            <w:vAlign w:val="bottom"/>
            <w:tcBorders>
              <w:top w:val="single" w:sz="8" w:color="auto"/>
            </w:tcBorders>
            <w:shd w:val="clear" w:color="auto" w:fill="D2EEF5"/>
          </w:tcPr>
          <w:p>
            <w:pPr>
              <w:jc w:val="right"/>
              <w:ind w:right="1179"/>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D2EEF5"/>
            </w:tcBorders>
            <w:shd w:val="clear" w:color="auto" w:fill="D2EEF5"/>
          </w:tcPr>
          <w:p>
            <w:pPr>
              <w:spacing w:after="0"/>
              <w:rPr>
                <w:sz w:val="18"/>
                <w:szCs w:val="18"/>
                <w:color w:val="auto"/>
              </w:rPr>
            </w:pPr>
          </w:p>
        </w:tc>
        <w:tc>
          <w:tcPr>
            <w:tcW w:w="1760" w:type="dxa"/>
            <w:vAlign w:val="bottom"/>
            <w:tcBorders>
              <w:top w:val="single" w:sz="8" w:color="auto"/>
            </w:tcBorders>
            <w:shd w:val="clear" w:color="auto" w:fill="D2EEF5"/>
          </w:tcPr>
          <w:p>
            <w:pPr>
              <w:jc w:val="center"/>
              <w:spacing w:after="0"/>
              <w:rPr>
                <w:sz w:val="20"/>
                <w:szCs w:val="20"/>
                <w:color w:val="auto"/>
              </w:rPr>
            </w:pPr>
            <w:r>
              <w:rPr>
                <w:rFonts w:ascii="Times New Roman" w:cs="Times New Roman" w:eastAsia="Times New Roman" w:hAnsi="Times New Roman"/>
                <w:sz w:val="18"/>
                <w:szCs w:val="18"/>
                <w:color w:val="auto"/>
              </w:rPr>
              <w:t>3 – 12</w:t>
            </w:r>
          </w:p>
        </w:tc>
        <w:tc>
          <w:tcPr>
            <w:tcW w:w="220" w:type="dxa"/>
            <w:vAlign w:val="bottom"/>
            <w:tcBorders>
              <w:top w:val="single" w:sz="8" w:color="D2EEF5"/>
            </w:tcBorders>
            <w:shd w:val="clear" w:color="auto" w:fill="D2EEF5"/>
          </w:tcPr>
          <w:p>
            <w:pPr>
              <w:spacing w:after="0"/>
              <w:rPr>
                <w:sz w:val="18"/>
                <w:szCs w:val="18"/>
                <w:color w:val="auto"/>
              </w:rPr>
            </w:pPr>
          </w:p>
        </w:tc>
        <w:tc>
          <w:tcPr>
            <w:tcW w:w="2640" w:type="dxa"/>
            <w:vAlign w:val="bottom"/>
            <w:tcBorders>
              <w:top w:val="single" w:sz="8" w:color="auto"/>
            </w:tcBorders>
            <w:shd w:val="clear" w:color="auto" w:fill="D2EEF5"/>
          </w:tcPr>
          <w:p>
            <w:pPr>
              <w:jc w:val="center"/>
              <w:spacing w:after="0"/>
              <w:rPr>
                <w:sz w:val="20"/>
                <w:szCs w:val="20"/>
                <w:color w:val="auto"/>
              </w:rPr>
            </w:pPr>
            <w:r>
              <w:rPr>
                <w:rFonts w:ascii="Times New Roman" w:cs="Times New Roman" w:eastAsia="Times New Roman" w:hAnsi="Times New Roman"/>
                <w:sz w:val="18"/>
                <w:szCs w:val="18"/>
                <w:color w:val="auto"/>
                <w:w w:val="96"/>
              </w:rPr>
              <w:t>78%</w:t>
            </w:r>
          </w:p>
        </w:tc>
        <w:tc>
          <w:tcPr>
            <w:tcW w:w="240" w:type="dxa"/>
            <w:vAlign w:val="bottom"/>
            <w:tcBorders>
              <w:top w:val="single" w:sz="8" w:color="D2EEF5"/>
            </w:tcBorders>
            <w:shd w:val="clear" w:color="auto" w:fill="D2EEF5"/>
          </w:tcPr>
          <w:p>
            <w:pPr>
              <w:spacing w:after="0"/>
              <w:rPr>
                <w:sz w:val="18"/>
                <w:szCs w:val="18"/>
                <w:color w:val="auto"/>
              </w:rPr>
            </w:pPr>
          </w:p>
        </w:tc>
        <w:tc>
          <w:tcPr>
            <w:tcW w:w="2200" w:type="dxa"/>
            <w:vAlign w:val="bottom"/>
            <w:tcBorders>
              <w:top w:val="single" w:sz="8" w:color="auto"/>
            </w:tcBorders>
            <w:shd w:val="clear" w:color="auto" w:fill="D2EEF5"/>
          </w:tcPr>
          <w:p>
            <w:pPr>
              <w:jc w:val="right"/>
              <w:ind w:right="799"/>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 Complete Response. Data as of September 10, 2024.</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920"/>
          </w:cols>
          <w:pgMar w:left="1160" w:top="431" w:right="1160" w:bottom="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i w:val="1"/>
          <w:iCs w:val="1"/>
          <w:color w:val="auto"/>
        </w:rPr>
        <w:t>Table 2: Duration of patient follow-up in Phase 1 APOLLO study;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Longest Follow-Up</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 of Patients</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Clinical Response</w:t>
            </w:r>
          </w:p>
        </w:tc>
      </w:tr>
      <w:tr>
        <w:trPr>
          <w:trHeight w:val="209"/>
        </w:trPr>
        <w:tc>
          <w:tcPr>
            <w:tcW w:w="3600" w:type="dxa"/>
            <w:vAlign w:val="bottom"/>
            <w:tcBorders>
              <w:top w:val="single" w:sz="8" w:color="auto"/>
            </w:tcBorders>
            <w:shd w:val="clear" w:color="auto" w:fill="D2EEF5"/>
          </w:tcPr>
          <w:p>
            <w:pPr>
              <w:jc w:val="center"/>
              <w:spacing w:after="0"/>
              <w:rPr>
                <w:sz w:val="20"/>
                <w:szCs w:val="20"/>
                <w:color w:val="auto"/>
              </w:rPr>
            </w:pPr>
            <w:r>
              <w:rPr>
                <w:rFonts w:ascii="Arial" w:cs="Arial" w:eastAsia="Arial" w:hAnsi="Arial"/>
                <w:sz w:val="18"/>
                <w:szCs w:val="18"/>
                <w:color w:val="auto"/>
                <w:w w:val="99"/>
              </w:rPr>
              <w:t xml:space="preserve">≥ </w:t>
            </w:r>
            <w:r>
              <w:rPr>
                <w:rFonts w:ascii="Times New Roman" w:cs="Times New Roman" w:eastAsia="Times New Roman" w:hAnsi="Times New Roman"/>
                <w:sz w:val="18"/>
                <w:szCs w:val="18"/>
                <w:color w:val="auto"/>
                <w:w w:val="99"/>
              </w:rPr>
              <w:t>12 months</w:t>
            </w:r>
          </w:p>
        </w:tc>
        <w:tc>
          <w:tcPr>
            <w:tcW w:w="220" w:type="dxa"/>
            <w:vAlign w:val="bottom"/>
            <w:tcBorders>
              <w:top w:val="single" w:sz="8" w:color="D2EEF5"/>
            </w:tcBorders>
            <w:shd w:val="clear" w:color="auto" w:fill="D2EEF5"/>
          </w:tcPr>
          <w:p>
            <w:pPr>
              <w:spacing w:after="0"/>
              <w:rPr>
                <w:sz w:val="18"/>
                <w:szCs w:val="18"/>
                <w:color w:val="auto"/>
              </w:rPr>
            </w:pPr>
          </w:p>
        </w:tc>
        <w:tc>
          <w:tcPr>
            <w:tcW w:w="2260" w:type="dxa"/>
            <w:vAlign w:val="bottom"/>
            <w:tcBorders>
              <w:top w:val="single" w:sz="8" w:color="auto"/>
            </w:tcBorders>
            <w:shd w:val="clear" w:color="auto" w:fill="D2EEF5"/>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D2EEF5"/>
            </w:tcBorders>
            <w:shd w:val="clear" w:color="auto" w:fill="D2EEF5"/>
          </w:tcPr>
          <w:p>
            <w:pPr>
              <w:spacing w:after="0"/>
              <w:rPr>
                <w:sz w:val="18"/>
                <w:szCs w:val="18"/>
                <w:color w:val="auto"/>
              </w:rPr>
            </w:pPr>
          </w:p>
        </w:tc>
        <w:tc>
          <w:tcPr>
            <w:tcW w:w="3620" w:type="dxa"/>
            <w:vAlign w:val="bottom"/>
            <w:tcBorders>
              <w:top w:val="single" w:sz="8" w:color="auto"/>
            </w:tcBorders>
            <w:shd w:val="clear" w:color="auto" w:fill="D2EEF5"/>
          </w:tcPr>
          <w:p>
            <w:pPr>
              <w:jc w:val="center"/>
              <w:spacing w:after="0"/>
              <w:rPr>
                <w:sz w:val="20"/>
                <w:szCs w:val="20"/>
                <w:color w:val="auto"/>
              </w:rPr>
            </w:pPr>
            <w:r>
              <w:rPr>
                <w:rFonts w:ascii="Times New Roman" w:cs="Times New Roman" w:eastAsia="Times New Roman" w:hAnsi="Times New Roman"/>
                <w:sz w:val="18"/>
                <w:szCs w:val="18"/>
                <w:color w:val="auto"/>
                <w:w w:val="99"/>
              </w:rPr>
              <w:t>CR</w:t>
            </w:r>
          </w:p>
        </w:tc>
      </w:tr>
      <w:tr>
        <w:trPr>
          <w:trHeight w:val="216"/>
        </w:trPr>
        <w:tc>
          <w:tcPr>
            <w:tcW w:w="38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 xml:space="preserve">≥ </w:t>
            </w:r>
            <w:r>
              <w:rPr>
                <w:rFonts w:ascii="Times New Roman" w:cs="Times New Roman" w:eastAsia="Times New Roman" w:hAnsi="Times New Roman"/>
                <w:sz w:val="18"/>
                <w:szCs w:val="18"/>
                <w:color w:val="auto"/>
                <w:w w:val="98"/>
              </w:rPr>
              <w:t>6 months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CR, PR</w:t>
            </w:r>
          </w:p>
        </w:tc>
      </w:tr>
      <w:tr>
        <w:trPr>
          <w:trHeight w:val="216"/>
        </w:trPr>
        <w:tc>
          <w:tcPr>
            <w:tcW w:w="3820" w:type="dxa"/>
            <w:vAlign w:val="bottom"/>
            <w:gridSpan w:val="2"/>
            <w:shd w:val="clear" w:color="auto" w:fill="D2EEF5"/>
          </w:tcPr>
          <w:p>
            <w:pPr>
              <w:jc w:val="center"/>
              <w:ind w:right="240"/>
              <w:spacing w:after="0"/>
              <w:rPr>
                <w:sz w:val="20"/>
                <w:szCs w:val="20"/>
                <w:color w:val="auto"/>
              </w:rPr>
            </w:pPr>
            <w:r>
              <w:rPr>
                <w:rFonts w:ascii="Times New Roman" w:cs="Times New Roman" w:eastAsia="Times New Roman" w:hAnsi="Times New Roman"/>
                <w:sz w:val="18"/>
                <w:szCs w:val="18"/>
                <w:color w:val="auto"/>
              </w:rPr>
              <w:t>1-4 months</w:t>
            </w:r>
          </w:p>
        </w:tc>
        <w:tc>
          <w:tcPr>
            <w:tcW w:w="2260" w:type="dxa"/>
            <w:vAlign w:val="bottom"/>
            <w:shd w:val="clear" w:color="auto" w:fill="D2EEF5"/>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D2EEF5"/>
          </w:tcPr>
          <w:p>
            <w:pPr>
              <w:spacing w:after="0"/>
              <w:rPr>
                <w:sz w:val="18"/>
                <w:szCs w:val="18"/>
                <w:color w:val="auto"/>
              </w:rPr>
            </w:pPr>
          </w:p>
        </w:tc>
        <w:tc>
          <w:tcPr>
            <w:tcW w:w="3620" w:type="dxa"/>
            <w:vAlign w:val="bottom"/>
            <w:shd w:val="clear" w:color="auto" w:fill="D2EEF5"/>
          </w:tcPr>
          <w:p>
            <w:pPr>
              <w:jc w:val="center"/>
              <w:spacing w:after="0"/>
              <w:rPr>
                <w:sz w:val="20"/>
                <w:szCs w:val="20"/>
                <w:color w:val="auto"/>
              </w:rPr>
            </w:pPr>
            <w:r>
              <w:rPr>
                <w:rFonts w:ascii="Times New Roman" w:cs="Times New Roman" w:eastAsia="Times New Roman" w:hAnsi="Times New Roman"/>
                <w:sz w:val="18"/>
                <w:szCs w:val="18"/>
                <w:color w:val="auto"/>
                <w:w w:val="98"/>
              </w:rPr>
              <w:t>CR, PR</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 Complete Response; PR, Partial Response. Data as of September 10,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further validate these observations, additional patients are currently being enrolled in the Phase 1 study.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MT-601 for the Treatment of Pancreatic Cancer</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interim data for an ongoing Phase 1/2 clinical trial (TACTOPS) of the MAR-T cell therapy targeting five TAAs for the treatment of pancreatic adenocarcinoma being conducted by BCM. In this trial, we have observed a clinical benefit with 4 of 13 patients (31%) showing objective responses in front-line unresectable or metastatic pancreatic cancer, which correlated with the post-infusion detection of tumor-reactive T cells in patient peripheral blood and within tumor biopsy samples in patients in the tumor-resection arm of the trial. To date, we have not observed any cytokine release syndrome or neurotoxicity in this trial.</w:t>
      </w:r>
    </w:p>
    <w:p>
      <w:pPr>
        <w:spacing w:after="0" w:line="183" w:lineRule="exact"/>
        <w:rPr>
          <w:sz w:val="20"/>
          <w:szCs w:val="20"/>
          <w:color w:val="auto"/>
        </w:rPr>
      </w:pPr>
    </w:p>
    <w:p>
      <w:pPr>
        <w:jc w:val="both"/>
        <w:ind w:right="20" w:firstLine="1"/>
        <w:spacing w:after="0" w:line="255" w:lineRule="auto"/>
        <w:rPr>
          <w:sz w:val="20"/>
          <w:szCs w:val="20"/>
          <w:color w:val="auto"/>
        </w:rPr>
      </w:pPr>
      <w:r>
        <w:rPr>
          <w:rFonts w:ascii="Times New Roman" w:cs="Times New Roman" w:eastAsia="Times New Roman" w:hAnsi="Times New Roman"/>
          <w:sz w:val="18"/>
          <w:szCs w:val="18"/>
          <w:color w:val="auto"/>
        </w:rPr>
        <w:t>In January 2022, the FDA granted orphan drug designation to MT-601 for the treatment of patients with pancreatic cancer. The FDA cleared our IND application for MT-601 in November 2022 to initiate the PANACEA study, a Phase 1 multicenter clinical trial in locally advanced, unresectable or metastatic pancreatic cancer to assess the safety and efficacy of MT-601 in combination with front-line chemotherapy. The PANACEA trial will include a dose escalation portion followed by a dose expansion portion. We recently announced that the Company has been awarded a $9.5 million grant from the Cancer Prevention &amp; Research Institute of Texas (CPRIT) and a $2 million grant from the NIH Small Business Innovation Research (SBIR) program to support the clinical investigation of MT-601 in patients with metastatic pancreatic cancer. With the support of these grants, we will be able to advance MT-601 in pancreatic cancer without affecting our operations in the ongoing study of MT-601 in patients with lymphoma.</w:t>
      </w:r>
    </w:p>
    <w:p>
      <w:pPr>
        <w:spacing w:after="0" w:line="182" w:lineRule="exact"/>
        <w:rPr>
          <w:sz w:val="20"/>
          <w:szCs w:val="20"/>
          <w:color w:val="auto"/>
        </w:rPr>
      </w:pPr>
    </w:p>
    <w:p>
      <w:pPr>
        <w:ind w:right="4500"/>
        <w:spacing w:after="0" w:line="502" w:lineRule="auto"/>
        <w:rPr>
          <w:sz w:val="20"/>
          <w:szCs w:val="20"/>
          <w:color w:val="auto"/>
        </w:rPr>
      </w:pPr>
      <w:r>
        <w:rPr>
          <w:rFonts w:ascii="Arial" w:cs="Arial" w:eastAsia="Arial" w:hAnsi="Arial"/>
          <w:sz w:val="18"/>
          <w:szCs w:val="18"/>
          <w:i w:val="1"/>
          <w:iCs w:val="1"/>
          <w:color w:val="auto"/>
        </w:rPr>
        <w:t>MT-401 for the Treatment of Patients with AML and MT-401-OTS Program MT-401 ARTEMIS Study:</w:t>
      </w:r>
    </w:p>
    <w:p>
      <w:pPr>
        <w:spacing w:after="0" w:line="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In January 2024, we announced discontinuation of the Phase 2 ARTEMIS study to prioritize the MT-401-OTS program in patients with Acute Myeloid Leukemia (AML) and Myelodysplastic Syndromes (MDS).</w:t>
      </w:r>
    </w:p>
    <w:p>
      <w:pPr>
        <w:spacing w:after="0" w:line="160" w:lineRule="exact"/>
        <w:rPr>
          <w:sz w:val="20"/>
          <w:szCs w:val="20"/>
          <w:color w:val="auto"/>
        </w:rPr>
      </w:pPr>
    </w:p>
    <w:p>
      <w:pPr>
        <w:jc w:val="both"/>
        <w:ind w:right="20" w:firstLine="1"/>
        <w:spacing w:after="0" w:line="261" w:lineRule="auto"/>
        <w:rPr>
          <w:sz w:val="20"/>
          <w:szCs w:val="20"/>
          <w:color w:val="auto"/>
        </w:rPr>
      </w:pPr>
      <w:r>
        <w:rPr>
          <w:rFonts w:ascii="Times New Roman" w:cs="Times New Roman" w:eastAsia="Times New Roman" w:hAnsi="Times New Roman"/>
          <w:sz w:val="18"/>
          <w:szCs w:val="18"/>
          <w:color w:val="auto"/>
        </w:rPr>
        <w:t>The previous ARTEMIS study was investigating MT-401 (zedenoleucel), in post-allogeneic hematopoietic stem cell transplant (HSCT) patients with AML. The study had three treatment arms, including patients with measurable residual disease (MRD), as well as patients with MRD negative complete remission or active disease. The dose administered in this multicenter trial was up to 200 million cells every two weeks for up to three doses.</w:t>
      </w:r>
    </w:p>
    <w:p>
      <w:pPr>
        <w:spacing w:after="0" w:line="180" w:lineRule="exact"/>
        <w:rPr>
          <w:sz w:val="20"/>
          <w:szCs w:val="20"/>
          <w:color w:val="auto"/>
        </w:rPr>
      </w:pPr>
    </w:p>
    <w:p>
      <w:pPr>
        <w:jc w:val="both"/>
        <w:ind w:left="680" w:right="20" w:hanging="328"/>
        <w:spacing w:after="0" w:line="266" w:lineRule="auto"/>
        <w:tabs>
          <w:tab w:leader="none" w:pos="679"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In April 2020, the Orphan Product Development Office of the United States Food and Drug Administration, or the FDA, granted orphan drug designation to MT-401 (zedenoleucel), a MAR-T cell therapy that targets four TAAs, for the treatment of AML.</w:t>
      </w:r>
    </w:p>
    <w:p>
      <w:pPr>
        <w:spacing w:after="0" w:line="174" w:lineRule="exact"/>
        <w:rPr>
          <w:rFonts w:ascii="Arial" w:cs="Arial" w:eastAsia="Arial" w:hAnsi="Arial"/>
          <w:sz w:val="18"/>
          <w:szCs w:val="18"/>
          <w:color w:val="auto"/>
        </w:rPr>
      </w:pPr>
    </w:p>
    <w:p>
      <w:pPr>
        <w:ind w:left="680" w:hanging="328"/>
        <w:spacing w:after="0" w:line="282" w:lineRule="auto"/>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same MAR-T cell therapy has been well tolerated in an ongoing Phase 1 clinical trial in AML and myelodysplastic syndrome, or MDS, conducted by our strategic partner Baylor College of Medicine, or BCM.</w:t>
      </w:r>
    </w:p>
    <w:p>
      <w:pPr>
        <w:spacing w:after="0" w:line="160" w:lineRule="exact"/>
        <w:rPr>
          <w:rFonts w:ascii="Arial" w:cs="Arial" w:eastAsia="Arial" w:hAnsi="Arial"/>
          <w:sz w:val="18"/>
          <w:szCs w:val="18"/>
          <w:color w:val="auto"/>
        </w:rPr>
      </w:pPr>
    </w:p>
    <w:p>
      <w:pPr>
        <w:jc w:val="both"/>
        <w:ind w:left="680" w:right="20" w:hanging="328"/>
        <w:spacing w:after="0" w:line="256" w:lineRule="auto"/>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As reported in a 2021 publication by Lulla et al., 11 of the 17 patients in the adjuvant disease setting dosed with the MAR-T cell therapy after receiving an allogeneic HSCT were relapse free [median leukemia-free survival, or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920"/>
          </w:cols>
          <w:pgMar w:left="1160" w:top="428" w:right="1160" w:bottom="0" w:gutter="0" w:footer="0" w:header="0"/>
          <w:type w:val="continuous"/>
        </w:sectPr>
      </w:pPr>
    </w:p>
    <w:bookmarkStart w:id="9" w:name="page10"/>
    <w:bookmarkEnd w:id="9"/>
    <w:p>
      <w:pPr>
        <w:ind w:left="680" w:hanging="328"/>
        <w:spacing w:after="0" w:line="282"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Additionally, eight patients were treated for active disease that was resistant to salvage therapy post-HSCT with a median of five prior lines of therapy (range: four to 10).</w:t>
      </w:r>
    </w:p>
    <w:p>
      <w:pPr>
        <w:spacing w:after="0" w:line="161" w:lineRule="exact"/>
        <w:rPr>
          <w:sz w:val="20"/>
          <w:szCs w:val="20"/>
          <w:color w:val="auto"/>
        </w:rPr>
      </w:pPr>
    </w:p>
    <w:p>
      <w:pPr>
        <w:ind w:left="1320" w:right="20" w:hanging="320"/>
        <w:spacing w:after="0" w:line="282" w:lineRule="auto"/>
        <w:tabs>
          <w:tab w:leader="none" w:pos="1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One of the eight patients crossed over from the adjuvant group, while two patients enrolled twice, but all three patients had active AML that failed another line of salvage therapy after their first MAR-T cell infusion.</w:t>
      </w:r>
    </w:p>
    <w:p>
      <w:pPr>
        <w:spacing w:after="0" w:line="160" w:lineRule="exact"/>
        <w:rPr>
          <w:rFonts w:ascii="Arial" w:cs="Arial" w:eastAsia="Arial" w:hAnsi="Arial"/>
          <w:sz w:val="18"/>
          <w:szCs w:val="18"/>
          <w:color w:val="auto"/>
        </w:rPr>
      </w:pPr>
    </w:p>
    <w:p>
      <w:pPr>
        <w:ind w:left="1320" w:right="20" w:hanging="320"/>
        <w:spacing w:after="0" w:line="282" w:lineRule="auto"/>
        <w:tabs>
          <w:tab w:leader="none" w:pos="1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Two of the eight patients achieved objective responses, with one complete response and one partial response, with six patients continuing with stable disease.</w:t>
      </w:r>
    </w:p>
    <w:p>
      <w:pPr>
        <w:spacing w:after="0" w:line="160" w:lineRule="exact"/>
        <w:rPr>
          <w:rFonts w:ascii="Arial" w:cs="Arial" w:eastAsia="Arial" w:hAnsi="Arial"/>
          <w:sz w:val="18"/>
          <w:szCs w:val="18"/>
          <w:color w:val="auto"/>
        </w:rPr>
      </w:pPr>
    </w:p>
    <w:p>
      <w:pPr>
        <w:ind w:left="1320" w:right="20" w:hanging="319"/>
        <w:spacing w:after="0" w:line="282" w:lineRule="auto"/>
        <w:tabs>
          <w:tab w:leader="none" w:pos="1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We have observed evidence of a patient’s natural immune system participating in cancer killing (epitope spreading) after infusion of our MAR-T cell therapy.</w:t>
      </w:r>
    </w:p>
    <w:p>
      <w:pPr>
        <w:spacing w:after="0" w:line="161"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In 2021, the ARTEMIS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disease (MRD) positive patient and five frank relapse patients.</w:t>
      </w:r>
    </w:p>
    <w:p>
      <w:pPr>
        <w:spacing w:after="0" w:line="176" w:lineRule="exact"/>
        <w:rPr>
          <w:sz w:val="20"/>
          <w:szCs w:val="20"/>
          <w:color w:val="auto"/>
        </w:rPr>
      </w:pPr>
    </w:p>
    <w:p>
      <w:pPr>
        <w:jc w:val="both"/>
        <w:ind w:left="680" w:right="20" w:hanging="327"/>
        <w:spacing w:after="0" w:line="260" w:lineRule="auto"/>
        <w:tabs>
          <w:tab w:leader="none" w:pos="68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Consistent with the results of the BCM Phase 1 trial, there were no dose-limiting toxicities, cytokine release syndrome or neurotoxicity observed in this stage of the trial. Correlative studies showed that the patient saw significant expansion of infused MAR-T cells. There were no objective responses from the frank relapse patients. By November 2022, all six patients had completed dose-limiting toxicity (DLT) periods with no DLTs reported.</w:t>
      </w:r>
    </w:p>
    <w:p>
      <w:pPr>
        <w:spacing w:after="0" w:line="182" w:lineRule="exact"/>
        <w:rPr>
          <w:rFonts w:ascii="Arial" w:cs="Arial" w:eastAsia="Arial" w:hAnsi="Arial"/>
          <w:sz w:val="18"/>
          <w:szCs w:val="18"/>
          <w:color w:val="auto"/>
        </w:rPr>
      </w:pPr>
    </w:p>
    <w:p>
      <w:pPr>
        <w:jc w:val="both"/>
        <w:ind w:left="680" w:right="20" w:hanging="328"/>
        <w:spacing w:after="0" w:line="255" w:lineRule="auto"/>
        <w:tabs>
          <w:tab w:leader="none" w:pos="68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In the fourth quarter of 2021, the manufacturing of MT-401 for the Phase 2 trial started at the Marker Cell Therapy cGMP manufacturing facility, named MCTF01. We transitioned to treating patients using MT-401 manufactured with Marker’s new T cell manufacturing process. The improved manufacturing process greatly reduced the manufacturing time and increased both the antigen specificity and diversity. Specifically, the new process involves an improved T cell manufacturing process for MT-401 that reduces production time to 9 days (compared to the original process of &gt;30 days). This allows a 90% decrease in the number of interventions during production and an improved final T cell product compared to the original product used in previous clinical trials on MAR-T cells.</w:t>
      </w:r>
    </w:p>
    <w:p>
      <w:pPr>
        <w:spacing w:after="0" w:line="187" w:lineRule="exact"/>
        <w:rPr>
          <w:rFonts w:ascii="Arial" w:cs="Arial" w:eastAsia="Arial" w:hAnsi="Arial"/>
          <w:sz w:val="18"/>
          <w:szCs w:val="18"/>
          <w:color w:val="auto"/>
        </w:rPr>
      </w:pPr>
    </w:p>
    <w:p>
      <w:pPr>
        <w:jc w:val="both"/>
        <w:ind w:left="680" w:right="20" w:hanging="329"/>
        <w:spacing w:after="0" w:line="260" w:lineRule="auto"/>
        <w:tabs>
          <w:tab w:leader="none" w:pos="679"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After completing the safety lead-in portion, we initiated the remainder of the Phase 2 trial in July 2021. Group 1 comprised adjuvant (disease-free) patients, with the primary endpoint of relapse-free survival of patients randomized to receive MT-401 versus a control group. Group 2 comprised active disease patients in 2 single arm cohorts (MRD+ only and active disease), with primary endpoints of complete remission and duration of complete remission.</w:t>
      </w:r>
    </w:p>
    <w:p>
      <w:pPr>
        <w:spacing w:after="0" w:line="182" w:lineRule="exact"/>
        <w:rPr>
          <w:sz w:val="20"/>
          <w:szCs w:val="20"/>
          <w:color w:val="auto"/>
        </w:rPr>
      </w:pPr>
    </w:p>
    <w:p>
      <w:pPr>
        <w:jc w:val="both"/>
        <w:ind w:right="20" w:firstLine="1"/>
        <w:spacing w:after="0" w:line="261" w:lineRule="auto"/>
        <w:rPr>
          <w:sz w:val="20"/>
          <w:szCs w:val="20"/>
          <w:color w:val="auto"/>
        </w:rPr>
      </w:pPr>
      <w:r>
        <w:rPr>
          <w:rFonts w:ascii="Times New Roman" w:cs="Times New Roman" w:eastAsia="Times New Roman" w:hAnsi="Times New Roman"/>
          <w:sz w:val="18"/>
          <w:szCs w:val="18"/>
          <w:color w:val="auto"/>
        </w:rPr>
        <w:t>We were previously awarded grants from the FDA Orphan Products Grant program ($2 million), NIH Small Business Innovation Research (SBIR) program ($2 million) and the Cancer Prevention and Research Institute of Texas (CPRIT, $13 million), to support the Phase 2 clinical trial of MT-401. All funding agencies have agreed to continue their financial support and to shift funds to the MT-401-OTS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the-Shelf MT-401 (MT-401-OTS) for the Treatment of AML and MDS:</w:t>
      </w:r>
    </w:p>
    <w:p>
      <w:pPr>
        <w:spacing w:after="0" w:line="228"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Marker previously announced that it intends to focus on the advancement of the MT-401-OTS program in patients with Acute Myeloid Leukemia (AML) and Myelodysplastic Syndromes (MDS). MT-401-OTS has the potential to provide treatment to patients in as little as 72 hours. Marker believes that this fast turnaround time would be beneficial for treating patients with rapid cancer progression, such as patients with measurable residual disease (MRD) in the AML setting. In the OTS program, we intend to dose patients using “banked” products based on partially human leukocyte antigen (HLA) matching. The U.S. FDA has cleared our clinical protocol to investigate MT-401-OTS as a treatment in patients with AML. We already established a cellular inventory manufactured from healthy donors, with ongoing efforts to further expand the inventory. At full scale production, we estimate a single donor could provide treatment for approximately 40 patients, and the current stability program indicates that OTS MAR-T cell products are stable for more than a year in liquid nitrogen, which we expect will permit future on-demand availability for broad-scale implementation. We expect to dose the first patient in the second half of 2025, and, if our OTS program shows promising results in the clinic, we intend to expand the OTS platform to other hematological malignancies and solid tumors. With the grant support from the FDA Orphan Products Grant program, NIH Small Business Innovation Research (SBIR) program and the Cancer Prevention and Research Institute of Texas (CPRIT), the Company will be able to advance MT-401-OTS without affecting the investigation of its lead asset, MT-601, in patients with lymphoma.</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920"/>
          </w:cols>
          <w:pgMar w:left="1160" w:top="431" w:right="11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154940</wp:posOffset>
            </wp:positionV>
            <wp:extent cx="5023485" cy="2520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502348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Our MAR-T cells are designed to enhance the capacity of non-engineered T cells to find and kill cancer by increasing the diversity and quantity of naturally occurring cancer killing T cells within the patient.</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goal is to be the leader in the development and commercialization of transformative immunotherapies for the treatment of hematological malignancies and solid tumors. We are developing a portfolio of highly differentiated T cell therapies utilizing the MAR-T cell platform that we believe has the potential to significantly disrupt the current cell therapy landscape, while substantially improving survival and quality of life for patients with cancers.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strategy include:</w:t>
      </w:r>
    </w:p>
    <w:p>
      <w:pPr>
        <w:spacing w:after="0" w:line="221" w:lineRule="exact"/>
        <w:rPr>
          <w:sz w:val="20"/>
          <w:szCs w:val="20"/>
          <w:color w:val="auto"/>
        </w:rPr>
      </w:pPr>
    </w:p>
    <w:p>
      <w:pPr>
        <w:ind w:left="320" w:hanging="319"/>
        <w:spacing w:after="0"/>
        <w:tabs>
          <w:tab w:leader="none" w:pos="32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Expedite clinical development, regulatory approval, and commercialization of our lead product candidates.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results of the Phase 1 clinical trials of the MAR-T cell therapies conducted at BCM and the positive clinical data from the Phase 1 APOLLO study, we plan to prioritize the advancement of MT-601 in patients with lymphoma and to advance the MT-401-OTS program in patients with AML and MDS.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initiate future additional clinical trials in other tumor types based on emerging data.</w:t>
      </w:r>
    </w:p>
    <w:p>
      <w:pPr>
        <w:spacing w:after="0" w:line="221" w:lineRule="exact"/>
        <w:rPr>
          <w:sz w:val="20"/>
          <w:szCs w:val="20"/>
          <w:color w:val="auto"/>
        </w:rPr>
      </w:pPr>
    </w:p>
    <w:p>
      <w:pPr>
        <w:ind w:left="320" w:right="20" w:hanging="319"/>
        <w:spacing w:after="0" w:line="287" w:lineRule="auto"/>
        <w:tabs>
          <w:tab w:leader="none" w:pos="3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Continue to collaborate with our partners and increase our clinical activities to improve and develop adoptive cell therapy technologies.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contract and collaborate with third-parties to perform a wide variety of services to ensure the continuation of our research and development efforts, with the goal of optimizing our manufacturing process, product quality and commercial scalability. Marker previously optimized the MAR-T cell manufacturing process by decreasing the number of manipulations, semi-closing the system and reducing the total manufacturing time from the original 36 days (BCM studies) to nine days. We believe the improved manufacturing process enables products with increased antigen specificity and diversity, both of which have a strong linear correlation to anti-tumor activity and has resulted in a four-fold increase in potency in vitro.</w:t>
      </w:r>
    </w:p>
    <w:p>
      <w:pPr>
        <w:sectPr>
          <w:pgSz w:w="12240" w:h="15840" w:orient="portrait"/>
          <w:cols w:equalWidth="0" w:num="1">
            <w:col w:w="9920"/>
          </w:cols>
          <w:pgMar w:left="1160" w:top="4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920"/>
          </w:cols>
          <w:pgMar w:left="1160" w:top="427" w:right="1160" w:bottom="0" w:gutter="0" w:footer="0" w:header="0"/>
          <w:type w:val="continuous"/>
        </w:sectPr>
      </w:pPr>
    </w:p>
    <w:bookmarkStart w:id="11" w:name="page12"/>
    <w:bookmarkEnd w:id="11"/>
    <w:p>
      <w:pPr>
        <w:ind w:left="320" w:hanging="319"/>
        <w:spacing w:after="0"/>
        <w:tabs>
          <w:tab w:leader="none" w:pos="32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Invest in our platform to maximize the beneficial outcomes for cancer patients.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explore new product opportunities by increasing and/or customizing the antigens we target to expand the indications in which the MAR-T cell products will be efficacious, including solid tumors or other hematologic malignancies. Additionally, our research and development efforts may include the exploration of different doses and/or frequency of dosing and the relationship of these factors with potential therapeutic benefit.</w:t>
      </w:r>
    </w:p>
    <w:p>
      <w:pPr>
        <w:spacing w:after="0" w:line="175" w:lineRule="exact"/>
        <w:rPr>
          <w:sz w:val="20"/>
          <w:szCs w:val="20"/>
          <w:color w:val="auto"/>
        </w:rPr>
      </w:pPr>
    </w:p>
    <w:p>
      <w:pPr>
        <w:ind w:left="320" w:hanging="319"/>
        <w:spacing w:after="0"/>
        <w:tabs>
          <w:tab w:leader="none" w:pos="3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Leverage our relationships with our founding institutions, scientific founders and other scientific advisors.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and our other major institutional partners, to advance our therapies through the clinic and into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History of Cancer Immunotherapies</w:t>
      </w:r>
    </w:p>
    <w:p>
      <w:pPr>
        <w:spacing w:after="0" w:line="229"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Cell Therapy Overview</w:t>
      </w:r>
    </w:p>
    <w:p>
      <w:pPr>
        <w:spacing w:after="0" w:line="230"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The field of adoptive cell transfer is currently comprised primarily of CAR and TCR engineered T cells and has emerged from principles of basic immunology to become a paradigm-shifting clinical immunotherapy. T cell therapy, we believe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stimulated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TCRs and CARs have distinct signaling properties and antigen sensitivities. TCRs recognize peptide fragments from proteins expressed either inside the cell or on the cell surface, which are presented to T cells via major histocompatibility complex molecules. CARs are programmed to recognize a specific cell surface protein. Because CARs are specific for a single antigen, or more precisely a single epitope within the single antigen, they are very narrowly focused and have limitations. When a CAR-T cell product is applied to a</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920"/>
          </w:cols>
          <w:pgMar w:left="1160" w:top="426" w:right="1160" w:bottom="0" w:gutter="0" w:footer="0" w:header="0"/>
          <w:type w:val="continuous"/>
        </w:sectPr>
      </w:pPr>
    </w:p>
    <w:bookmarkStart w:id="12" w:name="page13"/>
    <w:bookmarkEnd w:id="12"/>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specific antigen of a heterogeneous disease, CAR-T cells may leave behind tumor cells that do not express the target antigen, which can lead to tumor relapse due to immune escape.</w:t>
      </w:r>
    </w:p>
    <w:p>
      <w:pPr>
        <w:spacing w:after="0" w:line="1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Arial" w:cs="Arial" w:eastAsia="Arial" w:hAnsi="Arial"/>
          <w:sz w:val="18"/>
          <w:szCs w:val="18"/>
          <w:i w:val="1"/>
          <w:iCs w:val="1"/>
          <w:color w:val="auto"/>
        </w:rPr>
        <w:t>in vitro</w:t>
      </w:r>
      <w:r>
        <w:rPr>
          <w:rFonts w:ascii="Times New Roman" w:cs="Times New Roman" w:eastAsia="Times New Roman" w:hAnsi="Times New Roman"/>
          <w:sz w:val="18"/>
          <w:szCs w:val="18"/>
          <w:color w:val="auto"/>
        </w:rPr>
        <w:t xml:space="preserve">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approximately 11 amino acids and span the entire length of each of the target antigens. This typical footprint of peptides allows us to induce both CD4</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(helper) and CD8</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(cytotoxic) T cells. Following manufacture, these cells are frozen and stored for later infusion. Once infused, the natural characteristics of T cells take over and the T cells multiply in quantity, forming an army of T cells that kill the targeted cancer cells.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MAR-T Cell Therapies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two MAR-T cell therapies through clinical development:</w:t>
      </w:r>
    </w:p>
    <w:p>
      <w:pPr>
        <w:spacing w:after="0" w:line="222" w:lineRule="exact"/>
        <w:rPr>
          <w:sz w:val="20"/>
          <w:szCs w:val="20"/>
          <w:color w:val="auto"/>
        </w:rPr>
      </w:pPr>
    </w:p>
    <w:p>
      <w:pPr>
        <w:jc w:val="both"/>
        <w:ind w:left="640" w:right="20" w:hanging="315"/>
        <w:spacing w:after="0" w:line="258" w:lineRule="auto"/>
        <w:tabs>
          <w:tab w:leader="none" w:pos="6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Autologous MAR-T cell therapies – </w:t>
      </w:r>
      <w:r>
        <w:rPr>
          <w:rFonts w:ascii="Times New Roman" w:cs="Times New Roman" w:eastAsia="Times New Roman" w:hAnsi="Times New Roman"/>
          <w:sz w:val="18"/>
          <w:szCs w:val="18"/>
          <w:color w:val="auto"/>
        </w:rPr>
        <w:t>The autologous product targets the NY-ESO-1, PRAME, MAGE - A4, Survivin, WT1 and</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color w:val="auto"/>
        </w:rPr>
        <w:t>SSX2 antigens (MT-601). We recently reported updated clinical data from our Phase 1 clinical trial investigating MT-601 for the treatment of patients with lymphoma who have relapsed after CAR-T therapy. In addition, we received an Investigational New Drug (IND) cleared by the U.S. FDA to investigate MT-601 in a Phase 1 trial in patients with pancreatic cancer in combination with first-line chemotherapy.</w:t>
      </w:r>
    </w:p>
    <w:p>
      <w:pPr>
        <w:spacing w:after="0" w:line="181" w:lineRule="exact"/>
        <w:rPr>
          <w:rFonts w:ascii="Times New Roman" w:cs="Times New Roman" w:eastAsia="Times New Roman" w:hAnsi="Times New Roman"/>
          <w:sz w:val="18"/>
          <w:szCs w:val="18"/>
          <w:color w:val="auto"/>
        </w:rPr>
      </w:pPr>
    </w:p>
    <w:p>
      <w:pPr>
        <w:jc w:val="both"/>
        <w:ind w:left="640" w:right="20" w:hanging="315"/>
        <w:spacing w:after="0" w:line="261" w:lineRule="auto"/>
        <w:tabs>
          <w:tab w:leader="none" w:pos="6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Off- the-Shelf (OTS) MAR-T cell therapies – </w:t>
      </w:r>
      <w:r>
        <w:rPr>
          <w:rFonts w:ascii="Times New Roman" w:cs="Times New Roman" w:eastAsia="Times New Roman" w:hAnsi="Times New Roman"/>
          <w:sz w:val="18"/>
          <w:szCs w:val="18"/>
          <w:color w:val="auto"/>
        </w:rPr>
        <w:t>The MT-401-OTS product targets WT1, NY-ESO-1, PRAME, and Survivin</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color w:val="auto"/>
        </w:rPr>
        <w:t>antigens (MT-401-OTS). We plan to enroll patients that will be matched to the pre-manufactured inventory of MT-401-OTS products based on their human leukocyte antigen, or HLA. Because the MT-401-OTS product inventory is pre-manufactured, the T cell product is delivered to the patient in a significantly shorter amount of time than a patient-specific T cell product.</w:t>
      </w:r>
    </w:p>
    <w:p>
      <w:pPr>
        <w:spacing w:after="0" w:line="18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While the blood source and the antigens for stimulation differ between the autologous and OTS therapies, the manufacturing process for each product is identical.</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920"/>
          </w:cols>
          <w:pgMar w:left="1160" w:top="431" w:right="1160" w:bottom="0" w:gutter="0" w:footer="0" w:header="0"/>
          <w:type w:val="continuous"/>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123825</wp:posOffset>
            </wp:positionV>
            <wp:extent cx="3806190" cy="1971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380619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While single-antigen specific therapies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solution to the problem of tumor heterogeneity is the development of T cell products that are intended to simultaneously attack multiple tumor-expressed antigens and thereby enable more complete initial tumor targeting, thus minimizing the subsequent opportunity for the cancer to engage escape mechanisms. We believe that by targeting up to six tumor-specific antigens, our MAR-T cell approach facilitates robust killing of targeted cancer cells and minimizes tumor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126365</wp:posOffset>
            </wp:positionV>
            <wp:extent cx="3737610" cy="1731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373761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We believe our proprietary MAR-T cell platform may have meaningful advantages over current CAR and TCR-engineered cell therapy approaches. Compared to current gene-modified T cell therapies, the MAR-T cell product candidates are characterized by the following:</w:t>
      </w:r>
    </w:p>
    <w:p>
      <w:pPr>
        <w:spacing w:after="0" w:line="156" w:lineRule="exact"/>
        <w:rPr>
          <w:sz w:val="20"/>
          <w:szCs w:val="20"/>
          <w:color w:val="auto"/>
        </w:rPr>
      </w:pPr>
    </w:p>
    <w:p>
      <w:pPr>
        <w:ind w:left="320" w:hanging="319"/>
        <w:spacing w:after="0"/>
        <w:tabs>
          <w:tab w:leader="none" w:pos="32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Clinical benefits observed in early-stage clinical trials in multiple cancer indications.</w:t>
      </w:r>
    </w:p>
    <w:p>
      <w:pPr>
        <w:spacing w:after="0" w:line="228" w:lineRule="exact"/>
        <w:rPr>
          <w:sz w:val="20"/>
          <w:szCs w:val="20"/>
          <w:color w:val="auto"/>
        </w:rPr>
      </w:pPr>
    </w:p>
    <w:p>
      <w:pPr>
        <w:jc w:val="both"/>
        <w:ind w:right="20" w:firstLine="1"/>
        <w:spacing w:after="0" w:line="258" w:lineRule="auto"/>
        <w:rPr>
          <w:sz w:val="20"/>
          <w:szCs w:val="20"/>
          <w:color w:val="auto"/>
        </w:rPr>
      </w:pPr>
      <w:r>
        <w:rPr>
          <w:rFonts w:ascii="Times New Roman" w:cs="Times New Roman" w:eastAsia="Times New Roman" w:hAnsi="Times New Roman"/>
          <w:sz w:val="18"/>
          <w:szCs w:val="18"/>
          <w:color w:val="auto"/>
        </w:rPr>
        <w:t>Based on our observations in clinical trials in AML, pancreatic cancer, lymphoma, ALL and MM, we believe that the MAR-T cell therapies have the potential to mediate a meaningful anti-tumor effect, as well as significant in vivo expansion of T cells. For example, in BCM’s Phase 1 clinical trial in lymphoma, there were complete responses, or CRs, in six of the fifteen evaluable patients with both Hodgkin lymphoma and non-Hodgkin lymphoma with active disease. Significantly, no patient with a CR has subsequently relapsed with disease, whereas typically 30% or more of patients with CR in reported CAR-T studies relapse within one year. In patient results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920"/>
          </w:cols>
          <w:pgMar w:left="1160" w:top="431" w:right="1160" w:bottom="0" w:gutter="0" w:footer="0" w:header="0"/>
          <w:type w:val="continuous"/>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to date in this trial, observed therapeutic responses appear to be highly durable, with some patients being relapse-free beyond five years. In 2023, Marker treated the first patient in the Phase 1 APOLLO trial investigating the safety and efficacy of MT-601 in patients with lymphoma. Marker recently reported that the first patient treated in this Phase 1 study achieved a complete response 8 weeks after the second dose of MT-601 and that the patient maintained complete response to treatment 6 months after initial infusion with MT-601.</w:t>
      </w:r>
    </w:p>
    <w:p>
      <w:pPr>
        <w:spacing w:after="0" w:line="176" w:lineRule="exact"/>
        <w:rPr>
          <w:sz w:val="20"/>
          <w:szCs w:val="20"/>
          <w:color w:val="auto"/>
        </w:rPr>
      </w:pPr>
    </w:p>
    <w:p>
      <w:pPr>
        <w:ind w:left="320" w:hanging="319"/>
        <w:spacing w:after="0"/>
        <w:tabs>
          <w:tab w:leader="none" w:pos="3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Non-genetically modified T cells.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CAR and TCR-based approaches, the MAR-T cell therapy does not require genetic modification of T cells, a costly and complex process that significantly complicates the manufacturing of a patient product. We believe our MAR-T cell therapy represent a safe alternative to CAR-T cells and can be manufactured at a fraction of the cost of a gene-modified T cell product, with substantially reduced complexity of manufacturing.</w:t>
      </w:r>
    </w:p>
    <w:p>
      <w:pPr>
        <w:spacing w:after="0" w:line="176" w:lineRule="exact"/>
        <w:rPr>
          <w:sz w:val="20"/>
          <w:szCs w:val="20"/>
          <w:color w:val="auto"/>
        </w:rPr>
      </w:pPr>
    </w:p>
    <w:p>
      <w:pPr>
        <w:ind w:left="320" w:hanging="319"/>
        <w:spacing w:after="0"/>
        <w:tabs>
          <w:tab w:leader="none" w:pos="3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Low incidence rate of adverse events.</w:t>
      </w:r>
    </w:p>
    <w:p>
      <w:pPr>
        <w:spacing w:after="0" w:line="228" w:lineRule="exact"/>
        <w:rPr>
          <w:sz w:val="20"/>
          <w:szCs w:val="20"/>
          <w:color w:val="auto"/>
        </w:rPr>
      </w:pPr>
    </w:p>
    <w:p>
      <w:pPr>
        <w:jc w:val="both"/>
        <w:ind w:right="20" w:firstLine="1"/>
        <w:spacing w:after="0" w:line="258" w:lineRule="auto"/>
        <w:rPr>
          <w:sz w:val="20"/>
          <w:szCs w:val="20"/>
          <w:color w:val="auto"/>
        </w:rPr>
      </w:pPr>
      <w:r>
        <w:rPr>
          <w:rFonts w:ascii="Times New Roman" w:cs="Times New Roman" w:eastAsia="Times New Roman" w:hAnsi="Times New Roman"/>
          <w:sz w:val="18"/>
          <w:szCs w:val="18"/>
          <w:color w:val="auto"/>
        </w:rPr>
        <w:t>As of January 2025, the MAR-T cell therapy was generally well tolerated by the patients across clinical trials in hematological and solid tumor indications, and no treatment-related adverse events, including neurotoxicity, were attributed to the use of MAR-T cell therapies to date. This appears to compare favorably with published CD19 CAR-T studies that have been associated with substantial tolerability concerns, including a Phase 1 trial in which 95% of patients had Grade 3 or higher adverse events during treatment and current investigations by the FDA regarding the risk of CAR-T cell therapies to potentially induce secondary cancers.</w:t>
      </w:r>
    </w:p>
    <w:p>
      <w:pPr>
        <w:spacing w:after="0" w:line="180" w:lineRule="exact"/>
        <w:rPr>
          <w:sz w:val="20"/>
          <w:szCs w:val="20"/>
          <w:color w:val="auto"/>
        </w:rPr>
      </w:pPr>
    </w:p>
    <w:p>
      <w:pPr>
        <w:ind w:left="320" w:hanging="319"/>
        <w:spacing w:after="0"/>
        <w:tabs>
          <w:tab w:leader="none" w:pos="32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Capable of addressing a broad repertoire of cancer cells.</w:t>
      </w:r>
    </w:p>
    <w:p>
      <w:pPr>
        <w:spacing w:after="0" w:line="22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six different tumor-associated antigens. The six antigen targets can be recognized by a very wide range of T cells, and we believe that this multi antigen approach facilitates robust killing of targeted cancer cells and minimizes tumor escape.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Our MAR-T Cell Therapies by BCM</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clinical trials were conducted by BCM pursuant to our strategic alliance. In each trial, correlative studies showed significant expansion of MAR-T cells, as well as evidence of epitope spreading against tumor-associated antigens that were not targeted by the MAR-T cell therapy.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Myeloid Leukemia</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BCM recently completed a Phase 1 AML/MDS clinical trial of the MAR-T cell therapy for the treatment of patients with post-transplant AML. In this trial, patients in remission with high risk for relapse, as well as patients with active disease post-transplant were treated. As reported in a 2021 publication by Lulla et al., 11 of the 17 patients in the adjuvant disease setting dosed with the MAR-T cell therapy after receiving an allogeneic HSCT did not relapse during the follow-up period of the study [median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MAR-T cell infusion. Two of the eight patients achieved objective responses with one complete response and one partial response, with six patients continuing with stable disease.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920"/>
          </w:cols>
          <w:pgMar w:left="1160" w:top="431" w:right="1160" w:bottom="0" w:gutter="0" w:footer="0" w:header="0"/>
          <w:type w:val="continuous"/>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In this trial, the MAR-T cell therapy was well tolerated, with no drug-related serious adverse events and no instances of greater than Grade 2 acute graft-versus-host disease or moderate-severe chronic GVHD. The maximum grade treatment-related adverse event was seen in one patient in the adjuvant disease group who had a possibly drug-related Grade 3 elevation of liver enzymes but was treated with prednisone with complete resolution. After discontinuing treatment and receiving decitabine, the patient relapsed and later re-enrolled in the trial in the active disease group and entered CR for 13 months and survived for 2.5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2020, we reported interim data from an ongoing Phase 1/2 clinical trial of the MAR-T cell therapy for the treatment of pancreatic adenocarcinoma being conducted by BCM. In 2020, we reported that in this trial, BCM administered MAR-T cells to a total of 31 patients with advanced or borderline resectable pancreatic adenocarcinoma in three arms: 13 patients in Arm A, which included patients with unresectable/metastatic disease who were responding to standard first-line chemotherapy; 12 patients in Arm B, which included patients with progressive disease or therapy intolerance; and eight patients in Arm C, which includes patients with surgically resectable disease.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Overall, we have observed a clinical benefit correlated with the detection of tumor-reactive T cells in patient peripheral blood (Arms A, B and C) and within tumor biopsy samples (Arm C) post-infusion. No cytokine release syndrome or neurotoxicity has been observed in any arm of the trial to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Arm A was designed to evaluate the safety and potential efficacy of using MAR-T cell therapy as part of first-line treatment for patients with pancreatic cancer. These patients in the chemo-responsive arm have completed at least three months of standard-of-care chemotherapy (gemcitabine/nab-paclitaxel or FOLFIRINOX), which is the period during which a response to chemotherapy would typically occur, before receiving up to six administrations of MAR-T cell therapy in conjunction with chemotherapy.</w:t>
      </w:r>
    </w:p>
    <w:p>
      <w:pPr>
        <w:spacing w:after="0" w:line="180"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Out of the 13 evaluable patients (best overall response):</w:t>
      </w:r>
    </w:p>
    <w:p>
      <w:pPr>
        <w:spacing w:after="0" w:line="224" w:lineRule="exact"/>
        <w:rPr>
          <w:sz w:val="20"/>
          <w:szCs w:val="20"/>
          <w:color w:val="auto"/>
        </w:rPr>
      </w:pPr>
    </w:p>
    <w:p>
      <w:pPr>
        <w:ind w:left="1320" w:hanging="320"/>
        <w:spacing w:after="0"/>
        <w:tabs>
          <w:tab w:leader="none" w:pos="1320" w:val="left"/>
        </w:tabs>
        <w:numPr>
          <w:ilvl w:val="1"/>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four patients experienced objective responses after administration of MAR-T cells;</w:t>
      </w:r>
    </w:p>
    <w:p>
      <w:pPr>
        <w:spacing w:after="0" w:line="224" w:lineRule="exact"/>
        <w:rPr>
          <w:rFonts w:ascii="Arial" w:cs="Arial" w:eastAsia="Arial" w:hAnsi="Arial"/>
          <w:sz w:val="18"/>
          <w:szCs w:val="18"/>
          <w:color w:val="auto"/>
        </w:rPr>
      </w:pPr>
    </w:p>
    <w:p>
      <w:pPr>
        <w:ind w:left="1320" w:hanging="320"/>
        <w:spacing w:after="0"/>
        <w:tabs>
          <w:tab w:leader="none" w:pos="1320" w:val="left"/>
        </w:tabs>
        <w:numPr>
          <w:ilvl w:val="1"/>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one patient experienced a radiographic complete response occurring at month nine after starting chemotherapy;</w:t>
      </w:r>
    </w:p>
    <w:p>
      <w:pPr>
        <w:spacing w:after="0" w:line="223" w:lineRule="exact"/>
        <w:rPr>
          <w:rFonts w:ascii="Arial" w:cs="Arial" w:eastAsia="Arial" w:hAnsi="Arial"/>
          <w:sz w:val="18"/>
          <w:szCs w:val="18"/>
          <w:color w:val="auto"/>
        </w:rPr>
      </w:pPr>
    </w:p>
    <w:p>
      <w:pPr>
        <w:ind w:left="1320" w:hanging="320"/>
        <w:spacing w:after="0"/>
        <w:tabs>
          <w:tab w:leader="none" w:pos="1320" w:val="left"/>
        </w:tabs>
        <w:numPr>
          <w:ilvl w:val="1"/>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three patients experienced partial responses per RECIST occurring at six-nine months after starting chemotherapy;</w:t>
      </w:r>
    </w:p>
    <w:p>
      <w:pPr>
        <w:spacing w:after="0" w:line="224" w:lineRule="exact"/>
        <w:rPr>
          <w:rFonts w:ascii="Arial" w:cs="Arial" w:eastAsia="Arial" w:hAnsi="Arial"/>
          <w:sz w:val="18"/>
          <w:szCs w:val="18"/>
          <w:color w:val="auto"/>
        </w:rPr>
      </w:pPr>
    </w:p>
    <w:p>
      <w:pPr>
        <w:ind w:left="1320" w:hanging="320"/>
        <w:spacing w:after="0"/>
        <w:tabs>
          <w:tab w:leader="none" w:pos="1320" w:val="left"/>
        </w:tabs>
        <w:numPr>
          <w:ilvl w:val="1"/>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six patients experienced stable disease;</w:t>
      </w:r>
    </w:p>
    <w:p>
      <w:pPr>
        <w:spacing w:after="0" w:line="224" w:lineRule="exact"/>
        <w:rPr>
          <w:rFonts w:ascii="Arial" w:cs="Arial" w:eastAsia="Arial" w:hAnsi="Arial"/>
          <w:sz w:val="18"/>
          <w:szCs w:val="18"/>
          <w:color w:val="auto"/>
        </w:rPr>
      </w:pPr>
    </w:p>
    <w:p>
      <w:pPr>
        <w:ind w:left="1320" w:hanging="320"/>
        <w:spacing w:after="0"/>
        <w:tabs>
          <w:tab w:leader="none" w:pos="1320" w:val="left"/>
        </w:tabs>
        <w:numPr>
          <w:ilvl w:val="1"/>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one patient experienced a mixed response.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Patients had durable cancer control with nine of the 13 patients exceeding historical control of overall survival;</w:t>
      </w:r>
    </w:p>
    <w:p>
      <w:pPr>
        <w:spacing w:after="0" w:line="224" w:lineRule="exact"/>
        <w:rPr>
          <w:rFonts w:ascii="Arial" w:cs="Arial" w:eastAsia="Arial" w:hAnsi="Arial"/>
          <w:sz w:val="18"/>
          <w:szCs w:val="18"/>
          <w:color w:val="auto"/>
        </w:rPr>
      </w:pPr>
    </w:p>
    <w:p>
      <w:pPr>
        <w:jc w:val="both"/>
        <w:ind w:left="680" w:right="20" w:hanging="328"/>
        <w:spacing w:after="0" w:line="266" w:lineRule="auto"/>
        <w:tabs>
          <w:tab w:leader="none" w:pos="68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Five patients enrolled in the study were not administered MAR-T cells, either because of disease progression (four patients) which made them ineligible for treatment, or because insufficient starting material from the patient was available for manufacturing (one patient);</w:t>
      </w:r>
    </w:p>
    <w:p>
      <w:pPr>
        <w:spacing w:after="0" w:line="17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Evidence of epitope-spreading was observed in all responders, suggesting that the MAR-T cell therapy triggered the recruitment of a broader endogenous immune system response for improved anti-tumor activity;</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No infusion-related reactions, cytokine release syndrome or neurotoxicity was observed;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patients responding to therapy, significant expansion of the infused MAR-T cell therapy was observed.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Lymphoma</w:t>
      </w:r>
    </w:p>
    <w:p>
      <w:pPr>
        <w:spacing w:after="0" w:line="23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BCM evaluated the MAR-T cell therapy (5 TAA product) in a Phase 1 clinical trial for the treatment of patients with lymphoma. A total of 32 patients received two protocol-specified infusions of MAR-T cells, 14 with Hodgkin lymphoma, or HL, and 18 with aggressive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2240" w:h="15840" w:orient="portrait"/>
          <w:cols w:equalWidth="0" w:num="1">
            <w:col w:w="9920"/>
          </w:cols>
          <w:pgMar w:left="1160" w:top="431" w:right="1160" w:bottom="0" w:gutter="0" w:footer="0" w:header="0"/>
          <w:type w:val="continuous"/>
        </w:sectPr>
      </w:pPr>
    </w:p>
    <w:bookmarkStart w:id="16" w:name="page17"/>
    <w:bookmarkEnd w:id="16"/>
    <w:p>
      <w:pPr>
        <w:jc w:val="both"/>
        <w:spacing w:after="0" w:line="283" w:lineRule="auto"/>
        <w:rPr>
          <w:sz w:val="20"/>
          <w:szCs w:val="20"/>
          <w:color w:val="auto"/>
        </w:rPr>
      </w:pPr>
      <w:r>
        <w:rPr>
          <w:rFonts w:ascii="Times New Roman" w:cs="Times New Roman" w:eastAsia="Times New Roman" w:hAnsi="Times New Roman"/>
          <w:sz w:val="18"/>
          <w:szCs w:val="18"/>
          <w:color w:val="auto"/>
        </w:rPr>
        <w:t>non-Hodgkin lymphoma, or NHL, [diffuse large B-cell lymphoma, or DLBCL, (n=12), mantle cell lymphoma, or MCL, (n=2), T-cell lymphoma (n=3) and composite lymphoma (HL and DLBCL, n=1)].</w:t>
      </w:r>
    </w:p>
    <w:p>
      <w:pPr>
        <w:spacing w:after="0" w:line="160" w:lineRule="exact"/>
        <w:rPr>
          <w:sz w:val="20"/>
          <w:szCs w:val="20"/>
          <w:color w:val="auto"/>
        </w:rPr>
      </w:pPr>
    </w:p>
    <w:p>
      <w:pPr>
        <w:jc w:val="both"/>
        <w:ind w:right="20" w:firstLine="1"/>
        <w:spacing w:after="0" w:line="255" w:lineRule="auto"/>
        <w:rPr>
          <w:sz w:val="20"/>
          <w:szCs w:val="20"/>
          <w:color w:val="auto"/>
        </w:rPr>
      </w:pPr>
      <w:r>
        <w:rPr>
          <w:rFonts w:ascii="Times New Roman" w:cs="Times New Roman" w:eastAsia="Times New Roman" w:hAnsi="Times New Roman"/>
          <w:sz w:val="18"/>
          <w:szCs w:val="18"/>
          <w:color w:val="auto"/>
        </w:rPr>
        <w:t>As reported in a recent publication by Vasileiou et al., BCM had treated 15 patients with active disease (active lymphoma group), all of whom had completed a follow-up period beyond three months post-infusion. These patients were heavily pre-treated and had failed a median of five prior lines of therapy (range four to eight) for the HL patients and a median of three prior lines of therapy (range three to four) for the NHL patients. As illustrated below, in the active lymphoma group, six patients entered CR and nine patients had experienced stable disease. None of the patients in CR had relapsed, and the range for the duration of CR in these patients was between two and over five years after being infused with the MAR-T cell therapy with the exception of one patient who died of an unrelated pneumonia while in a CR. Responses in all six patients who entered CR were associated with an expansion of infused T cells, as well as induction of broad-based antigen spreading across many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129540</wp:posOffset>
            </wp:positionV>
            <wp:extent cx="5760720" cy="3206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5760720" cy="3206115"/>
                    </a:xfrm>
                    <a:prstGeom prst="rect">
                      <a:avLst/>
                    </a:prstGeom>
                    <a:noFill/>
                  </pic:spPr>
                </pic:pic>
              </a:graphicData>
            </a:graphic>
          </wp:anchor>
        </w:drawing>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2240" w:h="15840" w:orient="portrait"/>
          <w:cols w:equalWidth="0" w:num="1">
            <w:col w:w="9920"/>
          </w:cols>
          <w:pgMar w:left="1160" w:top="431" w:right="1160" w:bottom="0" w:gutter="0" w:footer="0" w:header="0"/>
          <w:type w:val="continuous"/>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BCM also treated 17 patients, including one patient who was treated a second time after a relapse, in remission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 ranged from approximately nine months to over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128905</wp:posOffset>
            </wp:positionV>
            <wp:extent cx="5760720" cy="3188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576072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both treatment groups, the MAR-T cells were well tolerated, with no drug-related serious adverse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Development and Manufacturing of the MAR-T Cell Therapies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manufacturing process, blood is drawn from either the individual patient (in the case of the autologous T cells) or from a healthy donors/commercially available leukapheresis material (in the case of the OTS program).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blood is drawn, PBMCs are isolated and used to manufacture a patient-specific product. These cells are placed inside a cell culture device and combined with an experimentally optimized mix of GMP-grade cytokines that is used to restore and enhance the functional capability of the cultured T cells. In addition, libraries of overlapping peptides, which we refer to as peptide pools, are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2240" w:h="15840" w:orient="portrait"/>
          <w:cols w:equalWidth="0" w:num="1">
            <w:col w:w="9920"/>
          </w:cols>
          <w:pgMar w:left="1160" w:top="431" w:right="1160" w:bottom="0" w:gutter="0" w:footer="0" w:header="0"/>
          <w:type w:val="continuous"/>
        </w:sectPr>
      </w:pPr>
    </w:p>
    <w:bookmarkStart w:id="18" w:name="page19"/>
    <w:bookmarkEnd w:id="1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Inside the cell culture device, PBMCs, including T cells and antigen-presenting cells, are exposed to the stimulating peptide pools. This results in the selective expansion of T cells that specifically recognize the target antigens. At the end of the manufacturing process, the resulting product is a mix of helper (CD4+) and cytotoxic (CD8+) T cells that recognize the targeted antigens.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Upon release of the final patient product, the cells are frozen and transported to the site where the cells will be administered. The standard dose for patients with lymphoma ranges from 100 to 400 million cells per adult patient.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spacing w:after="0" w:line="176"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In July 2021, we opened an in-house cGMP manufacturing facility in Houston, Texas, where we manufactured the clinical supply of our product candidates. Subsequently, on June 26, 2023, we completed a transaction with Cell Ready, LLC, or Cell Ready, pursuant to a Purchase Agreement, or the Cell Ready Purchase Agreement, dated May 1, 2023, by and between us and Cell Ready, pursuant to which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any contracts related to the equipment and Manufacturing Facilities (collectively referred to as the “Purchased Assets”). Following the closing of the Cell Ready Purchase Agreement, we no longer operate our own cGMP manufacturing facility and instead rely on third parties for the clinical and, once approved, commercial manufacture of our product candidates.</w:t>
      </w:r>
    </w:p>
    <w:p>
      <w:pPr>
        <w:spacing w:after="0" w:line="185"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As such, 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The MSA contains customary representations, warranties and indemnification provisions. The initial term of the MSA is three years and may be extended upon the mutual written agreement of the parties. 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BCM continues to supply us with products as we continue our clinical trials. Furthermore, in anticipation of the commencement of our larger pivotal trial for Lymphoma in 2026, as well as the eventual need for commercial scale production, we intend to evaluate and qualify additional potential third-party manufacturing partners to provide potential multiple sources of clinical and commercial supply. We currently are in discussions with a number of CDMO candidates and anticipate that we will select a partner organization and commence the qualification and technology transfer process later this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 See “Risk Factors”.</w:t>
      </w:r>
    </w:p>
    <w:p>
      <w:pPr>
        <w:spacing w:after="0" w:line="18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incurred $5.8 million and $1.3 million in expenses related to the services and manufacturing costs, and paid $5.5 million and nil related to invoices received,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8" w:lineRule="exact"/>
        <w:rPr>
          <w:sz w:val="20"/>
          <w:szCs w:val="20"/>
          <w:color w:val="auto"/>
        </w:rPr>
      </w:pPr>
    </w:p>
    <w:p>
      <w:pPr>
        <w:jc w:val="both"/>
        <w:ind w:right="20" w:firstLine="1"/>
        <w:spacing w:after="0" w:line="266" w:lineRule="auto"/>
        <w:rPr>
          <w:sz w:val="20"/>
          <w:szCs w:val="20"/>
          <w:color w:val="auto"/>
        </w:rPr>
      </w:pPr>
      <w:r>
        <w:rPr>
          <w:rFonts w:ascii="Times New Roman" w:cs="Times New Roman" w:eastAsia="Times New Roman" w:hAnsi="Times New Roman"/>
          <w:sz w:val="18"/>
          <w:szCs w:val="18"/>
          <w:color w:val="auto"/>
        </w:rPr>
        <w:t>We face competition from numerous pharmaceutical and biotechnology companies, as well as from academic institutions, private and public research institutions, and government agencies. Treatment of relapsed patients with lymphoma remains a challenge with relatively low overall survival rates. To date, there are four CD19-directed CAR-T cell therapies (Yescarta, Kymriah, Tecartus, and Bryanzi)</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2240" w:h="15840" w:orient="portrait"/>
          <w:cols w:equalWidth="0" w:num="1">
            <w:col w:w="9920"/>
          </w:cols>
          <w:pgMar w:left="1160" w:top="431" w:right="1160" w:bottom="0" w:gutter="0" w:footer="0" w:header="0"/>
          <w:type w:val="continuous"/>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approved for patients with relapsed lymphoma. However, up to 60% of CD19 CAR-T cell treated patients will relapse, particularly in the third line setting (Chong EA et al, N Engl J Med, 2021). This highlights a significant unmet medical need for alternative and more effective treatments. Our MAR-T cell drug candidates may compete with product candidates from a number of companies, which are developing various types of immunotherapies to treat cancer, including non-CD19 targeting CAR-T cells that target different antigens beyond CD19, multi-targeted CAR-T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option to the lymphoma patient population.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non-engineered T cell therapy approaches will be synergistic and may improve therapies being developed by potential competitors. Many companies and institutions, either alone or together with their collaborative partners, have substantially greater financial, technical and human resources, and significantly greater experience than we do in the following:</w:t>
      </w:r>
    </w:p>
    <w:p>
      <w:pPr>
        <w:spacing w:after="0" w:line="176" w:lineRule="exact"/>
        <w:rPr>
          <w:sz w:val="20"/>
          <w:szCs w:val="20"/>
          <w:color w:val="auto"/>
        </w:rPr>
      </w:pPr>
    </w:p>
    <w:p>
      <w:pPr>
        <w:ind w:left="680" w:hanging="328"/>
        <w:spacing w:after="0"/>
        <w:tabs>
          <w:tab w:leader="none" w:pos="68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drug discovery;</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developing products;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undertaking preclinical testing and clinical trials;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FDA and other regulatory approvals of products; and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manufacturing, marketing, distributing and selling products.</w:t>
      </w:r>
    </w:p>
    <w:p>
      <w:pPr>
        <w:spacing w:after="0" w:line="22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Accordingly, our competitors may succeed in obtaining patent protection, receiving FDA and other regulatory approval or commercializing products that compete with our drug candidates.</w:t>
      </w:r>
    </w:p>
    <w:p>
      <w:pPr>
        <w:spacing w:after="0" w:line="16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In addition, any drug candidate that we successfully develop may compete with existing therapies that have long histories of safe and effective use. Competition may also arise from:</w:t>
      </w:r>
    </w:p>
    <w:p>
      <w:pPr>
        <w:spacing w:after="0" w:line="160" w:lineRule="exact"/>
        <w:rPr>
          <w:sz w:val="20"/>
          <w:szCs w:val="20"/>
          <w:color w:val="auto"/>
        </w:rPr>
      </w:pPr>
    </w:p>
    <w:p>
      <w:pPr>
        <w:ind w:left="680" w:hanging="327"/>
        <w:spacing w:after="0"/>
        <w:tabs>
          <w:tab w:leader="none" w:pos="68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other drug development technologies and methods of preventing or reducing the incidence of disease;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new small molecules; and/ or</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other classes of therapeutic agents.</w:t>
      </w:r>
    </w:p>
    <w:p>
      <w:pPr>
        <w:spacing w:after="0" w:line="2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face, and will continue to face,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successfully will depend, in part, on our ability to:</w:t>
      </w:r>
    </w:p>
    <w:p>
      <w:pPr>
        <w:spacing w:after="0" w:line="225" w:lineRule="exact"/>
        <w:rPr>
          <w:sz w:val="20"/>
          <w:szCs w:val="20"/>
          <w:color w:val="auto"/>
        </w:rPr>
      </w:pPr>
    </w:p>
    <w:p>
      <w:pPr>
        <w:ind w:left="680" w:hanging="328"/>
        <w:spacing w:after="0"/>
        <w:tabs>
          <w:tab w:leader="none" w:pos="68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develop proprietary products;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1"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develop and maintain products that reach the market first, are technologically superior to and/or are of lower cost than other products in the market;</w:t>
      </w:r>
    </w:p>
    <w:p>
      <w:pPr>
        <w:spacing w:after="0" w:line="160" w:lineRule="exact"/>
        <w:rPr>
          <w:rFonts w:ascii="Arial" w:cs="Arial" w:eastAsia="Arial" w:hAnsi="Arial"/>
          <w:sz w:val="18"/>
          <w:szCs w:val="18"/>
          <w:color w:val="auto"/>
        </w:rPr>
      </w:pPr>
    </w:p>
    <w:p>
      <w:pPr>
        <w:ind w:left="680" w:hanging="329"/>
        <w:spacing w:after="0"/>
        <w:tabs>
          <w:tab w:leader="none" w:pos="68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attract and retain scientific, product development and sales and marketing personnel;</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obtain patent or other proprietary protection for our products and technologies;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obtain required regulatory approvals; and</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2240" w:h="15840" w:orient="portrait"/>
          <w:cols w:equalWidth="0" w:num="1">
            <w:col w:w="9920"/>
          </w:cols>
          <w:pgMar w:left="1160" w:top="431" w:right="1160" w:bottom="0" w:gutter="0" w:footer="0" w:header="0"/>
          <w:type w:val="continuous"/>
        </w:sectPr>
      </w:pPr>
    </w:p>
    <w:bookmarkStart w:id="20" w:name="page21"/>
    <w:bookmarkEnd w:id="20"/>
    <w:p>
      <w:pPr>
        <w:ind w:left="680" w:hanging="328"/>
        <w:spacing w:after="0"/>
        <w:tabs>
          <w:tab w:leader="none" w:pos="68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manufacture, market, distribute and sell any products that we develop.</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BCM Exclusive License Agreement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MAR-T cell product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to BCM’s Subject Technology:</w:t>
      </w:r>
    </w:p>
    <w:p>
      <w:pPr>
        <w:spacing w:after="0" w:line="228" w:lineRule="exact"/>
        <w:rPr>
          <w:sz w:val="20"/>
          <w:szCs w:val="20"/>
          <w:color w:val="auto"/>
        </w:rPr>
      </w:pPr>
    </w:p>
    <w:p>
      <w:pPr>
        <w:ind w:left="180" w:hanging="179"/>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CTL Lines with Specificity Against Multiple Tumor Antigens or Multiple Viruses”</w:t>
      </w:r>
    </w:p>
    <w:p>
      <w:pPr>
        <w:spacing w:after="0" w:line="225" w:lineRule="exact"/>
        <w:rPr>
          <w:rFonts w:ascii="Times New Roman" w:cs="Times New Roman" w:eastAsia="Times New Roman" w:hAnsi="Times New Roman"/>
          <w:sz w:val="18"/>
          <w:szCs w:val="18"/>
          <w:color w:val="auto"/>
        </w:rPr>
      </w:pPr>
    </w:p>
    <w:p>
      <w:pPr>
        <w:ind w:left="180" w:hanging="179"/>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“Pepmixes to Generate Multiviral CTLs with Broad Specificity”</w:t>
      </w:r>
    </w:p>
    <w:p>
      <w:pPr>
        <w:spacing w:after="0" w:line="225" w:lineRule="exact"/>
        <w:rPr>
          <w:rFonts w:ascii="Times New Roman" w:cs="Times New Roman" w:eastAsia="Times New Roman" w:hAnsi="Times New Roman"/>
          <w:sz w:val="18"/>
          <w:szCs w:val="18"/>
          <w:color w:val="auto"/>
        </w:rPr>
      </w:pPr>
    </w:p>
    <w:p>
      <w:pPr>
        <w:ind w:left="180" w:hanging="179"/>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“Immunogenic Antigen Identification from a Pathogen and Correlation to Clinical Efficacy”</w:t>
      </w:r>
    </w:p>
    <w:p>
      <w:pPr>
        <w:spacing w:after="0" w:line="225" w:lineRule="exact"/>
        <w:rPr>
          <w:rFonts w:ascii="Times New Roman" w:cs="Times New Roman" w:eastAsia="Times New Roman" w:hAnsi="Times New Roman"/>
          <w:sz w:val="18"/>
          <w:szCs w:val="18"/>
          <w:color w:val="auto"/>
        </w:rPr>
      </w:pPr>
    </w:p>
    <w:p>
      <w:pPr>
        <w:ind w:left="180" w:hanging="179"/>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cell performance assay as a prognostic factor for clinical outcome”</w:t>
      </w:r>
    </w:p>
    <w:p>
      <w:pPr>
        <w:spacing w:after="0" w:line="225"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 shares of our common stock and warrants to acquire 54,064 shares of our common stock in connection with the merger we completed in October 2018, each as adjusted to reflect the reverse stock split that we effected in January 2023.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 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clinical trials for a first and second distinct product, receipt of approval from the FDA and the achievement of certain net sales goals. We are also responsible for sublicensing fees. In addition, under the BCM License Agreement, 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In addition, upon a liquidity event (as defined in the BCM License Agreement) of the Company, BCM will receive a liquidity incentive payment of 0.5% of the liquidity event proceeds (as defined in the BCM License Agreement).</w:t>
      </w:r>
    </w:p>
    <w:p>
      <w:pPr>
        <w:spacing w:after="0" w:line="160"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2240" w:h="15840" w:orient="portrait"/>
          <w:cols w:equalWidth="0" w:num="1">
            <w:col w:w="9920"/>
          </w:cols>
          <w:pgMar w:left="1160" w:top="431" w:right="116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Unless terminated sooner, the license will expire on a licensed product-by-product basis and country-by-country basis, on the later of</w:t>
      </w:r>
    </w:p>
    <w:p>
      <w:pPr>
        <w:spacing w:after="0" w:line="9" w:lineRule="exact"/>
        <w:rPr>
          <w:sz w:val="20"/>
          <w:szCs w:val="20"/>
          <w:color w:val="auto"/>
        </w:rPr>
      </w:pPr>
    </w:p>
    <w:p>
      <w:pPr>
        <w:ind w:left="260" w:hanging="259"/>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expiration of the last valid claim of patent rights to expire that covers the sale of such licensed product in such country, or</w:t>
      </w:r>
    </w:p>
    <w:p>
      <w:pPr>
        <w:spacing w:after="0" w:line="8" w:lineRule="exact"/>
        <w:rPr>
          <w:rFonts w:ascii="Times New Roman" w:cs="Times New Roman" w:eastAsia="Times New Roman" w:hAnsi="Times New Roman"/>
          <w:sz w:val="18"/>
          <w:szCs w:val="18"/>
          <w:color w:val="auto"/>
        </w:rPr>
      </w:pPr>
    </w:p>
    <w:p>
      <w:pPr>
        <w:jc w:val="both"/>
        <w:ind w:firstLine="1"/>
        <w:spacing w:after="0" w:line="266" w:lineRule="auto"/>
        <w:tabs>
          <w:tab w:leader="none" w:pos="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Prevention and Research Institute of Texas</w:t>
      </w:r>
    </w:p>
    <w:p>
      <w:pPr>
        <w:spacing w:after="0" w:line="229" w:lineRule="exact"/>
        <w:rPr>
          <w:sz w:val="20"/>
          <w:szCs w:val="20"/>
          <w:color w:val="auto"/>
        </w:rPr>
      </w:pPr>
    </w:p>
    <w:p>
      <w:pPr>
        <w:jc w:val="both"/>
        <w:ind w:right="20" w:firstLine="1"/>
        <w:spacing w:after="0" w:line="261"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CPRIT to support our clinical investigation of MT-401. In December 2024, we received notice of an additional $9.5 million grant from CPRIT to support the clinical investigation of MT-601 in patients with pancreatic cancer. Both CPRIT grants contain identical terms surrounding intellectual property and revenue sharing.</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Per the CPRIT grant agreements, we will retain ownership over any intellectual property developed under the contracts (the “Project Results”). With respect to non-commercial use of any Project Results, we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products become commercially saleable, we are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us by CPRIT under the grant agreements. If we are required to obtain a license from a third party to sell any such product, the revenue sharing percentages may be reduced. In addition,</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2240" w:h="15840" w:orient="portrait"/>
          <w:cols w:equalWidth="0" w:num="1">
            <w:col w:w="9920"/>
          </w:cols>
          <w:pgMar w:left="1160" w:top="431" w:right="1160" w:bottom="0" w:gutter="0" w:footer="0" w:header="0"/>
          <w:type w:val="continuous"/>
        </w:sectPr>
      </w:pPr>
    </w:p>
    <w:bookmarkStart w:id="22" w:name="page23"/>
    <w:bookmarkEnd w:id="22"/>
    <w:p>
      <w:pPr>
        <w:jc w:val="both"/>
        <w:spacing w:after="0" w:line="283" w:lineRule="auto"/>
        <w:rPr>
          <w:sz w:val="20"/>
          <w:szCs w:val="20"/>
          <w:color w:val="auto"/>
        </w:rPr>
      </w:pPr>
      <w:r>
        <w:rPr>
          <w:rFonts w:ascii="Times New Roman" w:cs="Times New Roman" w:eastAsia="Times New Roman" w:hAnsi="Times New Roman"/>
          <w:sz w:val="18"/>
          <w:szCs w:val="18"/>
          <w:color w:val="auto"/>
        </w:rPr>
        <w:t>once we have paid CPRIT 400% of the monies received under the grant agreements, we will continue to pay CPRIT a revenue-sharing percentage of 0.5% for the remainder of the Revenue Term as specified in the grant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for example, the rights obtained under exclusive license arrangements such as those pursuant to our BCM License Agreement.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achieve this objective, a strategic focus for us has been identifying and licensing key patents and patent applications that serve to enhance our intellectual property and technology position. Currently, all of our MAR-T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regard to Cell Ready, the MSA provides that each party will solely and exclusively own all right, title and interest in and to their Background IP and all inventions derived from such Background IP (such invention being referred to as Foreground IP). Background IP means all intellectual property either (a) owned or controlled by a party prior to the effective date of the MSA or (b) developed or acquired by a party independently from performance under the MSA without the use of, reliance on, or access to the other party’s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 fully paid-up, non-transferable, non-sublicensable limited license under and to the Company’s Background IP made available to Cell Ready pursuant to a Work Order solely to the extent required for Cell Ready to provide the services under such Work Order.</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value of each patent at the time maintenance fees are due, and in cases where maintaining the patent is judged to be of no significant strategic value, we decline to pay the maintenance fee.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patents, and any patents that may be issued, assigned, or licensed to us in the future, will afford protection against competitors with similar technology. In addition, no assurances can be given that any patents issued, assigned, or licensed to us will not be infringed upon or designed around by others or that others will not obtain patents that we would need to license or design around. If existing or future patents held by third parties and containing broad claims over technology used by us were upheld</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2240" w:h="15840" w:orient="portrait"/>
          <w:cols w:equalWidth="0" w:num="1">
            <w:col w:w="9920"/>
          </w:cols>
          <w:pgMar w:left="1160" w:top="431" w:right="1160" w:bottom="0" w:gutter="0" w:footer="0" w:header="0"/>
          <w:type w:val="continuous"/>
        </w:sectPr>
      </w:pPr>
    </w:p>
    <w:bookmarkStart w:id="23" w:name="page24"/>
    <w:bookmarkEnd w:id="23"/>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by a court or other authority of competent jurisdiction, the holders of such patents could require us to obtain licenses to use such technology.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coverage may also vary from country to country based on the scope of available patent protection. Moreover, in the United States, patent term may be adjusted to account for delays by the United States Patent and Trademark Office, or USPTO, during prosecution. There are also opportunities to obtain an extension of term for patents covering a product in certain jurisdictions, which adds further complexity to the determination of patent life.</w:t>
      </w:r>
    </w:p>
    <w:p>
      <w:pPr>
        <w:spacing w:after="0" w:line="180"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for example: (1) later- expiring patents on processes and intermediates related to improved methods of manufacture of the active ingredient of such product; (2) patents relating to the use of such product; (3) patents relating to novel compositions and formulations; and (4) in the United States and certain 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patent applications we own, will acquire, license, or will license will issue as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discoveries/inventions in the scientific or patent literature often lags behind actual discovery/invention, we cannot be certain of the priority of inventions covered by pending patent applications and whether potentially relevant earlier patent filings exist. Moreover, we may have to participate in opposition proceedings in a foreign patent office, or for United States patent applications filed before March 16, 2013, in interference proceedings declared by the USPTO, to determine priority of invention, or in United States inter partes review or post-grant review procedures, any of which could result in substantial cost to us, even if the eventual outcome is favorable to us. There can be no assurance that the patents, if issued, would be held valid by a court or other authority of competent jurisdiction. An adverse outcome could subject us to significant liabilities to third parties, require disputed rights to be licensed from third parties, or require us to cease using such technology.</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differences in patent laws and laws concerning proprietary rights, the extent of protection provided by U.S. patents or proprietary rights owned by us may differ from that of their foreign counterparts.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pacing w:after="0" w:line="183"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2240" w:h="15840" w:orient="portrait"/>
          <w:cols w:equalWidth="0" w:num="1">
            <w:col w:w="9920"/>
          </w:cols>
          <w:pgMar w:left="1160" w:top="431" w:right="116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have pending with the USPTO applications for registration of the trademarks “Marker Therapeutics.”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87" w:lineRule="exact"/>
        <w:rPr>
          <w:sz w:val="20"/>
          <w:szCs w:val="20"/>
          <w:color w:val="auto"/>
        </w:rPr>
      </w:pPr>
    </w:p>
    <w:p>
      <w:pPr>
        <w:jc w:val="both"/>
        <w:ind w:right="20" w:firstLine="1"/>
        <w:spacing w:after="0" w:line="283" w:lineRule="auto"/>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United States generally involves the following:</w:t>
      </w:r>
    </w:p>
    <w:p>
      <w:pPr>
        <w:spacing w:after="0" w:line="160" w:lineRule="exact"/>
        <w:rPr>
          <w:sz w:val="20"/>
          <w:szCs w:val="20"/>
          <w:color w:val="auto"/>
        </w:rPr>
      </w:pPr>
    </w:p>
    <w:p>
      <w:pPr>
        <w:ind w:left="680" w:right="20" w:hanging="329"/>
        <w:spacing w:after="0" w:line="282" w:lineRule="auto"/>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or GLP, regulation;</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commenced;</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4" w:lineRule="exact"/>
        <w:rPr>
          <w:rFonts w:ascii="Arial" w:cs="Arial" w:eastAsia="Arial" w:hAnsi="Arial"/>
          <w:sz w:val="18"/>
          <w:szCs w:val="18"/>
          <w:color w:val="auto"/>
        </w:rPr>
      </w:pPr>
    </w:p>
    <w:p>
      <w:pPr>
        <w:jc w:val="both"/>
        <w:ind w:left="680" w:right="20" w:hanging="328"/>
        <w:spacing w:after="0" w:line="261" w:lineRule="auto"/>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p>
      <w:pPr>
        <w:spacing w:after="0" w:line="178"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2240" w:h="15840" w:orient="portrait"/>
          <w:cols w:equalWidth="0" w:num="1">
            <w:col w:w="9920"/>
          </w:cols>
          <w:pgMar w:left="1160" w:top="426" w:right="116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230" w:lineRule="exact"/>
        <w:rPr>
          <w:sz w:val="20"/>
          <w:szCs w:val="20"/>
          <w:color w:val="auto"/>
        </w:rPr>
      </w:pPr>
    </w:p>
    <w:p>
      <w:pPr>
        <w:jc w:val="both"/>
        <w:ind w:firstLine="1"/>
        <w:spacing w:after="0" w:line="267" w:lineRule="auto"/>
        <w:rPr>
          <w:sz w:val="20"/>
          <w:szCs w:val="20"/>
          <w:color w:val="auto"/>
        </w:rPr>
      </w:pPr>
      <w:r>
        <w:rPr>
          <w:rFonts w:ascii="Times New Roman" w:cs="Times New Roman" w:eastAsia="Times New Roman" w:hAnsi="Times New Roman"/>
          <w:sz w:val="17"/>
          <w:szCs w:val="17"/>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jc w:val="both"/>
        <w:ind w:left="680" w:right="20" w:hanging="328"/>
        <w:spacing w:after="0" w:line="260" w:lineRule="auto"/>
        <w:tabs>
          <w:tab w:leader="none" w:pos="68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2" w:lineRule="exact"/>
        <w:rPr>
          <w:rFonts w:ascii="Arial" w:cs="Arial" w:eastAsia="Arial" w:hAnsi="Arial"/>
          <w:sz w:val="18"/>
          <w:szCs w:val="18"/>
          <w:color w:val="auto"/>
        </w:rPr>
      </w:pPr>
    </w:p>
    <w:p>
      <w:pPr>
        <w:jc w:val="both"/>
        <w:ind w:left="680" w:right="20" w:hanging="328"/>
        <w:spacing w:after="0" w:line="260" w:lineRule="auto"/>
        <w:tabs>
          <w:tab w:leader="none" w:pos="68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2" w:lineRule="exact"/>
        <w:rPr>
          <w:rFonts w:ascii="Arial" w:cs="Arial" w:eastAsia="Arial" w:hAnsi="Arial"/>
          <w:sz w:val="18"/>
          <w:szCs w:val="18"/>
          <w:color w:val="auto"/>
        </w:rPr>
      </w:pPr>
    </w:p>
    <w:p>
      <w:pPr>
        <w:jc w:val="both"/>
        <w:ind w:left="680" w:hanging="329"/>
        <w:spacing w:after="0" w:line="260" w:lineRule="auto"/>
        <w:tabs>
          <w:tab w:leader="none" w:pos="679"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2240" w:h="15840" w:orient="portrait"/>
          <w:cols w:equalWidth="0" w:num="1">
            <w:col w:w="9920"/>
          </w:cols>
          <w:pgMar w:left="1160" w:top="426" w:right="11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87"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2240" w:h="15840" w:orient="portrait"/>
          <w:cols w:equalWidth="0" w:num="1">
            <w:col w:w="9920"/>
          </w:cols>
          <w:pgMar w:left="1160" w:top="426" w:right="116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85"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8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accelerated approval, and RMAT designation do not change the standards for approval but may expedite the development or approval process.</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2240" w:h="15840" w:orient="portrait"/>
          <w:cols w:equalWidth="0" w:num="1">
            <w:col w:w="9920"/>
          </w:cols>
          <w:pgMar w:left="1160" w:top="426" w:right="116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7" w:lineRule="exact"/>
        <w:rPr>
          <w:sz w:val="20"/>
          <w:szCs w:val="20"/>
          <w:color w:val="auto"/>
        </w:rPr>
      </w:pPr>
    </w:p>
    <w:p>
      <w:pPr>
        <w:ind w:left="680" w:right="20" w:hanging="328"/>
        <w:spacing w:after="0" w:line="282" w:lineRule="auto"/>
        <w:tabs>
          <w:tab w:leader="none" w:pos="68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2240" w:h="15840" w:orient="portrait"/>
          <w:cols w:equalWidth="0" w:num="1">
            <w:col w:w="9920"/>
          </w:cols>
          <w:pgMar w:left="1160" w:top="426" w:right="1160" w:bottom="0" w:gutter="0" w:footer="0" w:header="0"/>
          <w:type w:val="continuous"/>
        </w:sectPr>
      </w:pPr>
    </w:p>
    <w:bookmarkStart w:id="29" w:name="page30"/>
    <w:bookmarkEnd w:id="29"/>
    <w:p>
      <w:pPr>
        <w:ind w:left="680" w:hanging="328"/>
        <w:spacing w:after="0"/>
        <w:tabs>
          <w:tab w:leader="none" w:pos="68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the Health Insurance Portability and Accountability Act, or HIPAA, which created additional federal criminal statutes which prohibit, among other things, executing a scheme to defraud any healthcare benefit program and making false statements relating to healthcare matters, and which, as amended by Health Information Technology for Economic and Clinical Health Act, or HITECH, also imposes certain</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2240" w:h="15840" w:orient="portrait"/>
          <w:cols w:equalWidth="0" w:num="1">
            <w:col w:w="9920"/>
          </w:cols>
          <w:pgMar w:left="1160" w:top="431" w:right="1160" w:bottom="0" w:gutter="0" w:footer="0" w:header="0"/>
          <w:type w:val="continuous"/>
        </w:sectPr>
      </w:pPr>
    </w:p>
    <w:bookmarkStart w:id="30" w:name="page31"/>
    <w:bookmarkEnd w:id="30"/>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requirements on HIPAA covered entities and their business associates and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the Physician Payments Sunshine Act), other covered physicians and teaching hospitals, as well as ownership and investment interests held by health care professionals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the company receives regulatory approval, less favorable coverage policies and reimbursement rates may be implemented in the future.</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76"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2240" w:h="15840" w:orient="portrait"/>
          <w:cols w:equalWidth="0" w:num="1">
            <w:col w:w="9920"/>
          </w:cols>
          <w:pgMar w:left="1160" w:top="431" w:right="1160" w:bottom="0" w:gutter="0" w:footer="0" w:header="0"/>
          <w:type w:val="continuous"/>
        </w:sectPr>
      </w:pPr>
    </w:p>
    <w:bookmarkStart w:id="31" w:name="page32"/>
    <w:bookmarkEnd w:id="3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80"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have been executive, judicial and Congressional challenges to certain aspects of the ACA.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other such litigation, and the healthcare reform measures of the Biden administration will impact the ACA and our business.</w:t>
      </w:r>
    </w:p>
    <w:p>
      <w:pPr>
        <w:spacing w:after="0" w:line="192" w:lineRule="exact"/>
        <w:rPr>
          <w:sz w:val="20"/>
          <w:szCs w:val="20"/>
          <w:color w:val="auto"/>
        </w:rPr>
      </w:pPr>
    </w:p>
    <w:p>
      <w:pPr>
        <w:jc w:val="both"/>
        <w:ind w:firstLine="1"/>
        <w:spacing w:after="0" w:line="251"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of 2%, which due to subsequent legislative amendments, including the Infrastructure Investment and Jobs Act, will stay in effect per fiscal year through 2031, except for a temporary suspension from May 1, 2020 through March 32, 2021 due to COVID-19 relief legislation, unless additional Congressional action is taken, and reduced payments to several types of Medicare providers.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other reform initiatives.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2240" w:h="15840" w:orient="portrait"/>
          <w:cols w:equalWidth="0" w:num="1">
            <w:col w:w="9920"/>
          </w:cols>
          <w:pgMar w:left="1160" w:top="431" w:right="1160" w:bottom="0" w:gutter="0" w:footer="0" w:header="0"/>
          <w:type w:val="continuous"/>
        </w:sectPr>
      </w:pPr>
    </w:p>
    <w:bookmarkStart w:id="32" w:name="page33"/>
    <w:bookmarkEnd w:id="32"/>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As of December 31, 2024, we had 5 full-time employees: 1 clinical and 4 in administrative support. None of our employees is subject to a collective bargaining agreement. We consider our relationship with our employees to be good.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3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100% of our executive officers are women or self-identify as a member of an underrepresented minority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in 1991 under the name “TapImmune, Inc.” and reincorporated in Delaware in October 2018 under the name “Marker Therapeutics, Inc.” Our principal executive offices are located at 2450 Holcombe Blvd, Suite BCM-A, MS: BCM251, Houston, Texas, and our telephone number is (713) 400-6400. Our common stock is listed for trading on the Nasdaq Capital Market under the symbol “MRKR”.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6" w:lineRule="exact"/>
        <w:rPr>
          <w:sz w:val="20"/>
          <w:szCs w:val="20"/>
          <w:color w:val="auto"/>
        </w:rPr>
      </w:pPr>
    </w:p>
    <w:p>
      <w:pPr>
        <w:jc w:val="both"/>
        <w:ind w:firstLine="1"/>
        <w:spacing w:after="0" w:line="262"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Arial" w:cs="Arial" w:eastAsia="Arial" w:hAnsi="Arial"/>
          <w:sz w:val="18"/>
          <w:szCs w:val="18"/>
          <w:i w:val="1"/>
          <w:iCs w:val="1"/>
          <w:color w:val="auto"/>
        </w:rPr>
        <w:t>www.markertherapeutics.com</w:t>
      </w:r>
      <w:r>
        <w:rPr>
          <w:rFonts w:ascii="Times New Roman" w:cs="Times New Roman" w:eastAsia="Times New Roman" w:hAnsi="Times New Roman"/>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2240" w:h="15840" w:orient="portrait"/>
          <w:cols w:equalWidth="0" w:num="1">
            <w:col w:w="9920"/>
          </w:cols>
          <w:pgMar w:left="1160" w:top="431" w:right="116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6" w:lineRule="exact"/>
        <w:rPr>
          <w:sz w:val="20"/>
          <w:szCs w:val="20"/>
          <w:color w:val="auto"/>
        </w:rPr>
      </w:pPr>
    </w:p>
    <w:p>
      <w:pPr>
        <w:jc w:val="both"/>
        <w:ind w:firstLine="1"/>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Our business is subject to numerous risks that you should be aware of before making an investment decision. These risks are described more fully in this “Risk Factors” section and include, among others:</w:t>
      </w:r>
    </w:p>
    <w:p>
      <w:pPr>
        <w:spacing w:after="0" w:line="160" w:lineRule="exact"/>
        <w:rPr>
          <w:sz w:val="20"/>
          <w:szCs w:val="20"/>
          <w:color w:val="auto"/>
        </w:rPr>
      </w:pPr>
    </w:p>
    <w:p>
      <w:pPr>
        <w:ind w:left="680" w:hanging="328"/>
        <w:spacing w:after="0" w:line="282" w:lineRule="auto"/>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We are a clinical stage company with a history of operating losses, and we expect losses to continue for the indefinite future. These factors raise substantial doubt regarding our ability to continue as a going concern.</w:t>
      </w:r>
    </w:p>
    <w:p>
      <w:pPr>
        <w:spacing w:after="0" w:line="160" w:lineRule="exact"/>
        <w:rPr>
          <w:rFonts w:ascii="Arial" w:cs="Arial" w:eastAsia="Arial" w:hAnsi="Arial"/>
          <w:sz w:val="18"/>
          <w:szCs w:val="18"/>
          <w:color w:val="auto"/>
        </w:rPr>
      </w:pPr>
    </w:p>
    <w:p>
      <w:pPr>
        <w:jc w:val="both"/>
        <w:ind w:left="680" w:right="20" w:hanging="328"/>
        <w:spacing w:after="0" w:line="266" w:lineRule="auto"/>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7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The results of earlier preclinical and clinical trials may not be predictive of future clinical trial results.</w:t>
      </w:r>
    </w:p>
    <w:p>
      <w:pPr>
        <w:spacing w:after="0" w:line="224" w:lineRule="exact"/>
        <w:rPr>
          <w:rFonts w:ascii="Arial" w:cs="Arial" w:eastAsia="Arial" w:hAnsi="Arial"/>
          <w:sz w:val="18"/>
          <w:szCs w:val="18"/>
          <w:color w:val="auto"/>
        </w:rPr>
      </w:pPr>
    </w:p>
    <w:p>
      <w:pPr>
        <w:jc w:val="both"/>
        <w:ind w:left="680" w:right="20" w:hanging="328"/>
        <w:spacing w:after="0" w:line="260" w:lineRule="auto"/>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2" w:lineRule="exact"/>
        <w:rPr>
          <w:rFonts w:ascii="Arial" w:cs="Arial" w:eastAsia="Arial" w:hAnsi="Arial"/>
          <w:sz w:val="18"/>
          <w:szCs w:val="18"/>
          <w:color w:val="auto"/>
        </w:rPr>
      </w:pPr>
    </w:p>
    <w:p>
      <w:pPr>
        <w:jc w:val="both"/>
        <w:ind w:left="680" w:right="20" w:hanging="327"/>
        <w:spacing w:after="0" w:line="266" w:lineRule="auto"/>
        <w:tabs>
          <w:tab w:leader="none" w:pos="681"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We are dependent on third-party vendors to maintain and support our manufacturing and cell processing. If any of our third-party vendors experience disruptions, or otherwise cease or substantially reduce their operations, our business and operations could be adversely affected.</w:t>
      </w:r>
    </w:p>
    <w:p>
      <w:pPr>
        <w:spacing w:after="0" w:line="17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Our strategic relationship with BCM is dependent, in part, upon our ongoing relationship with key medical and scientific personnel and advisors.</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Our commercial success depends upon attaining significant market acceptance of our product candidates, if approved, among physicians, patients, healthcare payors and the medical community.</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The biotechnology and immunotherapy industries are characterized by rapid technological developments and a high degree of competition. We may be unable to compete with more substantial enterprises.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If we are unable to protect our proprietary rights, we may not be able to compete effectively or operate profitably.</w:t>
      </w:r>
    </w:p>
    <w:p>
      <w:pPr>
        <w:spacing w:after="0" w:line="224" w:lineRule="exact"/>
        <w:rPr>
          <w:rFonts w:ascii="Arial" w:cs="Arial" w:eastAsia="Arial" w:hAnsi="Arial"/>
          <w:sz w:val="18"/>
          <w:szCs w:val="18"/>
          <w:color w:val="auto"/>
        </w:rPr>
      </w:pPr>
    </w:p>
    <w:p>
      <w:pPr>
        <w:jc w:val="both"/>
        <w:ind w:left="680" w:right="20" w:hanging="328"/>
        <w:spacing w:after="0" w:line="260" w:lineRule="auto"/>
        <w:tabs>
          <w:tab w:leader="none" w:pos="681"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2" w:lineRule="exact"/>
        <w:rPr>
          <w:rFonts w:ascii="Arial" w:cs="Arial" w:eastAsia="Arial" w:hAnsi="Arial"/>
          <w:sz w:val="18"/>
          <w:szCs w:val="18"/>
          <w:color w:val="auto"/>
        </w:rPr>
      </w:pPr>
    </w:p>
    <w:p>
      <w:pPr>
        <w:ind w:left="680" w:hanging="328"/>
        <w:spacing w:after="0"/>
        <w:tabs>
          <w:tab w:leader="none" w:pos="68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The price of our stock may be volatile.</w:t>
      </w:r>
    </w:p>
    <w:p>
      <w:pPr>
        <w:sectPr>
          <w:pgSz w:w="12240" w:h="15840" w:orient="portrait"/>
          <w:cols w:equalWidth="0" w:num="1">
            <w:col w:w="9920"/>
          </w:cols>
          <w:pgMar w:left="1160" w:top="4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2240" w:h="15840" w:orient="portrait"/>
          <w:cols w:equalWidth="0" w:num="1">
            <w:col w:w="9920"/>
          </w:cols>
          <w:pgMar w:left="1160" w:top="427" w:right="116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with a history of operating losses, and we expect losses to continue for the indefinite future. These factors raise substantial doubt regarding our ability to continue as a going concern.</w:t>
      </w:r>
    </w:p>
    <w:p>
      <w:pPr>
        <w:spacing w:after="0" w:line="156" w:lineRule="exact"/>
        <w:rPr>
          <w:sz w:val="20"/>
          <w:szCs w:val="20"/>
          <w:color w:val="auto"/>
        </w:rPr>
      </w:pPr>
    </w:p>
    <w:p>
      <w:pPr>
        <w:jc w:val="both"/>
        <w:ind w:firstLine="1"/>
        <w:spacing w:after="0" w:line="261" w:lineRule="auto"/>
        <w:rPr>
          <w:sz w:val="20"/>
          <w:szCs w:val="20"/>
          <w:color w:val="auto"/>
        </w:rPr>
      </w:pPr>
      <w:r>
        <w:rPr>
          <w:rFonts w:ascii="Times New Roman" w:cs="Times New Roman" w:eastAsia="Times New Roman" w:hAnsi="Times New Roman"/>
          <w:sz w:val="18"/>
          <w:szCs w:val="18"/>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Weakness and volatility in the capital markets and the economy in general could also increase our costs of borrowing. Such additional financing may not be available on favorable terms, or at all.</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sustained losses from operations in each fiscal year since our inception, and we expect losses to continue for the indefinite future due to the substantial investment in research and development. Based on our lack of recurring revenues, anticipated uses of cash and historical recurring cash losses from operating activity, and cash and cash equivalents as of December 31, 2024, we anticipate that we will be able to fund our operating expenses and capital expenditure requirements into the first quarter of 2026, assuming no additional grant funds are received. These factors raise substantial doubt regarding our ability to continue as a going concern.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plan to raise additional capital through the issuance of common shares and receipt of additional grant funds, which could enable us to fund our operating expenses and capital expenditure requirements beyond the first quarter of 2026, although no assurance can be given that such capital or existing awarded grants will be earned or future grants will be awarded. Our future cash requirements are based on our clinical and research and development plans, timing expectations related to the progress of our programs, and are subject to our ability to effectively manage our costs, raise additional capital, and receive additional grants.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substantial doubt regarding our ability to continue as a going concern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w:t>
      </w:r>
    </w:p>
    <w:p>
      <w:pPr>
        <w:sectPr>
          <w:pgSz w:w="12240" w:h="15840" w:orient="portrait"/>
          <w:cols w:equalWidth="0" w:num="1">
            <w:col w:w="9920"/>
          </w:cols>
          <w:pgMar w:left="1160" w:top="4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2240" w:h="15840" w:orient="portrait"/>
          <w:cols w:equalWidth="0" w:num="1">
            <w:col w:w="9920"/>
          </w:cols>
          <w:pgMar w:left="1160" w:top="427" w:right="1160" w:bottom="0" w:gutter="0" w:footer="0" w:header="0"/>
          <w:type w:val="continuous"/>
        </w:sectPr>
      </w:pPr>
    </w:p>
    <w:bookmarkStart w:id="35" w:name="page36"/>
    <w:bookmarkEnd w:id="35"/>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Valley Bank, or SVB, was closed by the California Department of Financial Protection and Innovation, which appointed the Federal Deposit Insurance Corporation, or the FDIC, as receiver.</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a statement by the U.S. Department of the Treasury, the Federal Reserve and the FDIC stated that all depositors of SVB would have access to all of their money after only one business day following the date of closure,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188" w:lineRule="exact"/>
        <w:rPr>
          <w:sz w:val="20"/>
          <w:szCs w:val="20"/>
          <w:color w:val="auto"/>
        </w:rPr>
      </w:pPr>
    </w:p>
    <w:p>
      <w:pPr>
        <w:jc w:val="both"/>
        <w:ind w:right="20" w:firstLine="1"/>
        <w:spacing w:after="0" w:line="255"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and all of our product candidates are still in 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our MAR-T cell product candidates or any other product candidates that we develop or otherwise may acquire will depend on several factors, including:</w:t>
      </w:r>
    </w:p>
    <w:p>
      <w:pPr>
        <w:spacing w:after="0" w:line="180" w:lineRule="exact"/>
        <w:rPr>
          <w:sz w:val="20"/>
          <w:szCs w:val="20"/>
          <w:color w:val="auto"/>
        </w:rPr>
      </w:pPr>
    </w:p>
    <w:p>
      <w:pPr>
        <w:ind w:left="680" w:right="20" w:hanging="328"/>
        <w:spacing w:after="0" w:line="282" w:lineRule="auto"/>
        <w:tabs>
          <w:tab w:leader="none" w:pos="68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effective investigational new drug applications, or INDs, from the FDA or comparable foreign applications that allow commencement of our planned clinical trials or future clinical trials for our product candidates;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Good Clinical Practices, or GCPs, and current Good Laboratory Practices;</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successful development of, or making arrangements with third-party manufacturers for, our commercial manufacturing processes for any of our product candidates that receive regulatory approval;</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2240" w:h="15840" w:orient="portrait"/>
          <w:cols w:equalWidth="0" w:num="1">
            <w:col w:w="9920"/>
          </w:cols>
          <w:pgMar w:left="1160" w:top="431" w:right="1160" w:bottom="0" w:gutter="0" w:footer="0" w:header="0"/>
          <w:type w:val="continuous"/>
        </w:sectPr>
      </w:pPr>
    </w:p>
    <w:bookmarkStart w:id="36" w:name="page37"/>
    <w:bookmarkEnd w:id="36"/>
    <w:p>
      <w:pPr>
        <w:ind w:left="680" w:hanging="328"/>
        <w:spacing w:after="0"/>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launching commercial sales of products, if approved, whether alone or in collaboration with others;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the prevalence and severity of adverse events experienced by our product candidates;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and any indications for such product candidate, that we develop;</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produce and manufacture our product candidates, which is dependent on third-party vendors and their willingness to support our manufacturing and cell processing;</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maintaining compliance with regulatory requirements, including the FDA’s current Good Manufacturing Practices, or cGMPs, and complying effectively with other procedures;</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160" w:lineRule="exact"/>
        <w:rPr>
          <w:rFonts w:ascii="Arial" w:cs="Arial" w:eastAsia="Arial" w:hAnsi="Arial"/>
          <w:sz w:val="18"/>
          <w:szCs w:val="18"/>
          <w:color w:val="auto"/>
        </w:rPr>
      </w:pPr>
    </w:p>
    <w:p>
      <w:pPr>
        <w:ind w:left="680" w:hanging="327"/>
        <w:spacing w:after="0"/>
        <w:tabs>
          <w:tab w:leader="none" w:pos="68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products following approval.</w:t>
      </w:r>
    </w:p>
    <w:p>
      <w:pPr>
        <w:spacing w:after="0" w:line="224" w:lineRule="exact"/>
        <w:rPr>
          <w:sz w:val="20"/>
          <w:szCs w:val="20"/>
          <w:color w:val="auto"/>
        </w:rPr>
      </w:pPr>
    </w:p>
    <w:p>
      <w:pPr>
        <w:jc w:val="both"/>
        <w:ind w:right="20" w:firstLine="1"/>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immunotherapies that we may develop are not likely to be commercially available for at least three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2240" w:h="15840" w:orient="portrait"/>
          <w:cols w:equalWidth="0" w:num="1">
            <w:col w:w="9920"/>
          </w:cols>
          <w:pgMar w:left="1160" w:top="431" w:right="1160" w:bottom="0" w:gutter="0" w:footer="0" w:header="0"/>
          <w:type w:val="continuous"/>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completing planned clinical trials for a variety of reasons, including delays related to:</w:t>
      </w:r>
    </w:p>
    <w:p>
      <w:pPr>
        <w:spacing w:after="0" w:line="252" w:lineRule="exact"/>
        <w:rPr>
          <w:sz w:val="20"/>
          <w:szCs w:val="20"/>
          <w:color w:val="auto"/>
        </w:rPr>
      </w:pPr>
    </w:p>
    <w:p>
      <w:pPr>
        <w:ind w:left="680" w:hanging="328"/>
        <w:spacing w:after="0"/>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reaching agreement on acceptable terms with prospective clinical research organizations, or CROs, and clinical trial sites, the terms of which can be subject to extensive negotiation and may vary significantly among different CROs and trial sites;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approval by an independent institutional review board, or IRB, at each clinical trial site;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recruiting suitable patients to participate in a trial;</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3" w:lineRule="exact"/>
        <w:rPr>
          <w:rFonts w:ascii="Arial" w:cs="Arial" w:eastAsia="Arial" w:hAnsi="Arial"/>
          <w:sz w:val="18"/>
          <w:szCs w:val="18"/>
          <w:color w:val="auto"/>
        </w:rPr>
      </w:pPr>
    </w:p>
    <w:p>
      <w:pPr>
        <w:ind w:left="680" w:hanging="328"/>
        <w:spacing w:after="0"/>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adding new clinical trial sites; or</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manufacturing sufficient quantities of qualified materials under cGMPs and applying them on a subject by subject basis for use in clinical trials.</w:t>
      </w:r>
    </w:p>
    <w:p>
      <w:pPr>
        <w:spacing w:after="0" w:line="161"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Further, the performance of our CROs may also be interrupted by health epidemics or other disruptions, including due to travel or quarantine policies or prioritization of resources toward such health epidemic or disruption.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8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Clinical trials are expensive and difficult to design and implement, in part because they are subject to rigorous regulatory requirements. Because our product candidates are based on new technologies and manufactured on a patient-by-patient basis for our MAR-T cell</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2240" w:h="15840" w:orient="portrait"/>
          <w:cols w:equalWidth="0" w:num="1">
            <w:col w:w="9920"/>
          </w:cols>
          <w:pgMar w:left="1160" w:top="431" w:right="1160" w:bottom="0" w:gutter="0" w:footer="0" w:header="0"/>
          <w:type w:val="continuous"/>
        </w:sectPr>
      </w:pPr>
    </w:p>
    <w:bookmarkStart w:id="38" w:name="page39"/>
    <w:bookmarkEnd w:id="38"/>
    <w:p>
      <w:pPr>
        <w:jc w:val="both"/>
        <w:spacing w:after="0" w:line="252" w:lineRule="auto"/>
        <w:rPr>
          <w:sz w:val="20"/>
          <w:szCs w:val="20"/>
          <w:color w:val="auto"/>
        </w:rPr>
      </w:pPr>
      <w:r>
        <w:rPr>
          <w:rFonts w:ascii="Times New Roman" w:cs="Times New Roman" w:eastAsia="Times New Roman" w:hAnsi="Times New Roman"/>
          <w:sz w:val="18"/>
          <w:szCs w:val="18"/>
          <w:color w:val="auto"/>
        </w:rPr>
        <w:t>product candidates we expect that they will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previously experienced temporary delays in enrollment due to the COVID-19 pandemic and in satisfying certain FDA requirements for our clinical study of MT-401 for the treatment of post-transplant AML, and any further delay to our planned timelines for our trial may impact our cost estimates for this trial.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global pandemics, as experienced with COVID-19, can increase the duration and costs of such trials. 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third-party vendors that are used in our manufacturing process but not present in the final product infused to patients. In January 2021, the FDA lifted the clinical hold, permitting us to initiate a Phase 2 clinical trial for the treatment of post-transplant AML, with a safety lead-in portion. We completed the safety lead-in portion of the trial in June 2021, and we initiated the remainder of the Phase 2 trial in July 2021. 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9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earlier preclinical and clinical trials may not be predictive of future clinical trial results.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2240" w:h="15840" w:orient="portrait"/>
          <w:cols w:equalWidth="0" w:num="1">
            <w:col w:w="9920"/>
          </w:cols>
          <w:pgMar w:left="1160" w:top="431" w:right="1160" w:bottom="0" w:gutter="0" w:footer="0" w:header="0"/>
          <w:type w:val="continuous"/>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8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w:t>
      </w:r>
    </w:p>
    <w:p>
      <w:pPr>
        <w:spacing w:after="0" w:line="156"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7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2240" w:h="15840" w:orient="portrait"/>
          <w:cols w:equalWidth="0" w:num="1">
            <w:col w:w="9920"/>
          </w:cols>
          <w:pgMar w:left="1160" w:top="431" w:right="1160" w:bottom="0" w:gutter="0" w:footer="0" w:header="0"/>
          <w:type w:val="continuous"/>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MAR-T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spacing w:after="0" w:line="190"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8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60" w:lineRule="exact"/>
        <w:rPr>
          <w:sz w:val="20"/>
          <w:szCs w:val="20"/>
          <w:color w:val="auto"/>
        </w:rPr>
      </w:pPr>
    </w:p>
    <w:p>
      <w:pPr>
        <w:ind w:left="680" w:hanging="328"/>
        <w:spacing w:after="0"/>
        <w:tabs>
          <w:tab w:leader="none" w:pos="68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 and</w:t>
      </w:r>
    </w:p>
    <w:p>
      <w:pPr>
        <w:spacing w:after="0" w:line="223" w:lineRule="exact"/>
        <w:rPr>
          <w:rFonts w:ascii="Arial" w:cs="Arial" w:eastAsia="Arial" w:hAnsi="Arial"/>
          <w:sz w:val="18"/>
          <w:szCs w:val="18"/>
          <w:color w:val="auto"/>
        </w:rPr>
      </w:pPr>
    </w:p>
    <w:p>
      <w:pPr>
        <w:ind w:left="680" w:hanging="328"/>
        <w:spacing w:after="0"/>
        <w:tabs>
          <w:tab w:leader="none" w:pos="68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the benefits associated with orphan drug designation, including market exclusivity.</w:t>
      </w:r>
    </w:p>
    <w:p>
      <w:pPr>
        <w:spacing w:after="0" w:line="230"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2240" w:h="15840" w:orient="portrait"/>
          <w:cols w:equalWidth="0" w:num="1">
            <w:col w:w="9920"/>
          </w:cols>
          <w:pgMar w:left="1160" w:top="431" w:right="1160" w:bottom="0" w:gutter="0" w:footer="0" w:header="0"/>
          <w:type w:val="continuous"/>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76"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The FDA has granted orphan drug designation for MT-401 for the treatment of AML after receiving an allogeneic stem cell transplant and for MT-601 for the treatment of patients with pancreatic cancer. In 2023, MT-401 was also granted orphan drug designation by the Committee for Orphan Medicinal Products of the European Medicines Agency (EMA) for the treatment of patients with AML.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Commission (on the basis of the opinion of the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and contract manufacturing organizations to maintain and support our manufacturing and cell processing operations.</w:t>
      </w:r>
    </w:p>
    <w:p>
      <w:pPr>
        <w:spacing w:after="0" w:line="156"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In July 2021, we opened an in-house cGMP manufacturing facility in Houston, Texas, where we manufactured the clinical supply of our product candidates. On June 26, 2023, we completed the previously announced transaction with Cell Ready, LLC (“Cell Ready”), pursuant to a Purchase Agreement (the “Cell Ready Purchase Agreement”), dated May 1, 2023, by and between us and Cell Ready. Pursuant to the Cell Ready Purchase Agreement, we (i) assigned to Cell Ready the leases for our two manufacturing facilities in Houston, Texas, or the Manufacturing Facilities, (ii) sold to Cell Ready all of the equipment and leasehold improvements at our manufacturing facilities and (iii) assigned to Cell Ready our rights, title and interest in any contracts related to the equipment and manufacturing facilities (collectively referred to as the “Purchased Assets”). Following the closing of the Cell Ready Purchase Agreement, we no longer operate our own cGMP manufacturing facility and instead rely on third parties for the clinical and, once approved, commercial manufacture of our product candidates.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process was originally developed at Baylor College of Medicine and we continue to contract with BCM to perform a wide variety of services to ensure the continuation of our research and development efforts, with the goal of optimizing our manufacturing process, product quality and commercial scalability. We continue to order products from BCM and BCM continues to supply us with products.</w:t>
      </w:r>
    </w:p>
    <w:p>
      <w:pPr>
        <w:spacing w:after="0" w:line="180"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Under the MSA, Cell Ready previously performed various services for us, including research and development, and manufacturing in support of our clinical trials. However, on March 27, 2025, we mutually agreed with Cell Ready to terminate the MSA. In connection therewith, we entered into a settlement and release agreement with Cell Ready pursuant to which we paid Cell Ready approximately $453,000 and we provided each other with mutual releases of all claims associated with any and all agreements between the Marker and Cell Ready.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intend to evaluate additional potential third-party manufacturing capabilities to provide potential multiple sources of clinical and commercial supply. However, even if we can secure multiple sources of clinical and commercial supply, third-party manufacturers may not be willing or able to meet our needs concerning timing, quantity, or quality and/or may cease or substantially reduce their business. If we are unable to contract for a sufficient supply of needed materials on acceptable terms, or if we should encounter delays, difficulties or disputes with regard to in our relationships with manufacturers, our clinical trials may be delayed,</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2240" w:h="15840" w:orient="portrait"/>
          <w:cols w:equalWidth="0" w:num="1">
            <w:col w:w="9920"/>
          </w:cols>
          <w:pgMar w:left="1160" w:top="431" w:right="1160" w:bottom="0" w:gutter="0" w:footer="0" w:header="0"/>
          <w:type w:val="continuous"/>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Also, if we enter into additional third-party agreements in the future, we may not be able to negotiate such agreements successfully and, even if established, these relationships may not be scientifically or commercially successful. In the event our relationship with a third-party manufacturer is terminated or substantially reduced for any reason, it is possible we will not be able to identify an alternative third-party manufacturer within a reasonable period of time, if ever, which would have an adverse effect our operations.</w:t>
      </w:r>
    </w:p>
    <w:p>
      <w:pPr>
        <w:spacing w:after="0" w:line="192"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Additionally, our manufacturing capabilities could be affected by cost-overruns, unexpected delays, equipment failures, labor shortages, natural disasters, power failures, competition with other clients, transportation difficulties and numerous other factors that could prevent us from fully realizing the intended benefits of our manufacturing strategy and have a material adverse effect on our clinical development, commercialization plans and/or general operations. In addition, the manufacturing process for any product candidates that we may develop is subject to the FDA and foreign regulatory authority approval process, and we may need to contract with manufacturers who can meet all applicable FDA and foreign regulatory authority requirements on an ongoing basis. If our contract manufacturing organizations, or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Further, we may be required to establish multiple manufacturing facilities to expand our commercial footprint for any approved products, which may lead to regulatory delays or prove costly.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9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is reliant upon specialized equipment, and other specialty materials, which may not be available to us on acceptable terms or at all. We, our vendors, and contract manufacturing organizations rely or may rely on sole-source vendors or a limited number of vendors, which could impair the manufacture and supply of our product candidates.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a limited number of vendors for supply of certain materials and equipment used in the manufacture of our MAR-T cell therapy-based product candidates. For example, in the past, we purchased equipment and reagents critical for the manufacture of our product candidates from Wilson Wolf (a company controlled by our former director, John Wilson), Almac and other suppliers. As previously disclosed, Mr. Wilson resigned as one of our directors on January 24, 2024. Some of our direct or indirect suppliers may not have the willingness or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complex and we may encounter difficulties in production, particularly with respect to process development. If any of our third-party suppliers encounter such difficulties, the supply of our product candidates for clinical</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2240" w:h="15840" w:orient="portrait"/>
          <w:cols w:equalWidth="0" w:num="1">
            <w:col w:w="9920"/>
          </w:cols>
          <w:pgMar w:left="1160" w:top="431" w:right="1160" w:bottom="0" w:gutter="0" w:footer="0" w:header="0"/>
          <w:type w:val="continuous"/>
        </w:sectPr>
      </w:pPr>
    </w:p>
    <w:bookmarkStart w:id="43" w:name="page44"/>
    <w:bookmarkEnd w:id="43"/>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trials, or our product candidates for patients, if approved, could be delayed or stopped, or we may be unable to maintain a commercially viable cost structure.</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 candidates are biologics, and the process of manufacturing our product candidates is complex, highly regulated and subject to multiple risks. For example, the manufacture of our MAR-T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Additionally, transferring manufacturing responsibilities from one manufacturer to another also involves various risks, which could result in delays and additional costs.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our autologous MAR-T cell therapy-based product candidates, MT-601, is manufactured for each particular patient, we will be required to maintain a chain of identity with respect to the patient’s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working to develop commercially viable processes for manufacturing our products.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No assurance can be given that we will be able to develop a new, FDA-compliant, more efficient, lower cost manufacturing process upon which our business plan to commercialize MAR-T cell-based product candidates is dependent.</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cooperation with our current contract manufacturers and suppliers, we developed and have implemented a new nine-day MAR-T cell manufacturing process for our current as well as future clinical trials using a patient-specific manufacturing approach or using products manufactured from healthy donors (“Off-the-Shelf”). The new manufacturing process marks additional manufacturing improvements compared to the processes used in the BCM Phase 1 and 2 trials (36-day manufacturing time) and our previous AML trial (20-day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 This new, scaled-up, pharmaceutical manufacturing process is new and subject to uncertainties. We cannot guarantee that we will be able to more efficiently and cost effectively, and in a more automated manner produce, measure and control the physical and/or chemical attributes of our product candidates in a cGMP facility. We also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cannot pass a pre-approval plant inspection, the FDA</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2240" w:h="15840" w:orient="portrait"/>
          <w:cols w:equalWidth="0" w:num="1">
            <w:col w:w="9920"/>
          </w:cols>
          <w:pgMar w:left="1160" w:top="426" w:right="1160" w:bottom="0" w:gutter="0" w:footer="0" w:header="0"/>
          <w:type w:val="continuous"/>
        </w:sectPr>
      </w:pPr>
    </w:p>
    <w:bookmarkStart w:id="44" w:name="page45"/>
    <w:bookmarkEnd w:id="44"/>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or our partners will be able to establish and operate such a production facility.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from the transaction with Cell Ready.</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closing of the transaction with Cell Ready, or such benefits may be delayed or not occur at all. In particular, we have made the strategic decision to dispose of our manufacturing facilities and related assets in order to focus on clinical development of the MAR-T cell therapy-based product candidates in our pipeline. Following the closing of the transaction, we no longer operate our own cGMP manufacturing facility and have relied on Cell Ready and other third parties for the clinical and, if approved, commercial manufacture of our product candidates. We may not realize the anticipated cost savings associated with contracting out our manufacturing, and research and development requirements. An inability to realize the anticipated benefits of the Cell Ready transaction could have an adverse impact on our business, financial condition and results of operations.</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of the transaction with Cell Ready, we no longer operate our own cGMP manufacturing facility and instead rely on third parties for the clinical and, if approved, commercial manufacture of our product candidates. The third-party manufacturing facilities on which we rely may have limited capacity or fail to meet the applicable stringent regulatory requirements.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any cGMP manufacturing facilities. Following the termination of our MSA with Cell Ready, we rely on BCM for the cGMP manufacture of our product candidates for clinical development. In anticipation of the commencement of our larger pivotal trial for Lymphoma in 2026, as well as the eventual need for commercial scale production, we intend to evaluate and qualify additional potential third-party manufacturing partners to provide potential multiple sources of clinical and commercial supply. We currently are in discussions with a number of CDMO candidates and anticipate that we will select a partner organization and commence the qualification and technology transfer process later this year. 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Also, if we must increase production capacity for any reason, we may need to make considerable investments that could lead to significant financing needs or require us to enter into subcontracting agreements in order to outsource part of the production.</w:t>
      </w:r>
    </w:p>
    <w:p>
      <w:pPr>
        <w:spacing w:after="0" w:line="185"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If the third-party contract manufacturing organizations on which we currently or in the future rely ceases or reduces its business or the products it supplies to us or experiences capacity constraints, other disruptions, or delays in manufacturing our MAR-T cell therapy-based product candidates, our planned clinical trials and necessary manufacturing capabilities will be disrupted or delayed. Third-party manufacturers may not be able to meet our needs concerning timing, quantity, or quality. Additionally, our third-party manufacturing partners may engage, be engaged by, or otherwise enter into arrangements with our competitors.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2240" w:h="15840" w:orient="portrait"/>
          <w:cols w:equalWidth="0" w:num="1">
            <w:col w:w="9920"/>
          </w:cols>
          <w:pgMar w:left="1160" w:top="431" w:right="1160" w:bottom="0" w:gutter="0" w:footer="0" w:header="0"/>
          <w:type w:val="continuous"/>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80"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7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Our strategic relationship with BCM is dependent, in part, upon our ongoing relationship with key medical and scientific personnel and advisors.</w:t>
      </w:r>
    </w:p>
    <w:p>
      <w:pPr>
        <w:spacing w:after="0" w:line="156" w:lineRule="exact"/>
        <w:rPr>
          <w:sz w:val="20"/>
          <w:szCs w:val="20"/>
          <w:color w:val="auto"/>
        </w:rPr>
      </w:pPr>
    </w:p>
    <w:p>
      <w:pPr>
        <w:jc w:val="both"/>
        <w:ind w:firstLine="1"/>
        <w:spacing w:after="0" w:line="256" w:lineRule="auto"/>
        <w:rPr>
          <w:sz w:val="20"/>
          <w:szCs w:val="20"/>
          <w:color w:val="auto"/>
        </w:rPr>
      </w:pPr>
      <w:r>
        <w:rPr>
          <w:rFonts w:ascii="Times New Roman" w:cs="Times New Roman" w:eastAsia="Times New Roman" w:hAnsi="Times New Roman"/>
          <w:sz w:val="18"/>
          <w:szCs w:val="18"/>
          <w:color w:val="auto"/>
        </w:rPr>
        <w:t>Our MAR-T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President and Chief Executive Officer and Principal Financial and Accounting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spacing w:after="0" w:line="18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Although we have an exclusive license agreement with BCM under which we received a worldwide, exclusive license to BCM’s rights in and to three patent families to develop and commercialize the MAR-T cell product candidates, we will need to enter into additional agreements with BCM with respect to (i) a strategic alliance to advance preclinical research, early stage clinical trials, and clinical trials with respect to our product candidates, as well as continued access to our clinical data, and (ii)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important element of our intellectual property portfolio is to license additional rights and technologies from BCM. Our inability to license the rights and technologies that we have identified, or newly developed MAR-T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2240" w:h="15840" w:orient="portrait"/>
          <w:cols w:equalWidth="0" w:num="1">
            <w:col w:w="9920"/>
          </w:cols>
          <w:pgMar w:left="1160" w:top="431" w:right="1160" w:bottom="0" w:gutter="0" w:footer="0" w:header="0"/>
          <w:type w:val="continuous"/>
        </w:sectPr>
      </w:pPr>
    </w:p>
    <w:bookmarkStart w:id="46" w:name="page47"/>
    <w:bookmarkEnd w:id="46"/>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establish or maintain the third-party relationships, including strategic collaborations, that are necessary to develop, commercialize and/or market some or all of our product candidates.</w:t>
      </w:r>
    </w:p>
    <w:p>
      <w:pPr>
        <w:spacing w:after="0" w:line="156"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spacing w:after="0" w:line="186"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8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2240" w:h="15840" w:orient="portrait"/>
          <w:cols w:equalWidth="0" w:num="1">
            <w:col w:w="9920"/>
          </w:cols>
          <w:pgMar w:left="1160" w:top="426" w:right="1160" w:bottom="0" w:gutter="0" w:footer="0" w:header="0"/>
          <w:type w:val="continuous"/>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76" w:lineRule="exact"/>
        <w:rPr>
          <w:sz w:val="20"/>
          <w:szCs w:val="20"/>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efficacy and safety of our product candidates as demonstrated in clinical trials and post-marketing experience;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clinical indications for which our product candidates may be approved;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acceptance by physicians and patients of our product candidates as safe and effective;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and perceived advantages of our product candidates over alternative treatments;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safety of our product candidates seen in a broader patient group, including our use outside the approved indications should physicians choose to prescribe for such uses;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prevalence and severity of any side effects;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timing of market introduction of our product candidates as well as competitive products;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cost in relation to alternative treatments;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and government authorities;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relative convenience and ease of administration; and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effectiveness of any sales and marketing efforts.</w:t>
      </w:r>
    </w:p>
    <w:p>
      <w:pPr>
        <w:spacing w:after="0" w:line="22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60" w:lineRule="exact"/>
        <w:rPr>
          <w:sz w:val="20"/>
          <w:szCs w:val="20"/>
          <w:color w:val="auto"/>
        </w:rPr>
      </w:pPr>
    </w:p>
    <w:p>
      <w:pPr>
        <w:jc w:val="both"/>
        <w:ind w:firstLine="1"/>
        <w:spacing w:after="0" w:line="256" w:lineRule="auto"/>
        <w:rPr>
          <w:sz w:val="20"/>
          <w:szCs w:val="20"/>
          <w:color w:val="auto"/>
        </w:rPr>
      </w:pPr>
      <w:r>
        <w:rPr>
          <w:rFonts w:ascii="Times New Roman" w:cs="Times New Roman" w:eastAsia="Times New Roman" w:hAnsi="Times New Roman"/>
          <w:sz w:val="18"/>
          <w:szCs w:val="18"/>
          <w:color w:val="auto"/>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2240" w:h="15840" w:orient="portrait"/>
          <w:cols w:equalWidth="0" w:num="1">
            <w:col w:w="9920"/>
          </w:cols>
          <w:pgMar w:left="1160" w:top="431" w:right="1160" w:bottom="0" w:gutter="0" w:footer="0" w:header="0"/>
          <w:type w:val="continuous"/>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MAR-T cell therapy may be provided to patients in combination with other agents provided by third parties. The cost of such combination therapy may increase the overall cost of MAR-T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7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Centers for Medicare &amp; Medicaid Services, or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spacing w:after="0" w:line="1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Juan Vera, M.D., our President, Chief Executive Officer, and Principal Financial and</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2240" w:h="15840" w:orient="portrait"/>
          <w:cols w:equalWidth="0" w:num="1">
            <w:col w:w="9920"/>
          </w:cols>
          <w:pgMar w:left="1160" w:top="431" w:right="1160" w:bottom="0" w:gutter="0" w:footer="0" w:header="0"/>
          <w:type w:val="continuous"/>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Accounting Officer, as well as others. The loss of the services of any of our executive officer,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188"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 party to perform sales and marketing functions, we may be unable to compete successfully against these more established companies.</w:t>
      </w:r>
    </w:p>
    <w:p>
      <w:pPr>
        <w:spacing w:after="0" w:line="18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Potential competitors in the market for treating hematological malignancies include numerous pharmaceutical and biotechnology companies, as well as academic institutions, private and public research institutions, and government agencies. Treatment of relapsed patients with lymphoma remains a challenge with relatively low overall survival rates. To date, there are four CD19-directed CAR-T cell therapies (Yescarta, Kymriah, Tecartus, and Bryanzi) approved for patients with relapsed lymphoma. However, up to 60% of CD19 CAR-T cell treated patients will relapse, particularly in the third line setting (Chong EA et al, N Engl J Med, 2021). This highlights a significant unmet medical need for alternative and more effective treatments. Our MAR-T cell drug candidates may compete with product candidates from a number of companies, which are developing various types of immunotherapies to treat cancer, including non-CD19 targeting CAR-T cells that target different antigens beyond CD19, multi-targeted CAR-T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to patient population. Current and potential competitors may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While these universities and public and private research institutions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2240" w:h="15840" w:orient="portrait"/>
          <w:cols w:equalWidth="0" w:num="1">
            <w:col w:w="9920"/>
          </w:cols>
          <w:pgMar w:left="1160" w:top="431" w:right="1160" w:bottom="0" w:gutter="0" w:footer="0" w:header="0"/>
          <w:type w:val="continuous"/>
        </w:sectPr>
      </w:pPr>
    </w:p>
    <w:bookmarkStart w:id="50" w:name="page51"/>
    <w:bookmarkEnd w:id="50"/>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primarily have educational objectives, they may develop proprietary technologies that lead to other FDA approved therapies or that secure patent protection that we may need for the development of our technologies and product candidates.</w:t>
      </w:r>
    </w:p>
    <w:p>
      <w:pPr>
        <w:spacing w:after="0" w:line="160"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9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5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84"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patients with lymphoma that relapsed after anti-CD19 CAR-T cell therapy. Even if we obtain significant market share for our product candidates, because the potential target populations might be small, we may not achieve profitability without obtaining regulatory approval for additional indications, and we may spend large amounts of money trying to obtain approval for product candidates that have an uncertain commercial market.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regulatory pathways for biosimilar competition could reduce the duration of market exclusivity for our products.</w:t>
      </w:r>
    </w:p>
    <w:p>
      <w:pPr>
        <w:spacing w:after="0" w:line="23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Under the Patient Protection and Affordable Care Act, as amended by the Health Care and Education Reconciliation Act, or collectively, the ACA,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2240" w:h="15840" w:orient="portrait"/>
          <w:cols w:equalWidth="0" w:num="1">
            <w:col w:w="9920"/>
          </w:cols>
          <w:pgMar w:left="1160" w:top="431" w:right="1160" w:bottom="0" w:gutter="0" w:footer="0" w:header="0"/>
          <w:type w:val="continuous"/>
        </w:sectPr>
      </w:pPr>
    </w:p>
    <w:bookmarkStart w:id="51" w:name="page52"/>
    <w:bookmarkEnd w:id="51"/>
    <w:p>
      <w:pPr>
        <w:jc w:val="both"/>
        <w:spacing w:after="0" w:line="283" w:lineRule="auto"/>
        <w:rPr>
          <w:sz w:val="20"/>
          <w:szCs w:val="20"/>
          <w:color w:val="auto"/>
        </w:rPr>
      </w:pPr>
      <w:r>
        <w:rPr>
          <w:rFonts w:ascii="Times New Roman" w:cs="Times New Roman" w:eastAsia="Times New Roman" w:hAnsi="Times New Roman"/>
          <w:sz w:val="18"/>
          <w:szCs w:val="18"/>
          <w:color w:val="auto"/>
        </w:rPr>
        <w:t>are biosimilar to earlier versions of biological products. For example, the European Union has had an established regulatory pathway for biosimilars since 2005.</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7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w:t>
      </w:r>
      <w:r>
        <w:rPr>
          <w:sz w:val="20"/>
          <w:szCs w:val="20"/>
          <w:color w:val="auto"/>
        </w:rPr>
        <w:t xml:space="preserve"> </w:t>
      </w:r>
      <w:r>
        <w:rPr>
          <w:rFonts w:ascii="Times New Roman" w:cs="Times New Roman" w:eastAsia="Times New Roman" w:hAnsi="Times New Roman"/>
          <w:sz w:val="18"/>
          <w:szCs w:val="18"/>
          <w:b w:val="1"/>
          <w:bCs w:val="1"/>
          <w:i w:val="1"/>
          <w:iCs w:val="1"/>
          <w:color w:val="auto"/>
        </w:rPr>
        <w:t>product liability lawsuits are brought against us, we may incur substantial liabilities and may be required to limit commercialization of our product candidates.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5" w:lineRule="exact"/>
        <w:rPr>
          <w:sz w:val="20"/>
          <w:szCs w:val="20"/>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injury to our reputation;</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3"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loss of revenue;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the inability to commercialize any product candidate.</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2240" w:h="15840" w:orient="portrait"/>
          <w:cols w:equalWidth="0" w:num="1">
            <w:col w:w="9920"/>
          </w:cols>
          <w:pgMar w:left="1160" w:top="431" w:right="1160" w:bottom="0" w:gutter="0" w:footer="0" w:header="0"/>
          <w:type w:val="continuous"/>
        </w:sectPr>
      </w:pPr>
    </w:p>
    <w:bookmarkStart w:id="52" w:name="page53"/>
    <w:bookmarkEnd w:id="52"/>
    <w:p>
      <w:pPr>
        <w:jc w:val="both"/>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The multiple roles of Dr. Vera, our President, Chief Executive Officer, and Principal Financial and Accounting Officer, could limit his time and availability to us, and create, or appear to create, conflicts of interest.</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Vera is a co-founder and director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w:t>
      </w:r>
    </w:p>
    <w:p>
      <w:pPr>
        <w:spacing w:after="0" w:line="176" w:lineRule="exact"/>
        <w:rPr>
          <w:sz w:val="20"/>
          <w:szCs w:val="20"/>
          <w:color w:val="auto"/>
        </w:rPr>
      </w:pPr>
    </w:p>
    <w:p>
      <w:pPr>
        <w:jc w:val="both"/>
        <w:ind w:firstLine="1"/>
        <w:spacing w:after="0" w:line="256" w:lineRule="auto"/>
        <w:rPr>
          <w:sz w:val="20"/>
          <w:szCs w:val="20"/>
          <w:color w:val="auto"/>
        </w:rPr>
      </w:pPr>
      <w:r>
        <w:rPr>
          <w:rFonts w:ascii="Times New Roman" w:cs="Times New Roman" w:eastAsia="Times New Roman" w:hAnsi="Times New Roman"/>
          <w:sz w:val="18"/>
          <w:szCs w:val="18"/>
          <w:color w:val="auto"/>
        </w:rPr>
        <w:t>Further, Dr. Vera has certain fiduciary or other obligations to us and certain fiduciary or other obligations to Allovir and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he may be faced with decisions that could have different implications for us than for Allovir.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MAR-T cell product candidates, or our other product candidates, will be considered patentable by the USPTO, courts in the United States or by the patent offices and courts in foreign countries, nor can we be certain that the claims in our issued licensed European patent will not be found invalid or unenforceable if challenged.</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Most of our intellectual property rights are currently licensed from BCM,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2240" w:h="15840" w:orient="portrait"/>
          <w:cols w:equalWidth="0" w:num="1">
            <w:col w:w="9920"/>
          </w:cols>
          <w:pgMar w:left="1160" w:top="426" w:right="1160" w:bottom="0" w:gutter="0" w:footer="0" w:header="0"/>
          <w:type w:val="continuous"/>
        </w:sectPr>
      </w:pPr>
    </w:p>
    <w:bookmarkStart w:id="53" w:name="page54"/>
    <w:bookmarkEnd w:id="53"/>
    <w:p>
      <w:pPr>
        <w:ind w:right="20"/>
        <w:spacing w:after="0" w:line="283" w:lineRule="auto"/>
        <w:rPr>
          <w:sz w:val="20"/>
          <w:szCs w:val="20"/>
          <w:color w:val="auto"/>
        </w:rPr>
      </w:pPr>
      <w:r>
        <w:rPr>
          <w:rFonts w:ascii="Times New Roman" w:cs="Times New Roman" w:eastAsia="Times New Roman" w:hAnsi="Times New Roman"/>
          <w:sz w:val="18"/>
          <w:szCs w:val="18"/>
          <w:color w:val="auto"/>
        </w:rPr>
        <w:t>there can be no assurance that we or any of our potential future collaborators will be successful in protecting our product candidates by obtaining and defending patents. These risks and uncertainties include the following:</w:t>
      </w:r>
    </w:p>
    <w:p>
      <w:pPr>
        <w:spacing w:after="0" w:line="160" w:lineRule="exact"/>
        <w:rPr>
          <w:sz w:val="20"/>
          <w:szCs w:val="20"/>
          <w:color w:val="auto"/>
        </w:rPr>
      </w:pPr>
    </w:p>
    <w:p>
      <w:pPr>
        <w:jc w:val="both"/>
        <w:ind w:left="680" w:hanging="328"/>
        <w:spacing w:after="0" w:line="266" w:lineRule="auto"/>
        <w:tabs>
          <w:tab w:leader="none" w:pos="68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5" w:lineRule="exact"/>
        <w:rPr>
          <w:rFonts w:ascii="Arial" w:cs="Arial" w:eastAsia="Arial" w:hAnsi="Arial"/>
          <w:sz w:val="18"/>
          <w:szCs w:val="18"/>
          <w:color w:val="auto"/>
        </w:rPr>
      </w:pPr>
    </w:p>
    <w:p>
      <w:pPr>
        <w:ind w:left="680" w:hanging="328"/>
        <w:spacing w:after="0"/>
        <w:tabs>
          <w:tab w:leader="none" w:pos="68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otherwise may not provide any competitive advantage;</w:t>
      </w:r>
    </w:p>
    <w:p>
      <w:pPr>
        <w:spacing w:after="0" w:line="160" w:lineRule="exact"/>
        <w:rPr>
          <w:rFonts w:ascii="Arial" w:cs="Arial" w:eastAsia="Arial" w:hAnsi="Arial"/>
          <w:sz w:val="18"/>
          <w:szCs w:val="18"/>
          <w:color w:val="auto"/>
        </w:rPr>
      </w:pPr>
    </w:p>
    <w:p>
      <w:pPr>
        <w:jc w:val="both"/>
        <w:ind w:left="680" w:right="20" w:hanging="328"/>
        <w:spacing w:after="0" w:line="266" w:lineRule="auto"/>
        <w:tabs>
          <w:tab w:leader="none" w:pos="68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74" w:lineRule="exact"/>
        <w:rPr>
          <w:rFonts w:ascii="Arial" w:cs="Arial" w:eastAsia="Arial" w:hAnsi="Arial"/>
          <w:sz w:val="18"/>
          <w:szCs w:val="18"/>
          <w:color w:val="auto"/>
        </w:rPr>
      </w:pPr>
    </w:p>
    <w:p>
      <w:pPr>
        <w:jc w:val="both"/>
        <w:ind w:left="680" w:right="20" w:hanging="328"/>
        <w:spacing w:after="0" w:line="266" w:lineRule="auto"/>
        <w:tabs>
          <w:tab w:leader="none" w:pos="68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7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61"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invalidations, or like proceedings, which may be brought in foreign jurisdictions to challenge the validity of a patent. A third -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defend the validity of patents and to prevent or remedy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violation of our patent rights, we may need to file a lawsuit. These lawsuits are expensive and would consume time and other resources, even if we were successful in stopping or remedying the violation of our patent rights. In addition, there is a risk that a court would decide that our patents are not valid and that we do not have the right to stop the other party from using the inventions. There is also the risk that, even if the validity of our patents was upheld, a court would refuse to stop the other party on the ground that its activities are not covered by, that is, do not infringe, our patents.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2240" w:h="15840" w:orient="portrait"/>
          <w:cols w:equalWidth="0" w:num="1">
            <w:col w:w="9920"/>
          </w:cols>
          <w:pgMar w:left="1160" w:top="431" w:right="1160" w:bottom="0" w:gutter="0" w:footer="0" w:header="0"/>
          <w:type w:val="continuous"/>
        </w:sectPr>
      </w:pPr>
    </w:p>
    <w:bookmarkStart w:id="54" w:name="page55"/>
    <w:bookmarkEnd w:id="54"/>
    <w:p>
      <w:pPr>
        <w:jc w:val="both"/>
        <w:ind w:right="20" w:firstLine="1"/>
        <w:spacing w:after="0" w:line="255"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our licensing partners, or any potential future collaborator initiates legal proceedings against a third -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potential competitors or other entities may have or acquire patent or proprietary rights that they could enforce against our licensor.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8"/>
          <w:szCs w:val="18"/>
          <w:i w:val="1"/>
          <w:iCs w:val="1"/>
          <w:color w:val="auto"/>
        </w:rPr>
        <w:t>inter partes</w:t>
      </w:r>
      <w:r>
        <w:rPr>
          <w:rFonts w:ascii="Times New Roman" w:cs="Times New Roman" w:eastAsia="Times New Roman" w:hAnsi="Times New Roman"/>
          <w:sz w:val="18"/>
          <w:szCs w:val="18"/>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Such potential third-party patents or patent applications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2240" w:h="15840" w:orient="portrait"/>
          <w:cols w:equalWidth="0" w:num="1">
            <w:col w:w="9920"/>
          </w:cols>
          <w:pgMar w:left="1160" w:top="431" w:right="1160" w:bottom="0" w:gutter="0" w:footer="0" w:header="0"/>
          <w:type w:val="continuous"/>
        </w:sectPr>
      </w:pPr>
    </w:p>
    <w:bookmarkStart w:id="55" w:name="page56"/>
    <w:bookmarkEnd w:id="55"/>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candidates. We may not prevail in any legal action and a required license under the patent may not be available on acceptable terms or at all.</w:t>
      </w:r>
    </w:p>
    <w:p>
      <w:pPr>
        <w:spacing w:after="0" w:line="15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56"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dependent on intellectual property, particularly patents. Obtaining and enforcing patents in the biopharmaceutical industry involves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8"/>
          <w:szCs w:val="18"/>
          <w:i w:val="1"/>
          <w:iCs w:val="1"/>
          <w:color w:val="auto"/>
        </w:rPr>
        <w:t>inter-partes</w:t>
      </w:r>
      <w:r>
        <w:rPr>
          <w:rFonts w:ascii="Times New Roman" w:cs="Times New Roman" w:eastAsia="Times New Roman" w:hAnsi="Times New Roman"/>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18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88"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example, the complexity and uncertainty of European patent laws have also increased in recent years. In Europe, a new unitary patent system was introduced by the end of 2023, which significantly impacts European patents, including those granted before the introduction of such a system. Under the unitary patent system, European applications will have the option, upon grant of a patent, of</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2240" w:h="15840" w:orient="portrait"/>
          <w:cols w:equalWidth="0" w:num="1">
            <w:col w:w="9920"/>
          </w:cols>
          <w:pgMar w:left="1160" w:top="431" w:right="1160" w:bottom="0" w:gutter="0" w:footer="0" w:header="0"/>
          <w:type w:val="continuous"/>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becoming a Unitary Patent which will be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6"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8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party to license agreements with BCM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 party, including but not limited to:</w:t>
      </w:r>
    </w:p>
    <w:p>
      <w:pPr>
        <w:spacing w:after="0" w:line="184" w:lineRule="exact"/>
        <w:rPr>
          <w:sz w:val="20"/>
          <w:szCs w:val="20"/>
          <w:color w:val="auto"/>
        </w:rPr>
      </w:pPr>
    </w:p>
    <w:p>
      <w:pPr>
        <w:ind w:left="680" w:hanging="328"/>
        <w:spacing w:after="0"/>
        <w:tabs>
          <w:tab w:leader="none" w:pos="68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the ownership of inventions and know-how resulting from the creation or use of intellectual property by us, alone or with our licensors and collaborators;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the scope and duration of our payment obligations;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our rights upon termination of such agreement; and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the scope and duration of exclusivity obligations of each party to the agreement.</w:t>
      </w:r>
    </w:p>
    <w:p>
      <w:pPr>
        <w:spacing w:after="0" w:line="2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8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Under our license agreement with BCM for our MAR-T cell therapy technologies, we are currently required to pay both substantial milestone payments and royalties to BCM based on our revenues from sales of any approved products utilizing the licensed technologies,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2240" w:h="15840" w:orient="portrait"/>
          <w:cols w:equalWidth="0" w:num="1">
            <w:col w:w="9920"/>
          </w:cols>
          <w:pgMar w:left="1160" w:top="431" w:right="1160" w:bottom="0" w:gutter="0" w:footer="0" w:header="0"/>
          <w:type w:val="continuous"/>
        </w:sectPr>
      </w:pPr>
    </w:p>
    <w:bookmarkStart w:id="57" w:name="page58"/>
    <w:bookmarkEnd w:id="5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18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Certain of our technologies are in-licensed from third parties, and the protection of those technologies is not entirely within our control.</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 world-wide exclusive license from BCM of the rights in and to three patent families to develop and commercialize MAR-T cell product candidates in the field of oncology. As a result of these in-licenses, we could lose the right to develop each of the technologies if:</w:t>
      </w:r>
    </w:p>
    <w:p>
      <w:pPr>
        <w:spacing w:after="0" w:line="176" w:lineRule="exact"/>
        <w:rPr>
          <w:sz w:val="20"/>
          <w:szCs w:val="20"/>
          <w:color w:val="auto"/>
        </w:rPr>
      </w:pPr>
    </w:p>
    <w:p>
      <w:pPr>
        <w:ind w:left="680" w:right="20" w:hanging="329"/>
        <w:spacing w:after="0" w:line="282" w:lineRule="auto"/>
        <w:tabs>
          <w:tab w:leader="none" w:pos="68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the owner (s) of the patent rights underlying the technologies that we license do not properly maintain or enforce the patents and intellectual property underlying those properties,</w:t>
      </w:r>
    </w:p>
    <w:p>
      <w:pPr>
        <w:spacing w:after="0" w:line="160" w:lineRule="exact"/>
        <w:rPr>
          <w:rFonts w:ascii="Arial" w:cs="Arial" w:eastAsia="Arial" w:hAnsi="Arial"/>
          <w:sz w:val="18"/>
          <w:szCs w:val="18"/>
          <w:color w:val="auto"/>
        </w:rPr>
      </w:pPr>
    </w:p>
    <w:p>
      <w:pPr>
        <w:ind w:left="680" w:hanging="329"/>
        <w:spacing w:after="0"/>
        <w:tabs>
          <w:tab w:leader="none" w:pos="68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BCM seeks to terminate our license in contravention of the license agreements;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we fail to make all payments due and owing under any of the licenses; or</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1"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we fail to obtain on commercially reasonable terms, if at all, in-licenses from BCM or others for other rights that are necessary to develop the technology that we have already in-licensed.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BCM, or the exclusivity rights provided by such license agreements, could materially harm our financial condition and operating results.</w:t>
      </w:r>
    </w:p>
    <w:p>
      <w:pPr>
        <w:spacing w:after="0" w:line="17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5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2240" w:h="15840" w:orient="portrait"/>
          <w:cols w:equalWidth="0" w:num="1">
            <w:col w:w="9920"/>
          </w:cols>
          <w:pgMar w:left="1160" w:top="431" w:right="1160" w:bottom="0" w:gutter="0" w:footer="0" w:header="0"/>
          <w:type w:val="continuous"/>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8"/>
          <w:szCs w:val="18"/>
          <w:color w:val="auto"/>
        </w:rPr>
        <w:t>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and/or unenforceable, or that the patent claims should be limited or narrowly construed. Patents also will not protect our product candidates if competitors devise ways of making or using these product candidates without infringing our patents. 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7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 which could be expensive, time-consuming and unsuccessful.</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2240" w:h="15840" w:orient="portrait"/>
          <w:cols w:equalWidth="0" w:num="1">
            <w:col w:w="9920"/>
          </w:cols>
          <w:pgMar w:left="1160" w:top="431" w:right="1160" w:bottom="0" w:gutter="0" w:footer="0" w:header="0"/>
          <w:type w:val="continuous"/>
        </w:sectPr>
      </w:pPr>
    </w:p>
    <w:bookmarkStart w:id="59" w:name="page60"/>
    <w:bookmarkEnd w:id="59"/>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88"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30"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maintain and/or obtain licenses needed for the development of our product candidates in the future, we may have to develop alternatives to avoid infringing on the patents of others, potentially causing increased costs and delays in product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2240" w:h="15840" w:orient="portrait"/>
          <w:cols w:equalWidth="0" w:num="1">
            <w:col w:w="9920"/>
          </w:cols>
          <w:pgMar w:left="1160" w:top="431" w:right="116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adoptive T cell therapy using MAR-T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187"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9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92" w:lineRule="exact"/>
        <w:rPr>
          <w:sz w:val="20"/>
          <w:szCs w:val="20"/>
          <w:color w:val="auto"/>
        </w:rPr>
      </w:pPr>
    </w:p>
    <w:p>
      <w:pPr>
        <w:ind w:left="680" w:right="20" w:hanging="328"/>
        <w:spacing w:after="0" w:line="282" w:lineRule="auto"/>
        <w:tabs>
          <w:tab w:leader="none" w:pos="68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2240" w:h="15840" w:orient="portrait"/>
          <w:cols w:equalWidth="0" w:num="1">
            <w:col w:w="9920"/>
          </w:cols>
          <w:pgMar w:left="1160" w:top="428" w:right="1160" w:bottom="0" w:gutter="0" w:footer="0" w:header="0"/>
          <w:type w:val="continuous"/>
        </w:sectPr>
      </w:pPr>
    </w:p>
    <w:bookmarkStart w:id="61" w:name="page62"/>
    <w:bookmarkEnd w:id="61"/>
    <w:p>
      <w:pPr>
        <w:ind w:left="680" w:hanging="328"/>
        <w:spacing w:after="0"/>
        <w:tabs>
          <w:tab w:leader="none" w:pos="68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4"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8" w:lineRule="exact"/>
        <w:rPr>
          <w:sz w:val="20"/>
          <w:szCs w:val="20"/>
          <w:color w:val="auto"/>
        </w:rPr>
      </w:pPr>
    </w:p>
    <w:p>
      <w:pPr>
        <w:jc w:val="both"/>
        <w:ind w:right="20" w:firstLine="1"/>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laws include:</w:t>
      </w:r>
    </w:p>
    <w:p>
      <w:pPr>
        <w:spacing w:after="0" w:line="225" w:lineRule="exact"/>
        <w:rPr>
          <w:sz w:val="20"/>
          <w:szCs w:val="20"/>
          <w:color w:val="auto"/>
        </w:rPr>
      </w:pPr>
    </w:p>
    <w:p>
      <w:pPr>
        <w:jc w:val="both"/>
        <w:ind w:left="680" w:right="20" w:hanging="328"/>
        <w:spacing w:after="0" w:line="260" w:lineRule="auto"/>
        <w:tabs>
          <w:tab w:leader="none" w:pos="680" w:val="left"/>
        </w:tabs>
        <w:numPr>
          <w:ilvl w:val="0"/>
          <w:numId w:val="45"/>
        </w:numPr>
        <w:rPr>
          <w:rFonts w:ascii="Arial" w:cs="Arial" w:eastAsia="Arial" w:hAnsi="Arial"/>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82" w:lineRule="exact"/>
        <w:rPr>
          <w:rFonts w:ascii="Arial" w:cs="Arial" w:eastAsia="Arial" w:hAnsi="Arial"/>
          <w:sz w:val="18"/>
          <w:szCs w:val="18"/>
          <w:color w:val="auto"/>
        </w:rPr>
      </w:pPr>
    </w:p>
    <w:p>
      <w:pPr>
        <w:jc w:val="both"/>
        <w:ind w:left="680" w:right="20" w:hanging="328"/>
        <w:spacing w:after="0" w:line="260" w:lineRule="auto"/>
        <w:tabs>
          <w:tab w:leader="none" w:pos="680" w:val="left"/>
        </w:tabs>
        <w:numPr>
          <w:ilvl w:val="0"/>
          <w:numId w:val="45"/>
        </w:numPr>
        <w:rPr>
          <w:rFonts w:ascii="Arial" w:cs="Arial" w:eastAsia="Arial" w:hAnsi="Arial"/>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2240" w:h="15840" w:orient="portrait"/>
          <w:cols w:equalWidth="0" w:num="1">
            <w:col w:w="9920"/>
          </w:cols>
          <w:pgMar w:left="1160" w:top="431" w:right="1160" w:bottom="0" w:gutter="0" w:footer="0" w:header="0"/>
          <w:type w:val="continuous"/>
        </w:sectPr>
      </w:pPr>
    </w:p>
    <w:bookmarkStart w:id="62" w:name="page63"/>
    <w:bookmarkEnd w:id="62"/>
    <w:p>
      <w:pPr>
        <w:jc w:val="both"/>
        <w:ind w:left="680" w:right="20" w:hanging="328"/>
        <w:spacing w:after="0" w:line="266" w:lineRule="auto"/>
        <w:tabs>
          <w:tab w:leader="none" w:pos="6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74" w:lineRule="exact"/>
        <w:rPr>
          <w:rFonts w:ascii="Arial" w:cs="Arial" w:eastAsia="Arial" w:hAnsi="Arial"/>
          <w:sz w:val="18"/>
          <w:szCs w:val="18"/>
          <w:color w:val="auto"/>
        </w:rPr>
      </w:pPr>
    </w:p>
    <w:p>
      <w:pPr>
        <w:jc w:val="both"/>
        <w:ind w:left="680" w:right="20" w:hanging="328"/>
        <w:spacing w:after="0" w:line="256" w:lineRule="auto"/>
        <w:tabs>
          <w:tab w:leader="none" w:pos="6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p>
      <w:pPr>
        <w:spacing w:after="0" w:line="186" w:lineRule="exact"/>
        <w:rPr>
          <w:rFonts w:ascii="Arial" w:cs="Arial" w:eastAsia="Arial" w:hAnsi="Arial"/>
          <w:sz w:val="18"/>
          <w:szCs w:val="18"/>
          <w:color w:val="auto"/>
        </w:rPr>
      </w:pPr>
    </w:p>
    <w:p>
      <w:pPr>
        <w:jc w:val="both"/>
        <w:ind w:left="680" w:hanging="328"/>
        <w:spacing w:after="0" w:line="256" w:lineRule="auto"/>
        <w:tabs>
          <w:tab w:leader="none" w:pos="6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 care professionals)(such as physician assistants and nurse practitioners) and teaching hospitals, as well as information regarding ownership and investment interests held by physicians and their immediate family members; and</w:t>
      </w:r>
    </w:p>
    <w:p>
      <w:pPr>
        <w:spacing w:after="0" w:line="186" w:lineRule="exact"/>
        <w:rPr>
          <w:rFonts w:ascii="Arial" w:cs="Arial" w:eastAsia="Arial" w:hAnsi="Arial"/>
          <w:sz w:val="18"/>
          <w:szCs w:val="18"/>
          <w:color w:val="auto"/>
        </w:rPr>
      </w:pPr>
    </w:p>
    <w:p>
      <w:pPr>
        <w:jc w:val="both"/>
        <w:ind w:left="680" w:hanging="328"/>
        <w:spacing w:after="0" w:line="254" w:lineRule="auto"/>
        <w:tabs>
          <w:tab w:leader="none" w:pos="6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 -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8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addition, any sales of our product once commercialized outside the U.S. will also likely subject us to foreign equivalents of the healthcare laws mentioned above, among other foreign laws.</w:t>
      </w:r>
    </w:p>
    <w:p>
      <w:pPr>
        <w:spacing w:after="0" w:line="15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80" w:lineRule="exact"/>
        <w:rPr>
          <w:sz w:val="20"/>
          <w:szCs w:val="20"/>
          <w:color w:val="auto"/>
        </w:rPr>
      </w:pPr>
    </w:p>
    <w:p>
      <w:pPr>
        <w:jc w:val="both"/>
        <w:ind w:right="20" w:firstLine="1"/>
        <w:spacing w:after="0" w:line="261" w:lineRule="auto"/>
        <w:rPr>
          <w:sz w:val="20"/>
          <w:szCs w:val="20"/>
          <w:color w:val="auto"/>
        </w:rPr>
      </w:pPr>
      <w:r>
        <w:rPr>
          <w:rFonts w:ascii="Times New Roman" w:cs="Times New Roman" w:eastAsia="Times New Roman" w:hAnsi="Times New Roman"/>
          <w:sz w:val="18"/>
          <w:szCs w:val="18"/>
          <w:color w:val="auto"/>
        </w:rPr>
        <w:t>For example,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There have been judicial, Congressional and executive branch challenges to certain aspects of the ACA. For example, Congress considered legislation that would</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2240" w:h="15840" w:orient="portrait"/>
          <w:cols w:equalWidth="0" w:num="1">
            <w:col w:w="9920"/>
          </w:cols>
          <w:pgMar w:left="1160" w:top="431" w:right="1160" w:bottom="0" w:gutter="0" w:footer="0" w:header="0"/>
          <w:type w:val="continuous"/>
        </w:sectPr>
      </w:pPr>
    </w:p>
    <w:bookmarkStart w:id="63" w:name="page64"/>
    <w:bookmarkEnd w:id="63"/>
    <w:p>
      <w:pPr>
        <w:jc w:val="both"/>
        <w:spacing w:after="0" w:line="253" w:lineRule="auto"/>
        <w:rPr>
          <w:sz w:val="20"/>
          <w:szCs w:val="20"/>
          <w:color w:val="auto"/>
        </w:rPr>
      </w:pPr>
      <w:r>
        <w:rPr>
          <w:rFonts w:ascii="Times New Roman" w:cs="Times New Roman" w:eastAsia="Times New Roman" w:hAnsi="Times New Roman"/>
          <w:sz w:val="18"/>
          <w:szCs w:val="18"/>
          <w:color w:val="auto"/>
        </w:rPr>
        <w:t>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June 17, 2021, the U.S. Supreme Court dismissed a challenge on procedural grounds that argued the ACA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spacing w:after="0" w:line="188"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In addition, other federal health reform measures have been proposed and adopted in the United States. For example, as a result of the Budget Control Act of 2011 and subsequent legislative amendments thereto, including the Infrastructure Investment and Jobs Act, providers are subject to Medicare payment reductions of 2% per fiscal year until 2031, unless additional Congressional action is taken. Under current legislation the actual reduction in Medicare Payments will vary from 1% in 2022 to up to 3% in the fiscal year of this sequester.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95"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for example,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2240" w:h="15840" w:orient="portrait"/>
          <w:cols w:equalWidth="0" w:num="1">
            <w:col w:w="9920"/>
          </w:cols>
          <w:pgMar w:left="1160" w:top="431" w:right="1160" w:bottom="0" w:gutter="0" w:footer="0" w:header="0"/>
          <w:type w:val="continuous"/>
        </w:sectPr>
      </w:pPr>
    </w:p>
    <w:bookmarkStart w:id="64" w:name="page65"/>
    <w:bookmarkEnd w:id="64"/>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reimbursement and access to, pharmaceutical products, may limit or delay our ability to commercialize our products, generate revenue or attain profitability.</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continue to be adopted in the future.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rules, contractual obligations, policies and other obligations related to data privacy and security. Our actual or perceived failure to comply with such obligations could lead to regulatory investigations or regulatory investigations or actions; litigation; fines and penalties; disruptions of our business operations; reputational harm; loss of revenue or profits; loss of customers or sales; and other adverse business consequences.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process, generate, use, transmit, disclose, make accessible, protect, secure, dispose of, share (collectively, processing) personal data and other sensitive data, including proprietary and confidential business data, intellectual property, trade secrets, data regarding clinical trial subjects, and sensitive third-party data. We may rely on third parties (such as service providers) for our data processing-related activities.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7"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Additionally, the California Consumer Privacy Act of 2018, or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California Privacy Rights Act of 2020, or CPRA, expands the CCPA’s requirements, including by adding a new right for individuals to correct their personal data and establishing a new regulatory agency to implement and enforce the law. 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and the third parties upon whom we rely. Outside the United States, an increasing number of laws, regulations, and industry standards apply to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2240" w:h="15840" w:orient="portrait"/>
          <w:cols w:equalWidth="0" w:num="1">
            <w:col w:w="9920"/>
          </w:cols>
          <w:pgMar w:left="1160" w:top="431" w:right="1160" w:bottom="0" w:gutter="0" w:footer="0" w:header="0"/>
          <w:type w:val="continuous"/>
        </w:sectPr>
      </w:pPr>
    </w:p>
    <w:bookmarkStart w:id="65" w:name="page66"/>
    <w:bookmarkEnd w:id="65"/>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w:t>
      </w:r>
    </w:p>
    <w:p>
      <w:pPr>
        <w:spacing w:after="0" w:line="23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p>
      <w:pPr>
        <w:spacing w:after="0" w:line="187" w:lineRule="exact"/>
        <w:rPr>
          <w:sz w:val="20"/>
          <w:szCs w:val="20"/>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price and volume of fluctuations in the overall stock market from time to time;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the thinly traded nature of our common stock;</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anticipated changes in our net loss or fluctuations in our operating results or in the expectations of securities analysts;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results of our preclinical studies and clinical trials or delays in anticipated timing;</w:t>
      </w:r>
    </w:p>
    <w:p>
      <w:pPr>
        <w:spacing w:after="0" w:line="223"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the issuance of new equity securities pursuant to a future offering, including issuances of preferred stock , or sales of large blocks of our stock and sales by insiders and our institutional investors;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of new collaboration agreements with strategic partners or developments by our existing collaboration partners;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of acquisitions, mergers or business combinations;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competitive developments, including announcements by competitors of new products or services or significant contracts, acquisitions, strategic partnerships, joint ventures or capital commitments;</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conditions and trends, including changes in interest rates, and other national and global conditions, including pandemics and related global economic uncertainty;</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major catastrophic events;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departures of key personnel;</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events affecting BCM, Cell Ready or any future collaborators;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2240" w:h="15840" w:orient="portrait"/>
          <w:cols w:equalWidth="0" w:num="1">
            <w:col w:w="9920"/>
          </w:cols>
          <w:pgMar w:left="1160" w:top="431" w:right="1160" w:bottom="0" w:gutter="0" w:footer="0" w:header="0"/>
          <w:type w:val="continuous"/>
        </w:sectPr>
      </w:pPr>
    </w:p>
    <w:bookmarkStart w:id="66" w:name="page67"/>
    <w:bookmarkEnd w:id="66"/>
    <w:p>
      <w:pPr>
        <w:ind w:left="680" w:right="20" w:hanging="328"/>
        <w:spacing w:after="0" w:line="282" w:lineRule="auto"/>
        <w:tabs>
          <w:tab w:leader="none" w:pos="68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of new product candidates or technologies, commercial relationships or other events , including the results of clinical trials, or variations in our quarterly operating results;</w:t>
      </w:r>
    </w:p>
    <w:p>
      <w:pPr>
        <w:spacing w:after="0" w:line="160"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developments in the United States and other countries , including changes in the structure of healthcare payment systems, or other positive and negative events relating to healthcare and the overall pharmaceutical and biotechnology sectors;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failure of our common stock to maintain listing requirements on Nasdaq;</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the outcome of any litigation to which we are a party;</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accounting principles; and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discussion of our company or our stock price by the financial and scientific press and in online investor communities.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Nasdaq Capital Market, or Nasdaq, and biotechnology companies in particular, have experienced extreme price and volume fluctuations that have often been unrelated or disproportionate to the operating performance of these companies. Broad market and industry factors, including potentially worsening economic conditions,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56"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We completed a reverse stock split, or the Reverse Stock Split, of our common stock by a ratio of one-for-ten (1:10) effective January 26, 2023.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spacing w:after="0" w:line="18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Sales of additional equity securities may adversely affect the market price of our common stock and your rights may be reduced. Our stockholders may experience dilution in the future and it may adversely affect the market price of our securities.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but have entered into the ATM agreement under which we may sell shares. To the extent that we sell equity securities or convertible debt securities, including under the ATM agreement,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2240" w:h="15840" w:orient="portrait"/>
          <w:cols w:equalWidth="0" w:num="1">
            <w:col w:w="9920"/>
          </w:cols>
          <w:pgMar w:left="1160" w:top="431" w:right="1160" w:bottom="0" w:gutter="0" w:footer="0" w:header="0"/>
          <w:type w:val="continuous"/>
        </w:sectPr>
      </w:pPr>
    </w:p>
    <w:bookmarkStart w:id="67" w:name="page68"/>
    <w:bookmarkEnd w:id="67"/>
    <w:p>
      <w:pPr>
        <w:jc w:val="both"/>
        <w:spacing w:after="0" w:line="283" w:lineRule="auto"/>
        <w:rPr>
          <w:sz w:val="20"/>
          <w:szCs w:val="20"/>
          <w:color w:val="auto"/>
        </w:rPr>
      </w:pPr>
      <w:r>
        <w:rPr>
          <w:rFonts w:ascii="Times New Roman" w:cs="Times New Roman" w:eastAsia="Times New Roman" w:hAnsi="Times New Roman"/>
          <w:sz w:val="18"/>
          <w:szCs w:val="18"/>
          <w:color w:val="auto"/>
        </w:rPr>
        <w:t>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60"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As of December 31, 2024, we had 10.7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December 31, 2024, there were outstanding options for an aggregate of approximately 0.6 million shares of common stock at a weighted average exercise price of $22.85 per share. Further, as of December 31, 2024, there were outstanding warrants for an aggregate of approximately 8.3 million shares of common stock at a weighted average exercise price of $2.43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w:t>
      </w:r>
    </w:p>
    <w:p>
      <w:pPr>
        <w:spacing w:after="0" w:line="23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become involved in legal proceedings.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that we believe could have an adverse effect on our business, operating results or financial condition. However, from time to time, we may become involved in legal proceedings, including those arising in the ordinary course of doing business. For example, we may be subject to claims from our employees, consultants, vendors and other third parties with whom we have a contractual relationship. Litigation may be necessary to defend against these claims. Even if we are successful in defending against these claims, litigation could result in substantial cost and be a distraction to our management and employees.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or are perceived to have been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may collect, receive, store, use, transmit, disclose, transfer, disclose, make accessible, protect, secure, dispose of, transmit, share, or otherwise process proprietary, confidential, and sensitive data, including personal data (such as health-related data regarding clinical trial subjects), intellectual property, and trade secrets.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threats, including, but not limited to, malicious code (such as viruses and worms), social engineering attacks (including through phishing attacks), malware (including as a result of advanced persistent threat intrusions), denial of service attacks (such as credential stuffing), credential harvesting, software bugs, server malfunctions, software or hardware failures, unauthorized access, natural disasters,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2240" w:h="15840" w:orient="portrait"/>
          <w:cols w:equalWidth="0" w:num="1">
            <w:col w:w="9920"/>
          </w:cols>
          <w:pgMar w:left="1160" w:top="431" w:right="1160" w:bottom="0" w:gutter="0" w:footer="0" w:header="0"/>
          <w:type w:val="continuous"/>
        </w:sectPr>
      </w:pPr>
    </w:p>
    <w:bookmarkStart w:id="68" w:name="page69"/>
    <w:bookmarkEnd w:id="68"/>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fire, terrorism, successful breaches, personnel misconduct or error, or human or technological error, war and telecommunication and electrical failures.</w:t>
      </w:r>
    </w:p>
    <w:p>
      <w:pPr>
        <w:spacing w:after="0" w:line="160"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severe, and can lead to significant interruptions in our operations, loss of sensitive data, reputational harm, and diversion of funds. Extortion payments may alleviate some of the negative impact of a ransomware attack, but we may be unwilling or unable to make such payments due to, for example, applicable laws or regulations prohibiting such payments. Additionally, future pandemics could pose increased risks to our information technology systems and data if our employees are required to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third parties (such as service providers and technologies) to process sensitive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Any of the previously identified or similar threats could cause a security incident or other incident during which our information technology systems or data could be compromised, which could result in unauthorized, unlawful, or accidental acquisition, modification, destruction, loss, alteration, encryption, disclosure of, or access to our data; it could also disrupt our ability (and that of third parties upon which we rely) to operate our business, including conducting our clinical trials. For example, if a compromise were to occur and cause interruptions in our operations, it could result in a material disruption of our drug development programs. Similarly,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in an effort to protect against the compromise of our information technology systems and data. Further, certain data privacy and security obligations may require us to implement and maintain specific security measures, industry-standard or reasonable security measures to protect our information technology systems and data. While we have implemented security measures designed to prevent our information technology systems and data from being compromised, there can be no assurance that these measures will be effective. We may be unable to detect vulnerabilities in our information technology systems because the threats against these systems change frequently, are often sophisticated, and may not be detected until after a compromise has occurred. Despite our efforts to identify and remediate vulnerabilities, if any, in our information technology systems, our efforts may not be successful. Further, we may experience delays in developing and deploying remedial measures designed to address any identified vulnerabilities.</w:t>
      </w:r>
    </w:p>
    <w:p>
      <w:pPr>
        <w:spacing w:after="0" w:line="188"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If we (or a third -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data (including personal data); litigation (including class actions); indemnification obligations; negative publicity; reputational harm; monetary fund diversions; interruptions in our operations (including availability of data); financial loss; and other similar harms. Additionally, applicable data privacy and security obligations may require us to notify relevant stakeholders; such disclosures are costly, and the disclosures or the failure to comply with such requirements could lead to adverse consequences. Our contracts may not contain limitations of liability, and even where they do, there can be no assurance that limitations of liability in our contracts are sufficient to protect us from claims related to our data privacy and security obligations.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 Additionally, we cannot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2240" w:h="15840" w:orient="portrait"/>
          <w:cols w:equalWidth="0" w:num="1">
            <w:col w:w="9920"/>
          </w:cols>
          <w:pgMar w:left="1160" w:top="431" w:right="1160" w:bottom="0" w:gutter="0" w:footer="0" w:header="0"/>
          <w:type w:val="continuous"/>
        </w:sectPr>
      </w:pPr>
    </w:p>
    <w:bookmarkStart w:id="69" w:name="page70"/>
    <w:bookmarkEnd w:id="69"/>
    <w:p>
      <w:pPr>
        <w:jc w:val="both"/>
        <w:ind w:right="20" w:firstLine="1"/>
        <w:spacing w:after="0" w:line="283" w:lineRule="auto"/>
        <w:rPr>
          <w:sz w:val="20"/>
          <w:szCs w:val="20"/>
          <w:color w:val="auto"/>
        </w:rPr>
      </w:pPr>
      <w:r>
        <w:rPr>
          <w:rFonts w:ascii="Times New Roman" w:cs="Times New Roman" w:eastAsia="Times New Roman" w:hAnsi="Times New Roman"/>
          <w:sz w:val="18"/>
          <w:szCs w:val="18"/>
          <w:color w:val="auto"/>
        </w:rPr>
        <w:t>be sure that such coverage will continue to be available on commercially reasonable terms or at all, or that such coverage will pay future claims.</w:t>
      </w:r>
    </w:p>
    <w:p>
      <w:pPr>
        <w:spacing w:after="0" w:line="155" w:lineRule="exact"/>
        <w:rPr>
          <w:sz w:val="20"/>
          <w:szCs w:val="20"/>
          <w:color w:val="auto"/>
        </w:rPr>
      </w:pPr>
    </w:p>
    <w:p>
      <w:pPr>
        <w:jc w:val="both"/>
        <w:ind w:right="20" w:firstLine="1"/>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4"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limitation.</w:t>
      </w:r>
    </w:p>
    <w:p>
      <w:pPr>
        <w:spacing w:after="0" w:line="230"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Our net operating loss, or NOL, carryforwards could expire unused and be unavailable to offset future income tax liabilities because of their limited duration or because of restrictions under U.S. tax law. Our federal NOLs generated in tax years beginning before January 1, 2018, are permitted to be carried forward for only 20 years under applicable U.S. tax law. Our federal NOLs generated in tax years beginning after December 31, 2017, may be carried forward indefinitely, but the deductibility of such federal NOLs is limited to 80% of taxable income. It is uncertain if and to what extent various states will conform to federal tax law.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under Section 382 and Section 383 of the Internal Revenue Code of 1986, as amended, or, the Code,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8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23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In the event of a major hurricane or other serious weather event or catastrophic event such as fire, power loss, cyberattack, war, terrorist attack or epidemic or pandemic that impacts the facilities of any third parties on which we may rely, we may be unable to continue our</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2240" w:h="15840" w:orient="portrait"/>
          <w:cols w:equalWidth="0" w:num="1">
            <w:col w:w="9920"/>
          </w:cols>
          <w:pgMar w:left="1160" w:top="431" w:right="1160" w:bottom="0" w:gutter="0" w:footer="0" w:header="0"/>
          <w:type w:val="continuous"/>
        </w:sectPr>
      </w:pPr>
    </w:p>
    <w:bookmarkStart w:id="70" w:name="page71"/>
    <w:bookmarkEnd w:id="7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adversely affected by the effects of health epidemics, including pandemics.</w:t>
      </w:r>
    </w:p>
    <w:p>
      <w:pPr>
        <w:spacing w:after="0" w:line="2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Our business and operations could be adversely affected by the effects of health epidemics, as was recently experienced in connection with the COVID-19 virus, which was declared by the World Health Organization as a global pandemic.</w:t>
      </w:r>
    </w:p>
    <w:p>
      <w:pPr>
        <w:spacing w:after="0" w:line="160" w:lineRule="exact"/>
        <w:rPr>
          <w:sz w:val="20"/>
          <w:szCs w:val="20"/>
          <w:color w:val="auto"/>
        </w:rPr>
      </w:pPr>
    </w:p>
    <w:p>
      <w:pPr>
        <w:jc w:val="both"/>
        <w:ind w:right="20" w:firstLine="1"/>
        <w:spacing w:after="0" w:line="255" w:lineRule="auto"/>
        <w:rPr>
          <w:sz w:val="20"/>
          <w:szCs w:val="20"/>
          <w:color w:val="auto"/>
        </w:rPr>
      </w:pPr>
      <w:r>
        <w:rPr>
          <w:rFonts w:ascii="Times New Roman" w:cs="Times New Roman" w:eastAsia="Times New Roman" w:hAnsi="Times New Roman"/>
          <w:sz w:val="18"/>
          <w:szCs w:val="18"/>
          <w:color w:val="auto"/>
        </w:rPr>
        <w:t>Remote work policies, quarantines, shelter-in-place and similar government orders, shutdowns or other restrictions on the conduct of business operations related to the pandemics or other health epidemics may negatively impact productivity. For instance, the COVID-19 pandemic disrupted our ongoing research and development activities and delayed certain of our clinical programs and timelines. In addition, although our employees are accustomed to working remotely, changes in internal controls due to remote work arrangements may result in control deficiencies in the preparation of our financial reports, which could be material. 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 epidemics may also affect the conduct of our clinical trials. Although we are enrolling patients and initiating clinical sites in our Phase 2 trial of MT-401 (zedenoleucel) for post-transplant AML, we previously experienced temporary delays in enrollment due to the COVID-19 pandemic and in satisfying certain FDA requirements to move forward with the trial, which together resulted in a delay in our overall timelines for this trial. Our ongoing and future clinical trials may be also affected by future pandemics. Patient enrollment and clinical site initiation, while ongoing, may be delayed due to prioritization of hospital resources toward pandemics or other health emergencies, if they arise.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health epidemics, which would adversely impact clinical trial operations.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extent to which future pandemics impact our business and operations, including our clinical development and regulatory efforts, will depend on future developments that are highly uncertain and cannot be predicted with confidence, such as the continued geographic spread of the disease, the duration and effect of any future business disruptions in the United States and other countries to contain and treat patients with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 and may also have the effect of heightening many of the other risks and uncertainties described in this “Risk Factors” section.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conditions could adversely affect our business, financial condition or results of operations.</w:t>
      </w:r>
    </w:p>
    <w:p>
      <w:pPr>
        <w:spacing w:after="0" w:line="230"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 addition, military conflicts such as between Russia and Ukraine could disrupt or otherwise adversely impact our operations and those of third parties upon which we rely, although we have not experienced any such disruption to date. Related sanctions, export controls or other actions have been or may in the future be initiated by nations including the United States, the European Union or Russia (e.g., potential cyberattacks, disruption of energy flows, etc.), which could adversely affect our business and/or our supply chain, our CROs, CMOs and other third parties with whom we conduct business. Any of the foregoing could harm our business and we cannot anticipate all of the ways in which the current economic climate and financial market conditions could adversely impact our business.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2240" w:h="15840" w:orient="portrait"/>
          <w:cols w:equalWidth="0" w:num="1">
            <w:col w:w="9920"/>
          </w:cols>
          <w:pgMar w:left="1160" w:top="431" w:right="1160" w:bottom="0" w:gutter="0" w:footer="0" w:header="0"/>
          <w:type w:val="continuous"/>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company.</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instance,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8"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We operate in the biotechnology sector,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such as the National Institute of Standards and Technology (“NIST”) Cybersecurity Framework. We expect the third-party vendors that provide our IT services to use various tools and methodologies to manage cybersecurity risk and to monitor and evaluate our cybersecurity posture and performance on an ongoing basis through regular vulnerability scans, penetration tests and threat intelligence feeds. We expect to require third-party service providers with access to personal, confidential or proprietary information to implement and maintain cybersecurity practices consistent with applicable legal standards and industry best practices.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may also result in a breach of our contractual obligations or legal duties to protect the privacy and confidentiality of our stakeholders. Such a breach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and Oversight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w:t>
      </w:r>
    </w:p>
    <w:p>
      <w:pPr>
        <w:spacing w:after="0" w:line="225"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various members of our management team, third party service providers and other employees, who we believe have a combination of relevant expertise, experience, education and training.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members of our management team are responsible for hiring appropriate personnel and third-party IT service providers, helping to integrate cybersecurity risk considerations into our overall risk management strategy, communicating key priorities to relevant personnel, approving budgets, helping prepare for cybersecurity incidents, approving cybersecurity processes, and reviewing security assessments and other security-related reports.</w:t>
      </w:r>
    </w:p>
    <w:p>
      <w:pPr>
        <w:spacing w:after="0" w:line="18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Our cybersecurity incident response processes are designed to escalate certain cybersecurity incidents to members of management depending on the circumstances, including in some cases to our executive team. Our cybersecurity incident management team, and other</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2240" w:h="15840" w:orient="portrait"/>
          <w:cols w:equalWidth="0" w:num="1">
            <w:col w:w="9920"/>
          </w:cols>
          <w:pgMar w:left="1160" w:top="431" w:right="1160" w:bottom="0" w:gutter="0" w:footer="0" w:header="0"/>
          <w:type w:val="continuous"/>
        </w:sectPr>
      </w:pPr>
    </w:p>
    <w:bookmarkStart w:id="72" w:name="page73"/>
    <w:bookmarkEnd w:id="72"/>
    <w:p>
      <w:pPr>
        <w:jc w:val="both"/>
        <w:spacing w:after="0" w:line="283" w:lineRule="auto"/>
        <w:rPr>
          <w:sz w:val="20"/>
          <w:szCs w:val="20"/>
          <w:color w:val="auto"/>
        </w:rPr>
      </w:pPr>
      <w:r>
        <w:rPr>
          <w:rFonts w:ascii="Times New Roman" w:cs="Times New Roman" w:eastAsia="Times New Roman" w:hAnsi="Times New Roman"/>
          <w:sz w:val="18"/>
          <w:szCs w:val="18"/>
          <w:color w:val="auto"/>
        </w:rPr>
        <w:t>individuals as needed, work to help us mitigate and remediate cybersecurity incidents of which we are notified. In addition, our incident response processes include a procedure for reporting certain cybersecurity incidents to the board of directors.</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board of directors receives regular reports from management concerning our cybersecurity risk management program. The board also receives various summaries and/or presentations related to cybersecurity threats, risks and mitigation.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We do not own any real estate or other properties. We utilize office space through Baylor College of Medicine at 2450 Holcombe Blvd, Suite BCM-A, MS: BCM251, Houston, TX 77021, which is also our principal business office.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2240" w:h="15840" w:orient="portrait"/>
          <w:cols w:equalWidth="0" w:num="1">
            <w:col w:w="9920"/>
          </w:cols>
          <w:pgMar w:left="1160" w:top="431" w:right="116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“MRKR”. As of March 26, 2025, we had 38 stockholders of record, whom are holding shares. The price of our common stock on March 26, 2025 was $1.16 per share.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No dividends have been declared or paid on our common stock. We have incurred recurring losses and do not currently intend to pay any cash dividends in the foreseeable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previously disclosed, on December 19, 2024, we entered into a securities purchase agreement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various investors for the issuance and sale in a private placement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of (i) 1,783,805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(ii) Series A Warrants to acquire 5,031,250 shares of Common Stock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and (iii) partially prepaid warrants to acquire 3,247,445 additional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Private Placement closed on December 23, 2024. The gross proceeds to the Company from the Private Placement were approximately $16.1 million, before deducting placement agent fees and offering expenses payable by the Company. The Company intends to use the net proceeds received from the Private Placement for general corporate purposes and working capital.</w:t>
      </w:r>
    </w:p>
    <w:p>
      <w:pPr>
        <w:spacing w:after="0" w:line="176" w:lineRule="exact"/>
        <w:rPr>
          <w:sz w:val="20"/>
          <w:szCs w:val="20"/>
          <w:color w:val="auto"/>
        </w:rPr>
      </w:pPr>
    </w:p>
    <w:p>
      <w:pPr>
        <w:jc w:val="both"/>
        <w:ind w:firstLine="1"/>
        <w:spacing w:after="0" w:line="239" w:lineRule="auto"/>
        <w:rPr>
          <w:sz w:val="20"/>
          <w:szCs w:val="20"/>
          <w:color w:val="auto"/>
        </w:rPr>
      </w:pPr>
      <w:r>
        <w:rPr>
          <w:rFonts w:ascii="Times New Roman" w:cs="Times New Roman" w:eastAsia="Times New Roman" w:hAnsi="Times New Roman"/>
          <w:sz w:val="18"/>
          <w:szCs w:val="18"/>
          <w:color w:val="auto"/>
        </w:rPr>
        <w:t>Pursuant to the Securities Purchase Agreement, the Company is obligated to call a meeting of its stockholders to obtain stockholder approval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for the issuance of the shares issuable upon exercise of the Warrants within 90 days of the closing date. If the Stockholder Approval is not obtained at such meeting, the Company is required to cause an additional stockholder meeting to be held on or prior to the 180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day after the closing date, and, if despite the Company’s reasonable best efforts the Stockholder Approval is not obtained after such subsequent stockholder meeting, the Company is required to cause an additional stockholder meeting to be held semi-annual thereafter until such Stockholder Approval is obtained. In connection therewith, the Company entered into voting agreements with certain stockholders pursuant to which such stockholders, who collectively own approximately 27% of the shares of common stock outstanding immediately prior to the closing of the Private Placement, agreed to vote in favor of the Private Placement.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are exercisable at any time on or after the date that the Stockholder Approval is obtained and have a term of five years commencing upon the date that the Stockholder Approval is obtained. The Pre-Funded warrants are exercisable at a price of $0.001 per share and the Private Placement Warrants have an exercise price of $4.00 per share.</w:t>
      </w:r>
    </w:p>
    <w:p>
      <w:pPr>
        <w:spacing w:after="0" w:line="176"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None of the issuances of the shares of Common Stock, the Pre-Funded Warrants, the Private Placement Warrants, or the shares of Common Stock issuable upon exercise of the Warrants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have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state securities laws. The shares of Common Stock, the Pre-Funded Warrants and the Private Placement Warrants, were issued, and Warrant Shares will be issued, in reliance on the exemptions from registration provided by Section 4(a)(2) under the Securities Act and/or Regulation D promulgated thereunder. The investors who entered into to a Securities Purchase Agreement have represented that they are each an accredited investor, as defined in Rule 501 of Regulation D promulgated under the Securities Act.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(the “</w:t>
      </w: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19, 2024, with the investors in the Private Placement, pursuant to which the Company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 and file a registration statement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registering the resale of the shares of Common Stock issued in the Private Placement along with the shares of Common Stock underlying the Warrants no later than January 14, 2025, and to use its best efforts to have the registration statement declared effective as promptly as practical thereafter, and in any</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2240" w:h="15840" w:orient="portrait"/>
          <w:cols w:equalWidth="0" w:num="1">
            <w:col w:w="9920"/>
          </w:cols>
          <w:pgMar w:left="1160" w:top="428" w:right="1160" w:bottom="0" w:gutter="0" w:footer="0" w:header="0"/>
          <w:type w:val="continuous"/>
        </w:sectPr>
      </w:pPr>
    </w:p>
    <w:bookmarkStart w:id="74" w:name="page75"/>
    <w:bookmarkEnd w:id="74"/>
    <w:p>
      <w:pPr>
        <w:jc w:val="both"/>
        <w:spacing w:after="0" w:line="283" w:lineRule="auto"/>
        <w:rPr>
          <w:sz w:val="20"/>
          <w:szCs w:val="20"/>
          <w:color w:val="auto"/>
        </w:rPr>
      </w:pPr>
      <w:r>
        <w:rPr>
          <w:rFonts w:ascii="Times New Roman" w:cs="Times New Roman" w:eastAsia="Times New Roman" w:hAnsi="Times New Roman"/>
          <w:sz w:val="18"/>
          <w:szCs w:val="18"/>
          <w:color w:val="auto"/>
        </w:rPr>
        <w:t>event no later than the earlier of (A) February 14, 2024 and (B) the second business day after the date the Company is notified by the SEC that the Registration Statement will not be reviewed or will not be subject to further review</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Canaccord Genuity LLC acted as the Company’s lead placement agent and Brookline Capital Markets, a division of Arcadia Securities, LLC, acted as co-placement agent (collectively,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in connection with the Private Placement, pursuant to that certain engagement letter, dated as of June 14, 2024, between the Company and Canaccord Genuity LLC (the “</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Pursuant to the Engagement Letter, the Company paid or agreed to pay the Agents a cash fee equal to (i) 6% of the aggregate gross proceeds of the Private Placement other than from certain identified investors (the “</w:t>
      </w:r>
      <w:r>
        <w:rPr>
          <w:rFonts w:ascii="Times New Roman" w:cs="Times New Roman" w:eastAsia="Times New Roman" w:hAnsi="Times New Roman"/>
          <w:sz w:val="18"/>
          <w:szCs w:val="18"/>
          <w:b w:val="1"/>
          <w:bCs w:val="1"/>
          <w:color w:val="auto"/>
        </w:rPr>
        <w:t>Reduced Fee Investors</w:t>
      </w:r>
      <w:r>
        <w:rPr>
          <w:rFonts w:ascii="Times New Roman" w:cs="Times New Roman" w:eastAsia="Times New Roman" w:hAnsi="Times New Roman"/>
          <w:sz w:val="18"/>
          <w:szCs w:val="18"/>
          <w:color w:val="auto"/>
        </w:rPr>
        <w:t>”), (ii) 3% of the first $5 million of aggregate gross proceeds of the Private Placement form the Reduced Fee Investors, and (iii) 6% of the aggregate gross proceeds of the Private Placement form the Reduced Fee Investors in excess of $5 million. In addition, the Company agreed to pay Wainwright certain expenses.</w:t>
      </w:r>
    </w:p>
    <w:p>
      <w:pPr>
        <w:spacing w:after="0" w:line="18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Engagement Letter and the Securities Purchase Agreement contain customary representations and warranties, agreements and obligations, conditions to closing and termination provisions. The foregoing descriptions of terms and conditions of the Securities Purchase Agreement, the Pre–Funded Warrants, the Private Placement Warrants, and the Registration Rights Agreement do not purport to be complete and are qualified in their entirety by the full text of the form of the Purchase Agreement, the form of the Pre–Funded Warrant, the form of Private Placement Warrant, and the form of the Registration Rights Agreement, which are attached hereto as Exhibits 10.7, 4.2, 4.3 and 10.8,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equity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6"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changes in financial condition, plan of operations and results of operations should be read in conjunction with (i) our audited consolidated financial statements as of December 31, 2024 and December 31, 2023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2240" w:h="15840" w:orient="portrait"/>
          <w:cols w:equalWidth="0" w:num="1">
            <w:col w:w="9920"/>
          </w:cols>
          <w:pgMar w:left="1160" w:top="431" w:right="11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MAR-T cell program for:</w:t>
      </w:r>
    </w:p>
    <w:p>
      <w:pPr>
        <w:spacing w:after="0" w:line="225" w:lineRule="exact"/>
        <w:rPr>
          <w:sz w:val="20"/>
          <w:szCs w:val="20"/>
          <w:color w:val="auto"/>
        </w:rPr>
      </w:pPr>
    </w:p>
    <w:p>
      <w:pPr>
        <w:ind w:left="680" w:hanging="328"/>
        <w:spacing w:after="0"/>
        <w:tabs>
          <w:tab w:leader="none" w:pos="680" w:val="left"/>
        </w:tabs>
        <w:numPr>
          <w:ilvl w:val="0"/>
          <w:numId w:val="49"/>
        </w:numPr>
        <w:rPr>
          <w:rFonts w:ascii="Arial" w:cs="Arial" w:eastAsia="Arial" w:hAnsi="Arial"/>
          <w:sz w:val="18"/>
          <w:szCs w:val="18"/>
          <w:color w:val="auto"/>
        </w:rPr>
      </w:pPr>
      <w:r>
        <w:rPr>
          <w:rFonts w:ascii="Times New Roman" w:cs="Times New Roman" w:eastAsia="Times New Roman" w:hAnsi="Times New Roman"/>
          <w:sz w:val="18"/>
          <w:szCs w:val="18"/>
          <w:color w:val="auto"/>
        </w:rPr>
        <w:t>Autologous MAR-T cell product for the treatment of lymphoma and pancreatic cancer (MT-601)</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49"/>
        </w:numPr>
        <w:rPr>
          <w:rFonts w:ascii="Arial" w:cs="Arial" w:eastAsia="Arial" w:hAnsi="Arial"/>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22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We do not genetically engineer our MAR-T cell therapies and we believe that our product candidates are superior to T cells engineered with chimeric antigen receptors, or CAR-T, for several reasons including:</w:t>
      </w:r>
    </w:p>
    <w:p>
      <w:pPr>
        <w:spacing w:after="0" w:line="160" w:lineRule="exact"/>
        <w:rPr>
          <w:sz w:val="20"/>
          <w:szCs w:val="20"/>
          <w:color w:val="auto"/>
        </w:rPr>
      </w:pPr>
    </w:p>
    <w:p>
      <w:pPr>
        <w:ind w:left="680" w:hanging="328"/>
        <w:spacing w:after="0"/>
        <w:tabs>
          <w:tab w:leader="none" w:pos="68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Multiple targets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enhanced tumoricidal effect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minimized tumor immune escape</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Clinical safety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treatment-related side effects, including immune effector cell-associated neurotoxicity syndrome (ICANS) or other severe adverse effects (SAEs), were attributed to the use of MAR-T cell therapies to date</w:t>
      </w:r>
    </w:p>
    <w:p>
      <w:pPr>
        <w:spacing w:after="0" w:line="160" w:lineRule="exact"/>
        <w:rPr>
          <w:rFonts w:ascii="Arial" w:cs="Arial" w:eastAsia="Arial" w:hAnsi="Arial"/>
          <w:sz w:val="18"/>
          <w:szCs w:val="18"/>
          <w:color w:val="auto"/>
        </w:rPr>
      </w:pPr>
    </w:p>
    <w:p>
      <w:pPr>
        <w:jc w:val="both"/>
        <w:ind w:left="680" w:right="20" w:hanging="329"/>
        <w:spacing w:after="0" w:line="265" w:lineRule="auto"/>
        <w:tabs>
          <w:tab w:leader="none" w:pos="680" w:val="left"/>
        </w:tabs>
        <w:numPr>
          <w:ilvl w:val="0"/>
          <w:numId w:val="50"/>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Non-genetically engineered T cell products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selective expansion of tumor-specific T cells from a patient’s or donor’s blood capable of recognizing a broad range of tumor antigens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risk of mutagenesis and reduced manufacturing complexity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124460</wp:posOffset>
            </wp:positionV>
            <wp:extent cx="5692140" cy="1388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56921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MAR-T cell recognition of cancer targets. For example, we are assessing the potential of combining MAR-T cell products with other products.</w:t>
      </w:r>
    </w:p>
    <w:p>
      <w:pPr>
        <w:spacing w:after="0" w:line="1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December 19, 2024, we issued a press release providing an update on the progress and clinical observations from the Phase 1 APOLLO study, with a data cutoff date of September 10, 2024. Our Phase 1 APOLLO study is investigating MT-601, a MAR-T cell product, in patients with lymphoma who have relapsed after anti-CD19 chimeric antigen receptor (CAR) T cell therapy or where anti-CD19 CAR-T cells are not an option. A total of 10 patients have been treated in the study, for which clinical data is currently available for 9 patients from 5 clinical sites across the United States. Study participants showed early objective responses with and without lymphodepletion. However, immunomonitoring data confirmed that lymphodepletion enhanced the expansion and persistence of MAR-T cell clones in vivo.</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2240" w:h="15840" w:orient="portrait"/>
          <w:cols w:equalWidth="0" w:num="1">
            <w:col w:w="9920"/>
          </w:cols>
          <w:pgMar w:left="1160" w:top="431" w:right="116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154940</wp:posOffset>
            </wp:positionV>
            <wp:extent cx="5383530" cy="2802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538353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w:t>
      </w:r>
      <w:r>
        <w:rPr>
          <w:rFonts w:ascii="Times New Roman" w:cs="Times New Roman" w:eastAsia="Times New Roman" w:hAnsi="Times New Roman"/>
          <w:sz w:val="18"/>
          <w:szCs w:val="18"/>
          <w:b w:val="1"/>
          <w:bCs w:val="1"/>
          <w:color w:val="auto"/>
        </w:rPr>
        <w:t>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2021, we opened an in-house cGMP manufacturing facility in Houston, Texas, where we manufactured the clinical supply of our product candidates. Subsequently, on June 26, 2023, we completed a transaction with Cell Ready, LLC, or Cell Ready, pursuant to a Purchase Agreement, or the Cell Ready Purchase Agreement, dated May 1, 2023, by and between us and Cell Ready, pursuant to which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any contracts related to the equipment and Manufacturing Facilities (collectively referred to as the “Purchased Assets”). Following the closing of the Cell Ready Purchase Agreement, we no longer operate our own cGMP manufacturing facility and instead rely on third parties for the clinical and, once approved, commercial manufacture of our product candidates.</w:t>
      </w:r>
    </w:p>
    <w:p>
      <w:pPr>
        <w:spacing w:after="0" w:line="185"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As such, 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The MSA contains customary representations, warranties and indemnification provision. The initial term of the MSA is three years and may be extended upon the mutual written agreement of the parties. On March 27, 2025, we mutually agreed with Cell Ready to terminate the MSA. In connection therewith, we and Cell Ready entered into a settlement and release agreement pursuant to which we paid Cell Ready approximately $453,000 and we and Cell Ready provided one another mutual releases of all claims associated with any and all agreements between Marker and Cell Ready.</w:t>
      </w:r>
    </w:p>
    <w:p>
      <w:pPr>
        <w:spacing w:after="0" w:line="185" w:lineRule="exact"/>
        <w:rPr>
          <w:sz w:val="20"/>
          <w:szCs w:val="20"/>
          <w:color w:val="auto"/>
        </w:rPr>
      </w:pPr>
    </w:p>
    <w:p>
      <w:pPr>
        <w:jc w:val="both"/>
        <w:ind w:right="20" w:firstLine="1"/>
        <w:spacing w:after="0" w:line="266" w:lineRule="auto"/>
        <w:rPr>
          <w:sz w:val="20"/>
          <w:szCs w:val="20"/>
          <w:color w:val="auto"/>
        </w:rPr>
      </w:pPr>
      <w:r>
        <w:rPr>
          <w:rFonts w:ascii="Times New Roman" w:cs="Times New Roman" w:eastAsia="Times New Roman" w:hAnsi="Times New Roman"/>
          <w:sz w:val="18"/>
          <w:szCs w:val="18"/>
          <w:color w:val="auto"/>
        </w:rPr>
        <w:t>Additionally, BCM continues to supply us with products, as we continue our clinical trials. Furthermore, in anticipation of the commencement of our larger pivotal trial for Lymphoma in 2026, as well as the eventual need for commercial scale production, we intend to evaluate and qualify additional potential third-party manufacturing partners to provide potential multiple sources of clinical</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2240" w:h="15840" w:orient="portrait"/>
          <w:cols w:equalWidth="0" w:num="1">
            <w:col w:w="9920"/>
          </w:cols>
          <w:pgMar w:left="1160" w:top="428" w:right="1160" w:bottom="0" w:gutter="0" w:footer="0" w:header="0"/>
          <w:type w:val="continuous"/>
        </w:sectPr>
      </w:pPr>
    </w:p>
    <w:bookmarkStart w:id="77" w:name="page78"/>
    <w:bookmarkEnd w:id="77"/>
    <w:p>
      <w:pPr>
        <w:jc w:val="both"/>
        <w:spacing w:after="0" w:line="283" w:lineRule="auto"/>
        <w:rPr>
          <w:sz w:val="20"/>
          <w:szCs w:val="20"/>
          <w:color w:val="auto"/>
        </w:rPr>
      </w:pPr>
      <w:r>
        <w:rPr>
          <w:rFonts w:ascii="Times New Roman" w:cs="Times New Roman" w:eastAsia="Times New Roman" w:hAnsi="Times New Roman"/>
          <w:sz w:val="18"/>
          <w:szCs w:val="18"/>
          <w:color w:val="auto"/>
        </w:rPr>
        <w:t>and commercial supply. We currently are in discussions with a number of CDMO candidates and anticipate that we will select a partner organization and commence the qualification and technology transfer process later this year.</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 See “Risk Factors”.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incurred $5.8 million and $1.3 million in expenses related to the Cell Ready services and manufacturing costs, respectively. During the year ended December 31, 2024 the Company paid $5.5 million related to Cell Ready invoices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21, 2025, the Company held a Special Meeting of Stockholders (the “Special Meeting”) at which the stockholders approved, in accordance with Nasdaq Listing Rule 5635(d), of the issuance of the shares issuable upon exercise of (i) Series A Warrants to acquire 5,031,250 shares of Common Stock and (ii) Series B Warrants to acquire 3,247,445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Our research and development expenses are primarily costs associated with our clinical trials, including compensation, share-based compensation expense and benefits for employees and selected consultants, manufacturing expenses and fees paid to third parties.</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Clinical costs are expensed as incurred. Costs and timing of clinical trials and development of our product candidates will depend on a variety of factors that include, but are not limited to, the following:</w:t>
      </w:r>
    </w:p>
    <w:p>
      <w:pPr>
        <w:spacing w:after="0" w:line="160" w:lineRule="exact"/>
        <w:rPr>
          <w:sz w:val="20"/>
          <w:szCs w:val="20"/>
          <w:color w:val="auto"/>
        </w:rPr>
      </w:pPr>
    </w:p>
    <w:p>
      <w:pPr>
        <w:ind w:left="680" w:hanging="328"/>
        <w:spacing w:after="0"/>
        <w:tabs>
          <w:tab w:leader="none" w:pos="68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per patient clinical trial costs;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number of patients that participate in the clinical trials;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2240" w:h="15840" w:orient="portrait"/>
          <w:cols w:equalWidth="0" w:num="1">
            <w:col w:w="9920"/>
          </w:cols>
          <w:pgMar w:left="1160" w:top="431" w:right="1160" w:bottom="0" w:gutter="0" w:footer="0" w:header="0"/>
          <w:type w:val="continuous"/>
        </w:sectPr>
      </w:pPr>
    </w:p>
    <w:bookmarkStart w:id="78" w:name="page79"/>
    <w:bookmarkEnd w:id="78"/>
    <w:p>
      <w:pPr>
        <w:ind w:left="680" w:hanging="328"/>
        <w:spacing w:after="0"/>
        <w:tabs>
          <w:tab w:leader="none" w:pos="68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the duration of patient follow-up;</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successfully manufacture patient doses.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clinical trial costs will continue to increase over the next several years due to increased spending on the clinical development and manufacturing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share-based compensation, legal fees relating to patent and corporate matters, insurance costs, consulting and professional fees, audit and investor relations.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$50,000 and $4,000 in state tax expense for the years ended December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interest income.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following table summarizes the results of our continuing operations (rounded to the thousands except for per share amounts) for the years ended December 31, 2024 and 2023, together with the changes to those items: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58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Borders>
              <w:top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tcBorders>
              <w:top w:val="single" w:sz="8" w:color="D2EEF5"/>
            </w:tcBorders>
            <w:shd w:val="clear" w:color="auto" w:fill="D2EEF5"/>
          </w:tcPr>
          <w:p>
            <w:pPr>
              <w:spacing w:after="0"/>
              <w:rPr>
                <w:sz w:val="18"/>
                <w:szCs w:val="18"/>
                <w:color w:val="auto"/>
              </w:rPr>
            </w:pPr>
          </w:p>
        </w:tc>
        <w:tc>
          <w:tcPr>
            <w:tcW w:w="1100" w:type="dxa"/>
            <w:vAlign w:val="bottom"/>
            <w:tcBorders>
              <w:top w:val="single" w:sz="8" w:color="auto"/>
            </w:tcBorders>
            <w:shd w:val="clear" w:color="auto" w:fill="D2EEF5"/>
          </w:tcPr>
          <w:p>
            <w:pPr>
              <w:spacing w:after="0"/>
              <w:rPr>
                <w:sz w:val="18"/>
                <w:szCs w:val="18"/>
                <w:color w:val="auto"/>
              </w:rPr>
            </w:pPr>
          </w:p>
        </w:tc>
        <w:tc>
          <w:tcPr>
            <w:tcW w:w="80" w:type="dxa"/>
            <w:vAlign w:val="bottom"/>
            <w:tcBorders>
              <w:top w:val="single" w:sz="8" w:color="D2EEF5"/>
            </w:tcBorders>
            <w:shd w:val="clear" w:color="auto" w:fill="D2EEF5"/>
          </w:tcPr>
          <w:p>
            <w:pPr>
              <w:spacing w:after="0"/>
              <w:rPr>
                <w:sz w:val="18"/>
                <w:szCs w:val="18"/>
                <w:color w:val="auto"/>
              </w:rPr>
            </w:pPr>
          </w:p>
        </w:tc>
        <w:tc>
          <w:tcPr>
            <w:tcW w:w="100" w:type="dxa"/>
            <w:vAlign w:val="bottom"/>
            <w:tcBorders>
              <w:top w:val="single" w:sz="8" w:color="D2EEF5"/>
            </w:tcBorders>
            <w:shd w:val="clear" w:color="auto" w:fill="D2EEF5"/>
          </w:tcPr>
          <w:p>
            <w:pPr>
              <w:spacing w:after="0"/>
              <w:rPr>
                <w:sz w:val="18"/>
                <w:szCs w:val="18"/>
                <w:color w:val="auto"/>
              </w:rPr>
            </w:pPr>
          </w:p>
        </w:tc>
        <w:tc>
          <w:tcPr>
            <w:tcW w:w="1080" w:type="dxa"/>
            <w:vAlign w:val="bottom"/>
            <w:tcBorders>
              <w:top w:val="single" w:sz="8" w:color="auto"/>
            </w:tcBorders>
            <w:shd w:val="clear" w:color="auto" w:fill="D2EEF5"/>
          </w:tcPr>
          <w:p>
            <w:pPr>
              <w:spacing w:after="0"/>
              <w:rPr>
                <w:sz w:val="18"/>
                <w:szCs w:val="18"/>
                <w:color w:val="auto"/>
              </w:rPr>
            </w:pPr>
          </w:p>
        </w:tc>
        <w:tc>
          <w:tcPr>
            <w:tcW w:w="100" w:type="dxa"/>
            <w:vAlign w:val="bottom"/>
            <w:tcBorders>
              <w:top w:val="single" w:sz="8" w:color="D2EEF5"/>
            </w:tcBorders>
            <w:shd w:val="clear" w:color="auto" w:fill="D2EEF5"/>
          </w:tcPr>
          <w:p>
            <w:pPr>
              <w:spacing w:after="0"/>
              <w:rPr>
                <w:sz w:val="18"/>
                <w:szCs w:val="18"/>
                <w:color w:val="auto"/>
              </w:rPr>
            </w:pPr>
          </w:p>
        </w:tc>
        <w:tc>
          <w:tcPr>
            <w:tcW w:w="80" w:type="dxa"/>
            <w:vAlign w:val="bottom"/>
            <w:tcBorders>
              <w:top w:val="single" w:sz="8" w:color="D2EEF5"/>
            </w:tcBorders>
            <w:shd w:val="clear" w:color="auto" w:fill="D2EEF5"/>
          </w:tcPr>
          <w:p>
            <w:pPr>
              <w:spacing w:after="0"/>
              <w:rPr>
                <w:sz w:val="18"/>
                <w:szCs w:val="18"/>
                <w:color w:val="auto"/>
              </w:rPr>
            </w:pPr>
          </w:p>
        </w:tc>
        <w:tc>
          <w:tcPr>
            <w:tcW w:w="1040" w:type="dxa"/>
            <w:vAlign w:val="bottom"/>
            <w:tcBorders>
              <w:top w:val="single" w:sz="8" w:color="auto"/>
            </w:tcBorders>
            <w:shd w:val="clear" w:color="auto" w:fill="D2EEF5"/>
          </w:tcPr>
          <w:p>
            <w:pPr>
              <w:spacing w:after="0"/>
              <w:rPr>
                <w:sz w:val="18"/>
                <w:szCs w:val="18"/>
                <w:color w:val="auto"/>
              </w:rPr>
            </w:pPr>
          </w:p>
        </w:tc>
        <w:tc>
          <w:tcPr>
            <w:tcW w:w="180" w:type="dxa"/>
            <w:vAlign w:val="bottom"/>
            <w:tcBorders>
              <w:top w:val="single" w:sz="8" w:color="auto"/>
            </w:tcBorders>
            <w:shd w:val="clear" w:color="auto" w:fill="D2EEF5"/>
          </w:tcPr>
          <w:p>
            <w:pPr>
              <w:spacing w:after="0"/>
              <w:rPr>
                <w:sz w:val="18"/>
                <w:szCs w:val="18"/>
                <w:color w:val="auto"/>
              </w:rPr>
            </w:pPr>
          </w:p>
        </w:tc>
        <w:tc>
          <w:tcPr>
            <w:tcW w:w="360" w:type="dxa"/>
            <w:vAlign w:val="bottom"/>
            <w:tcBorders>
              <w:top w:val="single" w:sz="8" w:color="auto"/>
            </w:tcBorders>
            <w:shd w:val="clear" w:color="auto" w:fill="D2EEF5"/>
          </w:tcPr>
          <w:p>
            <w:pPr>
              <w:spacing w:after="0"/>
              <w:rPr>
                <w:sz w:val="18"/>
                <w:szCs w:val="18"/>
                <w:color w:val="auto"/>
              </w:rPr>
            </w:pPr>
          </w:p>
        </w:tc>
        <w:tc>
          <w:tcPr>
            <w:tcW w:w="560" w:type="dxa"/>
            <w:vAlign w:val="bottom"/>
            <w:tcBorders>
              <w:top w:val="single" w:sz="8" w:color="auto"/>
            </w:tcBorders>
            <w:shd w:val="clear" w:color="auto" w:fill="D2EEF5"/>
          </w:tcPr>
          <w:p>
            <w:pPr>
              <w:spacing w:after="0"/>
              <w:rPr>
                <w:sz w:val="18"/>
                <w:szCs w:val="18"/>
                <w:color w:val="auto"/>
              </w:rPr>
            </w:pPr>
          </w:p>
        </w:tc>
        <w:tc>
          <w:tcPr>
            <w:tcW w:w="220" w:type="dxa"/>
            <w:vAlign w:val="bottom"/>
            <w:tcBorders>
              <w:top w:val="single" w:sz="8" w:color="D2EEF5"/>
            </w:tcBorders>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income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6,591,000</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3,311,000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3,280,000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0"/>
        </w:trPr>
        <w:tc>
          <w:tcPr>
            <w:tcW w:w="454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Borders>
              <w:top w:val="single" w:sz="8" w:color="D2EEF5"/>
            </w:tcBorders>
            <w:shd w:val="clear" w:color="auto" w:fill="D2EEF5"/>
          </w:tcPr>
          <w:p>
            <w:pPr>
              <w:spacing w:after="0"/>
              <w:rPr>
                <w:sz w:val="18"/>
                <w:szCs w:val="18"/>
                <w:color w:val="auto"/>
              </w:rPr>
            </w:pPr>
          </w:p>
        </w:tc>
        <w:tc>
          <w:tcPr>
            <w:tcW w:w="11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6,591,000</w:t>
            </w:r>
          </w:p>
        </w:tc>
        <w:tc>
          <w:tcPr>
            <w:tcW w:w="80" w:type="dxa"/>
            <w:vAlign w:val="bottom"/>
            <w:tcBorders>
              <w:top w:val="single" w:sz="8" w:color="D2EEF5"/>
            </w:tcBorders>
            <w:shd w:val="clear" w:color="auto" w:fill="D2EEF5"/>
          </w:tcPr>
          <w:p>
            <w:pPr>
              <w:spacing w:after="0"/>
              <w:rPr>
                <w:sz w:val="18"/>
                <w:szCs w:val="18"/>
                <w:color w:val="auto"/>
              </w:rPr>
            </w:pPr>
          </w:p>
        </w:tc>
        <w:tc>
          <w:tcPr>
            <w:tcW w:w="100" w:type="dxa"/>
            <w:vAlign w:val="bottom"/>
            <w:tcBorders>
              <w:top w:val="single" w:sz="8" w:color="D2EEF5"/>
            </w:tcBorders>
            <w:shd w:val="clear" w:color="auto" w:fill="D2EEF5"/>
          </w:tcPr>
          <w:p>
            <w:pPr>
              <w:spacing w:after="0"/>
              <w:rPr>
                <w:sz w:val="18"/>
                <w:szCs w:val="18"/>
                <w:color w:val="auto"/>
              </w:rPr>
            </w:pPr>
          </w:p>
        </w:tc>
        <w:tc>
          <w:tcPr>
            <w:tcW w:w="10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3,311,000</w:t>
            </w:r>
          </w:p>
        </w:tc>
        <w:tc>
          <w:tcPr>
            <w:tcW w:w="100" w:type="dxa"/>
            <w:vAlign w:val="bottom"/>
            <w:tcBorders>
              <w:top w:val="single" w:sz="8" w:color="D2EEF5"/>
            </w:tcBorders>
            <w:shd w:val="clear" w:color="auto" w:fill="D2EEF5"/>
          </w:tcPr>
          <w:p>
            <w:pPr>
              <w:spacing w:after="0"/>
              <w:rPr>
                <w:sz w:val="18"/>
                <w:szCs w:val="18"/>
                <w:color w:val="auto"/>
              </w:rPr>
            </w:pPr>
          </w:p>
        </w:tc>
        <w:tc>
          <w:tcPr>
            <w:tcW w:w="80" w:type="dxa"/>
            <w:vAlign w:val="bottom"/>
            <w:tcBorders>
              <w:top w:val="single" w:sz="8" w:color="D2EEF5"/>
            </w:tcBorders>
            <w:shd w:val="clear" w:color="auto" w:fill="D2EEF5"/>
          </w:tcPr>
          <w:p>
            <w:pPr>
              <w:spacing w:after="0"/>
              <w:rPr>
                <w:sz w:val="18"/>
                <w:szCs w:val="18"/>
                <w:color w:val="auto"/>
              </w:rPr>
            </w:pPr>
          </w:p>
        </w:tc>
        <w:tc>
          <w:tcPr>
            <w:tcW w:w="10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3,280,000</w:t>
            </w:r>
          </w:p>
        </w:tc>
        <w:tc>
          <w:tcPr>
            <w:tcW w:w="180" w:type="dxa"/>
            <w:vAlign w:val="bottom"/>
            <w:tcBorders>
              <w:top w:val="single" w:sz="8" w:color="D2EEF5"/>
            </w:tcBorders>
            <w:shd w:val="clear" w:color="auto" w:fill="D2EEF5"/>
          </w:tcPr>
          <w:p>
            <w:pPr>
              <w:spacing w:after="0"/>
              <w:rPr>
                <w:sz w:val="18"/>
                <w:szCs w:val="18"/>
                <w:color w:val="auto"/>
              </w:rPr>
            </w:pPr>
          </w:p>
        </w:tc>
        <w:tc>
          <w:tcPr>
            <w:tcW w:w="360" w:type="dxa"/>
            <w:vAlign w:val="bottom"/>
            <w:tcBorders>
              <w:top w:val="single" w:sz="8" w:color="auto"/>
              <w:bottom w:val="single" w:sz="8" w:color="auto"/>
            </w:tcBorders>
            <w:shd w:val="clear" w:color="auto" w:fill="D2EEF5"/>
          </w:tcPr>
          <w:p>
            <w:pPr>
              <w:spacing w:after="0"/>
              <w:rPr>
                <w:sz w:val="18"/>
                <w:szCs w:val="18"/>
                <w:color w:val="auto"/>
              </w:rPr>
            </w:pPr>
          </w:p>
        </w:tc>
        <w:tc>
          <w:tcPr>
            <w:tcW w:w="5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13,468,000</w:t>
            </w:r>
          </w:p>
        </w:tc>
        <w:tc>
          <w:tcPr>
            <w:tcW w:w="80" w:type="dxa"/>
            <w:vAlign w:val="bottom"/>
            <w:shd w:val="clear" w:color="auto" w:fill="D2EEF5"/>
          </w:tcPr>
          <w:p>
            <w:pPr>
              <w:spacing w:after="0"/>
              <w:rPr>
                <w:sz w:val="18"/>
                <w:szCs w:val="18"/>
                <w:color w:val="auto"/>
              </w:rPr>
            </w:pPr>
          </w:p>
        </w:tc>
        <w:tc>
          <w:tcPr>
            <w:tcW w:w="11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10,417,000</w:t>
            </w:r>
          </w:p>
        </w:tc>
        <w:tc>
          <w:tcPr>
            <w:tcW w:w="100" w:type="dxa"/>
            <w:vAlign w:val="bottom"/>
            <w:shd w:val="clear" w:color="auto" w:fill="D2EEF5"/>
          </w:tcPr>
          <w:p>
            <w:pPr>
              <w:spacing w:after="0"/>
              <w:rPr>
                <w:sz w:val="18"/>
                <w:szCs w:val="18"/>
                <w:color w:val="auto"/>
              </w:rPr>
            </w:pPr>
          </w:p>
        </w:tc>
        <w:tc>
          <w:tcPr>
            <w:tcW w:w="11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3,051,000</w:t>
            </w:r>
          </w:p>
        </w:tc>
        <w:tc>
          <w:tcPr>
            <w:tcW w:w="180" w:type="dxa"/>
            <w:vAlign w:val="bottom"/>
            <w:shd w:val="clear" w:color="auto" w:fill="D2EEF5"/>
          </w:tcPr>
          <w:p>
            <w:pPr>
              <w:spacing w:after="0"/>
              <w:rPr>
                <w:sz w:val="18"/>
                <w:szCs w:val="18"/>
                <w:color w:val="auto"/>
              </w:rPr>
            </w:pPr>
          </w:p>
        </w:tc>
        <w:tc>
          <w:tcPr>
            <w:tcW w:w="360" w:type="dxa"/>
            <w:vAlign w:val="bottom"/>
            <w:shd w:val="clear" w:color="auto" w:fill="D2EEF5"/>
          </w:tcPr>
          <w:p>
            <w:pPr>
              <w:spacing w:after="0"/>
              <w:rPr>
                <w:sz w:val="18"/>
                <w:szCs w:val="18"/>
                <w:color w:val="auto"/>
              </w:rPr>
            </w:pPr>
          </w:p>
        </w:tc>
        <w:tc>
          <w:tcPr>
            <w:tcW w:w="7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4,241,000</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7,475,000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(3,234,000)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454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top w:val="single" w:sz="8" w:color="D2EEF5"/>
            </w:tcBorders>
            <w:shd w:val="clear" w:color="auto" w:fill="D2EEF5"/>
          </w:tcPr>
          <w:p>
            <w:pPr>
              <w:spacing w:after="0"/>
              <w:rPr>
                <w:sz w:val="18"/>
                <w:szCs w:val="18"/>
                <w:color w:val="auto"/>
              </w:rPr>
            </w:pPr>
          </w:p>
        </w:tc>
        <w:tc>
          <w:tcPr>
            <w:tcW w:w="11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17,709,000</w:t>
            </w:r>
          </w:p>
        </w:tc>
        <w:tc>
          <w:tcPr>
            <w:tcW w:w="80" w:type="dxa"/>
            <w:vAlign w:val="bottom"/>
            <w:tcBorders>
              <w:top w:val="single" w:sz="8" w:color="D2EEF5"/>
            </w:tcBorders>
            <w:shd w:val="clear" w:color="auto" w:fill="D2EEF5"/>
          </w:tcPr>
          <w:p>
            <w:pPr>
              <w:spacing w:after="0"/>
              <w:rPr>
                <w:sz w:val="18"/>
                <w:szCs w:val="18"/>
                <w:color w:val="auto"/>
              </w:rPr>
            </w:pPr>
          </w:p>
        </w:tc>
        <w:tc>
          <w:tcPr>
            <w:tcW w:w="100" w:type="dxa"/>
            <w:vAlign w:val="bottom"/>
            <w:tcBorders>
              <w:top w:val="single" w:sz="8" w:color="D2EEF5"/>
            </w:tcBorders>
            <w:shd w:val="clear" w:color="auto" w:fill="D2EEF5"/>
          </w:tcPr>
          <w:p>
            <w:pPr>
              <w:spacing w:after="0"/>
              <w:rPr>
                <w:sz w:val="18"/>
                <w:szCs w:val="18"/>
                <w:color w:val="auto"/>
              </w:rPr>
            </w:pPr>
          </w:p>
        </w:tc>
        <w:tc>
          <w:tcPr>
            <w:tcW w:w="10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17,892,000</w:t>
            </w:r>
          </w:p>
        </w:tc>
        <w:tc>
          <w:tcPr>
            <w:tcW w:w="100" w:type="dxa"/>
            <w:vAlign w:val="bottom"/>
            <w:tcBorders>
              <w:top w:val="single" w:sz="8" w:color="D2EEF5"/>
            </w:tcBorders>
            <w:shd w:val="clear" w:color="auto" w:fill="D2EEF5"/>
          </w:tcPr>
          <w:p>
            <w:pPr>
              <w:spacing w:after="0"/>
              <w:rPr>
                <w:sz w:val="18"/>
                <w:szCs w:val="18"/>
                <w:color w:val="auto"/>
              </w:rPr>
            </w:pPr>
          </w:p>
        </w:tc>
        <w:tc>
          <w:tcPr>
            <w:tcW w:w="80" w:type="dxa"/>
            <w:vAlign w:val="bottom"/>
            <w:tcBorders>
              <w:top w:val="single" w:sz="8" w:color="D2EEF5"/>
            </w:tcBorders>
            <w:shd w:val="clear" w:color="auto" w:fill="D2EEF5"/>
          </w:tcPr>
          <w:p>
            <w:pPr>
              <w:spacing w:after="0"/>
              <w:rPr>
                <w:sz w:val="18"/>
                <w:szCs w:val="18"/>
                <w:color w:val="auto"/>
              </w:rPr>
            </w:pPr>
          </w:p>
        </w:tc>
        <w:tc>
          <w:tcPr>
            <w:tcW w:w="10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80" w:type="dxa"/>
            <w:vAlign w:val="bottom"/>
            <w:tcBorders>
              <w:top w:val="single" w:sz="8" w:color="D2EEF5"/>
            </w:tcBorders>
            <w:shd w:val="clear" w:color="auto" w:fill="D2EEF5"/>
          </w:tcPr>
          <w:p>
            <w:pPr>
              <w:spacing w:after="0"/>
              <w:rPr>
                <w:sz w:val="18"/>
                <w:szCs w:val="18"/>
                <w:color w:val="auto"/>
              </w:rPr>
            </w:pPr>
          </w:p>
        </w:tc>
        <w:tc>
          <w:tcPr>
            <w:tcW w:w="360" w:type="dxa"/>
            <w:vAlign w:val="bottom"/>
            <w:tcBorders>
              <w:top w:val="single" w:sz="8" w:color="auto"/>
              <w:bottom w:val="single" w:sz="8" w:color="auto"/>
            </w:tcBorders>
            <w:shd w:val="clear" w:color="auto" w:fill="D2EEF5"/>
          </w:tcPr>
          <w:p>
            <w:pPr>
              <w:spacing w:after="0"/>
              <w:rPr>
                <w:sz w:val="18"/>
                <w:szCs w:val="18"/>
                <w:color w:val="auto"/>
              </w:rPr>
            </w:pPr>
          </w:p>
        </w:tc>
        <w:tc>
          <w:tcPr>
            <w:tcW w:w="5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480" w:type="dxa"/>
            <w:vAlign w:val="bottom"/>
            <w:shd w:val="clear" w:color="auto" w:fill="D2EEF5"/>
          </w:tcPr>
          <w:p>
            <w:pPr>
              <w:spacing w:after="0"/>
              <w:rPr>
                <w:sz w:val="18"/>
                <w:szCs w:val="18"/>
                <w:color w:val="auto"/>
              </w:rPr>
            </w:pPr>
          </w:p>
        </w:tc>
        <w:tc>
          <w:tcPr>
            <w:tcW w:w="1100" w:type="dxa"/>
            <w:vAlign w:val="bottom"/>
            <w:shd w:val="clear" w:color="auto" w:fill="D2EEF5"/>
          </w:tcPr>
          <w:p>
            <w:pPr>
              <w:spacing w:after="0"/>
              <w:rPr>
                <w:sz w:val="18"/>
                <w:szCs w:val="18"/>
                <w:color w:val="auto"/>
              </w:rPr>
            </w:pPr>
          </w:p>
        </w:tc>
        <w:tc>
          <w:tcPr>
            <w:tcW w:w="8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08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80" w:type="dxa"/>
            <w:vAlign w:val="bottom"/>
            <w:shd w:val="clear" w:color="auto" w:fill="D2EEF5"/>
          </w:tcPr>
          <w:p>
            <w:pPr>
              <w:spacing w:after="0"/>
              <w:rPr>
                <w:sz w:val="18"/>
                <w:szCs w:val="18"/>
                <w:color w:val="auto"/>
              </w:rPr>
            </w:pPr>
          </w:p>
        </w:tc>
        <w:tc>
          <w:tcPr>
            <w:tcW w:w="104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360" w:type="dxa"/>
            <w:vAlign w:val="bottom"/>
            <w:shd w:val="clear" w:color="auto" w:fill="D2EEF5"/>
          </w:tcPr>
          <w:p>
            <w:pPr>
              <w:spacing w:after="0"/>
              <w:rPr>
                <w:sz w:val="18"/>
                <w:szCs w:val="18"/>
                <w:color w:val="auto"/>
              </w:rPr>
            </w:pPr>
          </w:p>
        </w:tc>
        <w:tc>
          <w:tcPr>
            <w:tcW w:w="560" w:type="dxa"/>
            <w:vAlign w:val="bottom"/>
            <w:shd w:val="clear" w:color="auto" w:fill="D2EEF5"/>
          </w:tcPr>
          <w:p>
            <w:pPr>
              <w:spacing w:after="0"/>
              <w:rPr>
                <w:sz w:val="18"/>
                <w:szCs w:val="18"/>
                <w:color w:val="auto"/>
              </w:rPr>
            </w:pPr>
          </w:p>
        </w:tc>
        <w:tc>
          <w:tcPr>
            <w:tcW w:w="220" w:type="dxa"/>
            <w:vAlign w:val="bottom"/>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539,000</w:t>
            </w:r>
          </w:p>
        </w:tc>
        <w:tc>
          <w:tcPr>
            <w:tcW w:w="10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4540" w:type="dxa"/>
            <w:vAlign w:val="bottom"/>
            <w:tcBorders>
              <w:top w:val="single" w:sz="8" w:color="D2EEF5"/>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480" w:type="dxa"/>
            <w:vAlign w:val="bottom"/>
            <w:tcBorders>
              <w:top w:val="single" w:sz="8" w:color="D2EEF5"/>
              <w:bottom w:val="single" w:sz="8" w:color="D2EEF5"/>
            </w:tcBorders>
            <w:shd w:val="clear" w:color="auto" w:fill="D2EEF5"/>
          </w:tcPr>
          <w:p>
            <w:pPr>
              <w:spacing w:after="0"/>
              <w:rPr>
                <w:sz w:val="18"/>
                <w:szCs w:val="18"/>
                <w:color w:val="auto"/>
              </w:rPr>
            </w:pPr>
          </w:p>
        </w:tc>
        <w:tc>
          <w:tcPr>
            <w:tcW w:w="11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(10,681,000)</w:t>
            </w:r>
          </w:p>
        </w:tc>
        <w:tc>
          <w:tcPr>
            <w:tcW w:w="80" w:type="dxa"/>
            <w:vAlign w:val="bottom"/>
            <w:tcBorders>
              <w:top w:val="single" w:sz="8" w:color="D2EEF5"/>
              <w:bottom w:val="single" w:sz="8" w:color="D2EEF5"/>
            </w:tcBorders>
            <w:shd w:val="clear" w:color="auto" w:fill="D2EEF5"/>
          </w:tcPr>
          <w:p>
            <w:pPr>
              <w:spacing w:after="0"/>
              <w:rPr>
                <w:sz w:val="18"/>
                <w:szCs w:val="18"/>
                <w:color w:val="auto"/>
              </w:rPr>
            </w:pPr>
          </w:p>
        </w:tc>
        <w:tc>
          <w:tcPr>
            <w:tcW w:w="100" w:type="dxa"/>
            <w:vAlign w:val="bottom"/>
            <w:tcBorders>
              <w:top w:val="single" w:sz="8" w:color="D2EEF5"/>
              <w:bottom w:val="single" w:sz="8" w:color="D2EEF5"/>
            </w:tcBorders>
            <w:shd w:val="clear" w:color="auto" w:fill="D2EEF5"/>
          </w:tcPr>
          <w:p>
            <w:pPr>
              <w:spacing w:after="0"/>
              <w:rPr>
                <w:sz w:val="18"/>
                <w:szCs w:val="18"/>
                <w:color w:val="auto"/>
              </w:rPr>
            </w:pPr>
          </w:p>
        </w:tc>
        <w:tc>
          <w:tcPr>
            <w:tcW w:w="10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(14,042,000)</w:t>
            </w:r>
          </w:p>
        </w:tc>
        <w:tc>
          <w:tcPr>
            <w:tcW w:w="100" w:type="dxa"/>
            <w:vAlign w:val="bottom"/>
            <w:tcBorders>
              <w:top w:val="single" w:sz="8" w:color="D2EEF5"/>
              <w:bottom w:val="single" w:sz="8" w:color="D2EEF5"/>
            </w:tcBorders>
            <w:shd w:val="clear" w:color="auto" w:fill="D2EEF5"/>
          </w:tcPr>
          <w:p>
            <w:pPr>
              <w:spacing w:after="0"/>
              <w:rPr>
                <w:sz w:val="18"/>
                <w:szCs w:val="18"/>
                <w:color w:val="auto"/>
              </w:rPr>
            </w:pPr>
          </w:p>
        </w:tc>
        <w:tc>
          <w:tcPr>
            <w:tcW w:w="80" w:type="dxa"/>
            <w:vAlign w:val="bottom"/>
            <w:tcBorders>
              <w:top w:val="single" w:sz="8" w:color="D2EEF5"/>
              <w:bottom w:val="single" w:sz="8" w:color="D2EEF5"/>
            </w:tcBorders>
            <w:shd w:val="clear" w:color="auto" w:fill="D2EEF5"/>
          </w:tcPr>
          <w:p>
            <w:pPr>
              <w:spacing w:after="0"/>
              <w:rPr>
                <w:sz w:val="18"/>
                <w:szCs w:val="18"/>
                <w:color w:val="auto"/>
              </w:rPr>
            </w:pPr>
          </w:p>
        </w:tc>
        <w:tc>
          <w:tcPr>
            <w:tcW w:w="10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3,361,000</w:t>
            </w:r>
          </w:p>
        </w:tc>
        <w:tc>
          <w:tcPr>
            <w:tcW w:w="180" w:type="dxa"/>
            <w:vAlign w:val="bottom"/>
            <w:tcBorders>
              <w:top w:val="single" w:sz="8" w:color="D2EEF5"/>
              <w:bottom w:val="single" w:sz="8" w:color="D2EEF5"/>
            </w:tcBorders>
            <w:shd w:val="clear" w:color="auto" w:fill="D2EEF5"/>
          </w:tcPr>
          <w:p>
            <w:pPr>
              <w:spacing w:after="0"/>
              <w:rPr>
                <w:sz w:val="18"/>
                <w:szCs w:val="18"/>
                <w:color w:val="auto"/>
              </w:rPr>
            </w:pPr>
          </w:p>
        </w:tc>
        <w:tc>
          <w:tcPr>
            <w:tcW w:w="360" w:type="dxa"/>
            <w:vAlign w:val="bottom"/>
            <w:tcBorders>
              <w:top w:val="single" w:sz="8" w:color="auto"/>
              <w:bottom w:val="single" w:sz="8" w:color="auto"/>
            </w:tcBorders>
            <w:shd w:val="clear" w:color="auto" w:fill="D2EEF5"/>
          </w:tcPr>
          <w:p>
            <w:pPr>
              <w:spacing w:after="0"/>
              <w:rPr>
                <w:sz w:val="18"/>
                <w:szCs w:val="18"/>
                <w:color w:val="auto"/>
              </w:rPr>
            </w:pPr>
          </w:p>
        </w:tc>
        <w:tc>
          <w:tcPr>
            <w:tcW w:w="5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tcBorders>
              <w:top w:val="single" w:sz="8" w:color="D2EEF5"/>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0" w:lineRule="exact"/>
        <w:rPr>
          <w:sz w:val="20"/>
          <w:szCs w:val="20"/>
          <w:color w:val="auto"/>
        </w:rPr>
      </w:pPr>
    </w:p>
    <w:p>
      <w:pPr>
        <w:jc w:val="both"/>
        <w:ind w:right="20" w:firstLine="1"/>
        <w:spacing w:after="0" w:line="283" w:lineRule="auto"/>
        <w:rPr>
          <w:sz w:val="20"/>
          <w:szCs w:val="20"/>
          <w:color w:val="auto"/>
        </w:rPr>
      </w:pPr>
      <w:r>
        <w:rPr>
          <w:rFonts w:ascii="Times New Roman" w:cs="Times New Roman" w:eastAsia="Times New Roman" w:hAnsi="Times New Roman"/>
          <w:sz w:val="18"/>
          <w:szCs w:val="18"/>
          <w:color w:val="auto"/>
        </w:rPr>
        <w:t>We did not generate any revenue during the years ended December 31, 2024 and 2023, respectively, from the sales or licensing of our product candidates.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the Cancer Prevention and Research Institute of Texas, or CPRIT, to support our Phase 2 clinical trial of MT-401. During the years ended December 31, 2024 and 2023, respectively, we recognized $4.4 million and $2.7 million of revenue associated with the CPRIT grant.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2240" w:h="15840" w:orient="portrait"/>
          <w:cols w:equalWidth="0" w:num="1">
            <w:col w:w="9920"/>
          </w:cols>
          <w:pgMar w:left="1160" w:top="431" w:right="1160" w:bottom="0" w:gutter="0" w:footer="0" w:header="0"/>
          <w:type w:val="continuous"/>
        </w:sectPr>
      </w:pPr>
    </w:p>
    <w:bookmarkStart w:id="79" w:name="page80"/>
    <w:bookmarkEnd w:id="7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September 2022, we received notice from the FDA that we had been awarded a $2.0 million grant from the FDA’s Orphan Products Grant program to support our Phase 2 clinical trial of MT-401 for the treatment of post-transplant AML. During the years ended December 31, 2024 and 2023, we recognized $0.5 million and $0.4 million of revenue associated with the FDA grant, respectively.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During the years ended December 31, 2024 and 2023, we recognized $1.0 million and $0.2 million of revenue associated with the SBIR grant,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to support control over tumor immune escape in pancreatic cancer using a dual T cell product strategy. During the year ended December 31, 2024, we recognized approximately $6,000 of revenue associated with this grant.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received notice of an additional $2.0 million grant from the SBIR program to support the clinical investigation of MT-601 in patients with non-Hodgkin’s lymphoma (NHL) who have relapsed following anti-CD19 chimeric antigen receptor (CAR) T cell therapy. The Company recorded $0.7 million of grant income related to this grant as revenue for the year ended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During the year ended December 31, 2024, we recognized approximately $7,000 of revenue associated with this grant.</w:t>
      </w:r>
    </w:p>
    <w:p>
      <w:pPr>
        <w:spacing w:after="0" w:line="176" w:lineRule="exact"/>
        <w:rPr>
          <w:sz w:val="20"/>
          <w:szCs w:val="20"/>
          <w:color w:val="auto"/>
        </w:rPr>
      </w:pPr>
    </w:p>
    <w:p>
      <w:pPr>
        <w:jc w:val="both"/>
        <w:ind w:right="20" w:firstLine="1"/>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notice an additional $9.5 million grant from CPRIT to support the clinical investigation of MT-601 in patients with metastatic pancreatic cancer. The Company did not record any grant income related to this grant for the year ended December 31, 2024. This CPRIT grant and the August 2021 CPRIT grant are subject to certain revenue-sharing arrangements, see Note 11 to the accompanying financial statements for further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Operating expenses incurred during the fiscal year ended December 31, 2024 were $17.7 million compared to $17.9 million in the prior year. Significant changes in operating expenses are outlined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22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Research and development expenses or clinical trial costs increased by 29% to $13.5 million for the year ended December 31, 2024, compared to $10.4 million for the year ended December 31, 2023, mainly as a result of the Cell Ready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$3.1 million in 2024 was primarily attributable to the following:</w:t>
      </w:r>
    </w:p>
    <w:p>
      <w:pPr>
        <w:spacing w:after="0" w:line="225" w:lineRule="exact"/>
        <w:rPr>
          <w:sz w:val="20"/>
          <w:szCs w:val="20"/>
          <w:color w:val="auto"/>
        </w:rPr>
      </w:pPr>
    </w:p>
    <w:p>
      <w:pPr>
        <w:ind w:left="680" w:hanging="328"/>
        <w:spacing w:after="0"/>
        <w:tabs>
          <w:tab w:leader="none" w:pos="68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increase of $4.5 million in Cell Ready (outsourced) clinical manufacturing costs and process development expenses,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increase of $1.8 million in clinical trial expenses, offset by</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decrease of $1.2 million in process development expenses,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decrease of $1.5 million in headcount-related expenses, including stock-based compensation expense and</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3"/>
        </w:numPr>
        <w:rPr>
          <w:rFonts w:ascii="Arial" w:cs="Arial" w:eastAsia="Arial" w:hAnsi="Arial"/>
          <w:sz w:val="18"/>
          <w:szCs w:val="18"/>
          <w:color w:val="auto"/>
        </w:rPr>
      </w:pPr>
      <w:r>
        <w:rPr>
          <w:rFonts w:ascii="Times New Roman" w:cs="Times New Roman" w:eastAsia="Times New Roman" w:hAnsi="Times New Roman"/>
          <w:sz w:val="18"/>
          <w:szCs w:val="18"/>
          <w:color w:val="auto"/>
        </w:rPr>
        <w:t>decrease of $0.5 million in other expenses.</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2240" w:h="15840" w:orient="portrait"/>
          <w:cols w:equalWidth="0" w:num="1">
            <w:col w:w="9920"/>
          </w:cols>
          <w:pgMar w:left="1160" w:top="431" w:right="1160" w:bottom="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General and administrative expenses decreased by 43% to $4.2 million for the year ended December 31, 2024 from $7.5 million during the prior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general and administrative expenses of $3.2 million is mainly comprised of the following:</w:t>
      </w:r>
    </w:p>
    <w:p>
      <w:pPr>
        <w:spacing w:after="0" w:line="225" w:lineRule="exact"/>
        <w:rPr>
          <w:sz w:val="20"/>
          <w:szCs w:val="20"/>
          <w:color w:val="auto"/>
        </w:rPr>
      </w:pPr>
    </w:p>
    <w:p>
      <w:pPr>
        <w:ind w:left="680" w:right="20" w:hanging="328"/>
        <w:spacing w:after="0" w:line="282" w:lineRule="auto"/>
        <w:tabs>
          <w:tab w:leader="none" w:pos="680" w:val="left"/>
        </w:tabs>
        <w:numPr>
          <w:ilvl w:val="0"/>
          <w:numId w:val="54"/>
        </w:numPr>
        <w:rPr>
          <w:rFonts w:ascii="Arial" w:cs="Arial" w:eastAsia="Arial" w:hAnsi="Arial"/>
          <w:sz w:val="18"/>
          <w:szCs w:val="18"/>
          <w:color w:val="auto"/>
        </w:rPr>
      </w:pPr>
      <w:r>
        <w:rPr>
          <w:rFonts w:ascii="Times New Roman" w:cs="Times New Roman" w:eastAsia="Times New Roman" w:hAnsi="Times New Roman"/>
          <w:sz w:val="18"/>
          <w:szCs w:val="18"/>
          <w:color w:val="auto"/>
        </w:rPr>
        <w:t>decrease of $1.8 million in headcount-related expenses, including stock-based compensation expense and net of severance expense,</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54"/>
        </w:numPr>
        <w:rPr>
          <w:rFonts w:ascii="Arial" w:cs="Arial" w:eastAsia="Arial" w:hAnsi="Arial"/>
          <w:sz w:val="18"/>
          <w:szCs w:val="18"/>
          <w:color w:val="auto"/>
        </w:rPr>
      </w:pPr>
      <w:r>
        <w:rPr>
          <w:rFonts w:ascii="Times New Roman" w:cs="Times New Roman" w:eastAsia="Times New Roman" w:hAnsi="Times New Roman"/>
          <w:sz w:val="18"/>
          <w:szCs w:val="18"/>
          <w:color w:val="auto"/>
        </w:rPr>
        <w:t>decrease of $0.8 million in legal and professional fees and insurance expense,</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54"/>
        </w:numPr>
        <w:rPr>
          <w:rFonts w:ascii="Arial" w:cs="Arial" w:eastAsia="Arial" w:hAnsi="Arial"/>
          <w:sz w:val="18"/>
          <w:szCs w:val="18"/>
          <w:color w:val="auto"/>
        </w:rPr>
      </w:pPr>
      <w:r>
        <w:rPr>
          <w:rFonts w:ascii="Times New Roman" w:cs="Times New Roman" w:eastAsia="Times New Roman" w:hAnsi="Times New Roman"/>
          <w:sz w:val="18"/>
          <w:szCs w:val="18"/>
          <w:color w:val="auto"/>
        </w:rPr>
        <w:t>decrease of $0.6 million in consulting and other expenses.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spacing w:after="0" w:line="18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On November 17, 2023, Mr. Lurier ceased serving as the Company’s Interim Chief Financial Officer and Dr. Vera was appointed as the Company’s Principal Financial and Accounting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Interest income was $0.4 million and $0.5 million for the years ended December 31, 2024 and 2023, respectively, and was attributable to interest income relating to funds that are held in U.S. Treasury notes and U.S. government agency-backed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our net loss from continuing operations during the year ended December 31, 2024 compared to the year ended December 31, 2023 was due to cost reductions in our general and administrative expenses, as well as higher grant income. We anticipate that we will continue to incur net losses in the future as we continue to invest in research and development activities, including clinical development of our MAR-T cell product candidates.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30"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grants, and in 2023 through the cash proceeds received from the Cell Ready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lack of recurring revenues, anticipated uses of cash and historical recurring cash losses from operating activities, and cash and cash equivalents as of December 31, 2024, we anticipate that we will be able to fund our operating expenses and capital expenditure requirements into the first quarter of 2026, assuming no additional grant funds are received. We currently plan to raise additional capital</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2240" w:h="15840" w:orient="portrait"/>
          <w:cols w:equalWidth="0" w:num="1">
            <w:col w:w="9920"/>
          </w:cols>
          <w:pgMar w:left="1160" w:top="428" w:right="1160" w:bottom="0" w:gutter="0" w:footer="0" w:header="0"/>
          <w:type w:val="continuous"/>
        </w:sectPr>
      </w:pPr>
    </w:p>
    <w:bookmarkStart w:id="81" w:name="page82"/>
    <w:bookmarkEnd w:id="8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through the issuance of common shares and receipt of additional grant funds, which could enable us to fund our operating expenses and capital expenditure requirements beyond the first quarter of 2026, although no assurance can be given that such capital or existing awarded grants will be earned or future grants will be awarded. This estimate is subject to our ability to effectively manage our costs, raise additional capital, and receive additional grant funds.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Working Capital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working capital as of December 31, 2024 and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08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D2EEF5"/>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19,192,000</w:t>
            </w:r>
          </w:p>
        </w:tc>
        <w:tc>
          <w:tcPr>
            <w:tcW w:w="200" w:type="dxa"/>
            <w:vAlign w:val="bottom"/>
            <w:tcBorders>
              <w:top w:val="single" w:sz="8" w:color="D2EEF5"/>
            </w:tcBorders>
            <w:shd w:val="clear" w:color="auto" w:fill="D2EEF5"/>
          </w:tcPr>
          <w:p>
            <w:pPr>
              <w:spacing w:after="0"/>
              <w:rPr>
                <w:sz w:val="18"/>
                <w:szCs w:val="18"/>
                <w:color w:val="auto"/>
              </w:rPr>
            </w:pPr>
          </w:p>
        </w:tc>
        <w:tc>
          <w:tcPr>
            <w:tcW w:w="260" w:type="dxa"/>
            <w:vAlign w:val="bottom"/>
            <w:tcBorders>
              <w:top w:val="single" w:sz="8" w:color="auto"/>
            </w:tcBorders>
            <w:shd w:val="clear" w:color="auto" w:fill="D2EEF5"/>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15,111,000</w:t>
            </w:r>
          </w:p>
        </w:tc>
      </w:tr>
      <w:tr>
        <w:trPr>
          <w:trHeight w:val="235"/>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18,558,000</w:t>
            </w:r>
          </w:p>
        </w:tc>
        <w:tc>
          <w:tcPr>
            <w:tcW w:w="200" w:type="dxa"/>
            <w:vAlign w:val="bottom"/>
          </w:tcPr>
          <w:p>
            <w:pPr>
              <w:spacing w:after="0"/>
              <w:rPr>
                <w:sz w:val="20"/>
                <w:szCs w:val="20"/>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14,053,000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w:t>
      </w:r>
    </w:p>
    <w:p>
      <w:pPr>
        <w:spacing w:after="0" w:line="21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1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5540" w:type="dxa"/>
            <w:vAlign w:val="bottom"/>
            <w:tcBorders>
              <w:bottom w:val="single" w:sz="8" w:color="D2EEF5"/>
            </w:tcBorders>
          </w:tcPr>
          <w:p>
            <w:pPr>
              <w:spacing w:after="0"/>
              <w:rPr>
                <w:sz w:val="13"/>
                <w:szCs w:val="13"/>
                <w:color w:val="auto"/>
              </w:rPr>
            </w:pPr>
          </w:p>
        </w:tc>
        <w:tc>
          <w:tcPr>
            <w:tcW w:w="1800" w:type="dxa"/>
            <w:vAlign w:val="bottom"/>
            <w:tcBorders>
              <w:bottom w:val="single" w:sz="8" w:color="D2EEF5"/>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D2EEF5"/>
            </w:tcBorders>
          </w:tcPr>
          <w:p>
            <w:pPr>
              <w:spacing w:after="0"/>
              <w:rPr>
                <w:sz w:val="13"/>
                <w:szCs w:val="13"/>
                <w:color w:val="auto"/>
              </w:rPr>
            </w:pPr>
          </w:p>
        </w:tc>
        <w:tc>
          <w:tcPr>
            <w:tcW w:w="100" w:type="dxa"/>
            <w:vAlign w:val="bottom"/>
            <w:tcBorders>
              <w:top w:val="single" w:sz="8" w:color="auto"/>
              <w:bottom w:val="single" w:sz="8" w:color="D2EEF5"/>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5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80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0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(10,341,000)</w:t>
            </w:r>
          </w:p>
        </w:tc>
      </w:tr>
      <w:tr>
        <w:trPr>
          <w:trHeight w:val="216"/>
        </w:trPr>
        <w:tc>
          <w:tcPr>
            <w:tcW w:w="554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14,991,000</w:t>
            </w: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1,105,000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54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120" w:type="dxa"/>
            <w:vAlign w:val="bottom"/>
            <w:gridSpan w:val="2"/>
            <w:shd w:val="clear" w:color="auto" w:fill="D2EEF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(6,099,000)</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18,664,000</w:t>
            </w:r>
          </w:p>
        </w:tc>
      </w:tr>
      <w:tr>
        <w:trPr>
          <w:trHeight w:val="210"/>
        </w:trPr>
        <w:tc>
          <w:tcPr>
            <w:tcW w:w="5540" w:type="dxa"/>
            <w:vAlign w:val="bottom"/>
            <w:tcBorders>
              <w:top w:val="single" w:sz="8" w:color="D2EEF5"/>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0" w:type="dxa"/>
            <w:vAlign w:val="bottom"/>
            <w:tcBorders>
              <w:top w:val="single" w:sz="8" w:color="D2EEF5"/>
              <w:bottom w:val="single" w:sz="8" w:color="D2EEF5"/>
            </w:tcBorders>
            <w:shd w:val="clear" w:color="auto" w:fill="D2EEF5"/>
          </w:tcPr>
          <w:p>
            <w:pPr>
              <w:spacing w:after="0"/>
              <w:rPr>
                <w:sz w:val="18"/>
                <w:szCs w:val="18"/>
                <w:color w:val="auto"/>
              </w:rPr>
            </w:pPr>
          </w:p>
        </w:tc>
        <w:tc>
          <w:tcPr>
            <w:tcW w:w="1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4,081,000</w:t>
            </w:r>
          </w:p>
        </w:tc>
        <w:tc>
          <w:tcPr>
            <w:tcW w:w="120" w:type="dxa"/>
            <w:vAlign w:val="bottom"/>
            <w:tcBorders>
              <w:top w:val="single" w:sz="8" w:color="D2EEF5"/>
              <w:bottom w:val="single" w:sz="8" w:color="D2EEF5"/>
            </w:tcBorders>
            <w:shd w:val="clear" w:color="auto" w:fill="D2EEF5"/>
          </w:tcPr>
          <w:p>
            <w:pPr>
              <w:spacing w:after="0"/>
              <w:rPr>
                <w:sz w:val="18"/>
                <w:szCs w:val="18"/>
                <w:color w:val="auto"/>
              </w:rPr>
            </w:pPr>
          </w:p>
        </w:tc>
        <w:tc>
          <w:tcPr>
            <w:tcW w:w="100" w:type="dxa"/>
            <w:vAlign w:val="bottom"/>
            <w:tcBorders>
              <w:top w:val="single" w:sz="8" w:color="D2EEF5"/>
              <w:bottom w:val="single" w:sz="8" w:color="D2EEF5"/>
            </w:tcBorders>
            <w:shd w:val="clear" w:color="auto" w:fill="D2EEF5"/>
          </w:tcPr>
          <w:p>
            <w:pPr>
              <w:spacing w:after="0"/>
              <w:rPr>
                <w:sz w:val="18"/>
                <w:szCs w:val="18"/>
                <w:color w:val="auto"/>
              </w:rPr>
            </w:pP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3,329,000</w:t>
            </w:r>
          </w:p>
        </w:tc>
      </w:tr>
      <w:tr>
        <w:trPr>
          <w:trHeight w:val="20"/>
        </w:trPr>
        <w:tc>
          <w:tcPr>
            <w:tcW w:w="5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during the year ended December 31, 2024 was $10.9 million. The use of cash primarily related to our net loss from continuing operations of $10.7 million and a $0.5 million decrease from changes in assets and liabilities, offset by $0.2 million of stock-based compensation.</w:t>
      </w:r>
    </w:p>
    <w:p>
      <w:pPr>
        <w:spacing w:after="0" w:line="176"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during the year ended December 31, 2023 was $10.3 million. The use of cash primarily related to our net loss from continuing operations of $14.0 million, partially offset by a $2.8 million increase from changes in assets and liabilities and $0.9 million of 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$15.0 million and $1.1 million during the years ended December 31, 2024 and 2023, respectively, primarily due to the net proceeds received from sale of common stock through the Private Placement in 2024 and ATM Agreement in 2023, as well as the exercise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There was no cash flow activity related to discontinued operations during the year ended December 31, 2024. Net cash used in operating activities from discontinued operations during the year ended December 31, 2023 was $6.1 million, which primarily related to our net loss from discontinued operations of $5.8 million, which is net of $2.5 million in revenue for which cash had been received in the prior period.</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2240" w:h="15840" w:orient="portrait"/>
          <w:cols w:equalWidth="0" w:num="1">
            <w:col w:w="9920"/>
          </w:cols>
          <w:pgMar w:left="1160" w:top="431" w:right="1160" w:bottom="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8"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There was no cash flow activity related to discontinued operations investing activity during the year ended December 31, 2024. Net cash provided by investing activities from discontinued operations for the year ended December 31, 2023 was $18.7 million primarily due to the proceeds from the Cell Ready transaction, net of transaction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CPRIT to support the Company’s clinical investigation of MT-401. Through the date of this filing, the Company has received $9.7 million of funds from the CPRIT grant. The Company recorded $4.4 million of grant income related to the CPRIT grant as revenue during the year ended December 31, 2024 and at December 31, 2024, the Company recorded $2.1 million of grant income receivable.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$1.0 million from the FDA grant. The Company recorded $0.5 million of grant income related to the FDA grant as revenue during the year ended December 31, 2024 and at December 31, 2024, the Company had no grant income receivable recorded.</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$1.2 million from SBIR. The Company recorded $1.0 million of grant income related to the SBIR grant as revenue during the year ended December 31, 2024 and at December 31, 2024, the Company recorded $0.2 million of grant income receivable. In February 2025, the Company received $0.2 million of funds from the SBIR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ind w:right="20" w:firstLine="1"/>
        <w:spacing w:after="0" w:line="25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(“NIH”) to support control over tumor immune escape in pancreatic cancer using a dual T cell product strategy. Through the date of this filing, the Company has received approximately $6,000 from NIH for this grant. The Company recorded approximately $6,000 of grant income related to the NIH grant as revenue during the year ended December 31, 2024 and at December 31, 2024, the Company recorded approximately $6,000 of grant income receivable. In February 2025, the Company received approximately $6,000 of funds from the NIH grant.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SBIR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$0.7 million of grant income related to this grant as revenue for the year ended December 31, 2024 and at December 31, 2024, the Company had no receivable of grant income related to this grant.</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2240" w:h="15840" w:orient="portrait"/>
          <w:cols w:equalWidth="0" w:num="1">
            <w:col w:w="9920"/>
          </w:cols>
          <w:pgMar w:left="1160" w:top="428" w:right="1160" w:bottom="0" w:gutter="0" w:footer="0" w:header="0"/>
          <w:type w:val="continuous"/>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Through the date of this filing, the Company has received approximately $7,000 of funds from this grant. The Company recorded approximately $7,000 of grant income related to this grant as revenue for the year ended December 31, 2024 and at December 31, 2024, the Company recorded $7,000 of grant income receivable. In February 2025, the Company received approximately $7,000 of funds from the NIH grant.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notice an additional $9.5 million grant from CPRIT to support the clinical investigation of MT-601 in patients with metastatic pancreatic cancer. As of the date of this filing, the Company has not received any related to this grant. This CPRIT grant and the August 2021 CPRIT grant are subject to certain revenue-sharing arrangements, see Note 11 to the accompanying financial statements for further information.</w:t>
      </w:r>
    </w:p>
    <w:p>
      <w:pPr>
        <w:spacing w:after="0" w:line="180"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18"/>
          <w:szCs w:val="18"/>
          <w:color w:val="auto"/>
        </w:rPr>
        <w:t>As of December 31, 2024, we had working capital of $18.6 million, compared to working capital of $14.1 million as of December 31, 2023. Operating expenses incurred during the fiscal year ended December 31, 2024 were $17.7 million compared to $17.9 million in the prior year. Based on our lack of recurring revenues, anticipated uses of cash and historical recurring cash losses from operating activities, and cash and cash equivalents as of December 31, 2024, we anticipate that we will be able to fund our operating expenses and capital expenditure requirements into the first quarter of 2026, assuming no additional grant funds are received. We currently plan to raise additional capital through the issuance of common shares and receive additional grant funds, which could enable us to fund our operating expenses and capital expenditure requirements beyond the first quarter of 2026,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96" w:lineRule="exact"/>
        <w:rPr>
          <w:sz w:val="20"/>
          <w:szCs w:val="20"/>
          <w:color w:val="auto"/>
        </w:rPr>
      </w:pPr>
    </w:p>
    <w:p>
      <w:pPr>
        <w:ind w:left="680" w:hanging="328"/>
        <w:spacing w:after="0"/>
        <w:tabs>
          <w:tab w:leader="none" w:pos="680" w:val="left"/>
        </w:tabs>
        <w:numPr>
          <w:ilvl w:val="0"/>
          <w:numId w:val="55"/>
        </w:numPr>
        <w:rPr>
          <w:rFonts w:ascii="Arial" w:cs="Arial" w:eastAsia="Arial" w:hAnsi="Arial"/>
          <w:sz w:val="18"/>
          <w:szCs w:val="18"/>
          <w:color w:val="auto"/>
        </w:rPr>
      </w:pPr>
      <w:r>
        <w:rPr>
          <w:rFonts w:ascii="Times New Roman" w:cs="Times New Roman" w:eastAsia="Times New Roman" w:hAnsi="Times New Roman"/>
          <w:sz w:val="18"/>
          <w:szCs w:val="18"/>
          <w:color w:val="auto"/>
        </w:rPr>
        <w:t>initiate or continue clinical trials of our product candidates;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55"/>
        </w:numPr>
        <w:rPr>
          <w:rFonts w:ascii="Arial" w:cs="Arial" w:eastAsia="Arial" w:hAnsi="Arial"/>
          <w:sz w:val="18"/>
          <w:szCs w:val="18"/>
          <w:color w:val="auto"/>
        </w:rPr>
      </w:pPr>
      <w:r>
        <w:rPr>
          <w:rFonts w:ascii="Times New Roman" w:cs="Times New Roman" w:eastAsia="Times New Roman" w:hAnsi="Times New Roman"/>
          <w:sz w:val="18"/>
          <w:szCs w:val="18"/>
          <w:color w:val="auto"/>
        </w:rPr>
        <w:t>continue the research and development of our product candidates and seek to discover additional product candidates; seek regulatory approvals for our product candidates if they successfully complete clinical trials;</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55"/>
        </w:numPr>
        <w:rPr>
          <w:rFonts w:ascii="Arial" w:cs="Arial" w:eastAsia="Arial" w:hAnsi="Arial"/>
          <w:sz w:val="18"/>
          <w:szCs w:val="18"/>
          <w:color w:val="auto"/>
        </w:rPr>
      </w:pPr>
      <w:r>
        <w:rPr>
          <w:rFonts w:ascii="Times New Roman" w:cs="Times New Roman" w:eastAsia="Times New Roman" w:hAnsi="Times New Roman"/>
          <w:sz w:val="18"/>
          <w:szCs w:val="18"/>
          <w:color w:val="auto"/>
        </w:rPr>
        <w:t>continue development of our manufacturing capabilities;</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55"/>
        </w:numPr>
        <w:rPr>
          <w:rFonts w:ascii="Arial" w:cs="Arial" w:eastAsia="Arial" w:hAnsi="Arial"/>
          <w:sz w:val="18"/>
          <w:szCs w:val="18"/>
          <w:color w:val="auto"/>
        </w:rPr>
      </w:pPr>
      <w:r>
        <w:rPr>
          <w:rFonts w:ascii="Times New Roman" w:cs="Times New Roman" w:eastAsia="Times New Roman" w:hAnsi="Times New Roman"/>
          <w:sz w:val="18"/>
          <w:szCs w:val="18"/>
          <w:color w:val="auto"/>
        </w:rPr>
        <w:t>establish sales, marketing and distribution infrastructure and scale-up manufacturing capabilities to commercialize any product candidates that may receive regulatory approval;</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55"/>
        </w:numPr>
        <w:rPr>
          <w:rFonts w:ascii="Arial" w:cs="Arial" w:eastAsia="Arial" w:hAnsi="Arial"/>
          <w:sz w:val="18"/>
          <w:szCs w:val="18"/>
          <w:color w:val="auto"/>
        </w:rPr>
      </w:pPr>
      <w:r>
        <w:rPr>
          <w:rFonts w:ascii="Times New Roman" w:cs="Times New Roman" w:eastAsia="Times New Roman" w:hAnsi="Times New Roman"/>
          <w:sz w:val="18"/>
          <w:szCs w:val="18"/>
          <w:color w:val="auto"/>
        </w:rPr>
        <w:t>evaluate strategic transactions we may undertake; and</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55"/>
        </w:numPr>
        <w:rPr>
          <w:rFonts w:ascii="Arial" w:cs="Arial" w:eastAsia="Arial" w:hAnsi="Arial"/>
          <w:sz w:val="18"/>
          <w:szCs w:val="18"/>
          <w:color w:val="auto"/>
        </w:rPr>
      </w:pPr>
      <w:r>
        <w:rPr>
          <w:rFonts w:ascii="Times New Roman" w:cs="Times New Roman" w:eastAsia="Times New Roman" w:hAnsi="Times New Roman"/>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1" w:lineRule="exact"/>
        <w:rPr>
          <w:sz w:val="20"/>
          <w:szCs w:val="20"/>
          <w:color w:val="auto"/>
        </w:rPr>
      </w:pPr>
    </w:p>
    <w:p>
      <w:pPr>
        <w:jc w:val="both"/>
        <w:ind w:right="20" w:firstLine="1"/>
        <w:spacing w:after="0" w:line="261" w:lineRule="auto"/>
        <w:rPr>
          <w:sz w:val="20"/>
          <w:szCs w:val="20"/>
          <w:color w:val="auto"/>
        </w:rPr>
      </w:pPr>
      <w:r>
        <w:rPr>
          <w:rFonts w:ascii="Times New Roman" w:cs="Times New Roman" w:eastAsia="Times New Roman" w:hAnsi="Times New Roman"/>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2240" w:h="15840" w:orient="portrait"/>
          <w:cols w:equalWidth="0" w:num="1">
            <w:col w:w="9920"/>
          </w:cols>
          <w:pgMar w:left="1160" w:top="431" w:right="1160" w:bottom="0" w:gutter="0" w:footer="0" w:header="0"/>
          <w:type w:val="continuous"/>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2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August 2021, we entered into a Controlled Equity Offering</w:t>
      </w:r>
      <w:r>
        <w:rPr>
          <w:rFonts w:ascii="Times New Roman" w:cs="Times New Roman" w:eastAsia="Times New Roman" w:hAnsi="Times New Roman"/>
          <w:sz w:val="27"/>
          <w:szCs w:val="27"/>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year ended December 31, 2024, the Company sold 8,178 shares of its common stock under the ATM Agreement resulting in net proceeds of approximately $37,000, after deducting agent commissions. On June 10, 2024, the Company provided notice of its termination of the ATM Agreement with Cantor Fitzgerald &amp; Co. and RBC Capital Markets, LLC. The Company is not subject to any termination penalties related to the termination of the ATM Agreement.</w:t>
      </w:r>
    </w:p>
    <w:p>
      <w:pPr>
        <w:spacing w:after="0" w:line="197" w:lineRule="exact"/>
        <w:rPr>
          <w:sz w:val="20"/>
          <w:szCs w:val="20"/>
          <w:color w:val="auto"/>
        </w:rPr>
      </w:pPr>
    </w:p>
    <w:p>
      <w:pPr>
        <w:jc w:val="both"/>
        <w:ind w:right="20" w:firstLine="1"/>
        <w:spacing w:after="0" w:line="255" w:lineRule="auto"/>
        <w:rPr>
          <w:sz w:val="20"/>
          <w:szCs w:val="20"/>
          <w:color w:val="auto"/>
        </w:rPr>
      </w:pPr>
      <w:r>
        <w:rPr>
          <w:rFonts w:ascii="Times New Roman" w:cs="Times New Roman" w:eastAsia="Times New Roman" w:hAnsi="Times New Roman"/>
          <w:sz w:val="18"/>
          <w:szCs w:val="18"/>
          <w:color w:val="auto"/>
        </w:rPr>
        <w:t>In November 2024, we entered into an At The Market Offering Agreement, or the Sales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 may sell under the registration statement and in accordance with the ATM agreement. H.C. Wainwright &amp; Co. LLC will be entitled to compensation under the Sales Agreement at a commission rate equal to 3.0% of the gross sales price per share sold under the ATM Agreement, and we have provided H.C. Wainwright &amp; Co. LLC with indemnification and contribution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230"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at a variable price with certain market-based terms as defined in the agreement. The purchase agreement does not exhibit any of the characteristics for liability classification under ASC Topic 480, Distinguishing Liabilities from Equity. In January 2023, Lincoln Park was issued 180,410 shares of stock as a commitment fee at a value of $0.5 million. On February 29, 2024, we terminated the Purchase Agreement with Lincoln Park effective March 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30" w:lineRule="exact"/>
        <w:rPr>
          <w:sz w:val="20"/>
          <w:szCs w:val="20"/>
          <w:color w:val="auto"/>
        </w:rPr>
      </w:pPr>
    </w:p>
    <w:p>
      <w:pPr>
        <w:jc w:val="both"/>
        <w:ind w:right="20" w:firstLine="1"/>
        <w:spacing w:after="0" w:line="255"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does not include any proceeds that may be received upon exercise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2240" w:h="15840" w:orient="portrait"/>
          <w:cols w:equalWidth="0" w:num="1">
            <w:col w:w="9920"/>
          </w:cols>
          <w:pgMar w:left="1160" w:top="431" w:right="1160" w:bottom="0" w:gutter="0" w:footer="0" w:header="0"/>
          <w:type w:val="continuous"/>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30" w:lineRule="exact"/>
        <w:rPr>
          <w:sz w:val="20"/>
          <w:szCs w:val="20"/>
          <w:color w:val="auto"/>
        </w:rPr>
      </w:pPr>
    </w:p>
    <w:p>
      <w:pPr>
        <w:jc w:val="both"/>
        <w:ind w:right="20" w:firstLine="1"/>
        <w:spacing w:after="0" w:line="283" w:lineRule="auto"/>
        <w:rPr>
          <w:sz w:val="20"/>
          <w:szCs w:val="20"/>
          <w:color w:val="auto"/>
        </w:rPr>
      </w:pPr>
      <w:r>
        <w:rPr>
          <w:rFonts w:ascii="Times New Roman" w:cs="Times New Roman" w:eastAsia="Times New Roman" w:hAnsi="Times New Roman"/>
          <w:sz w:val="18"/>
          <w:szCs w:val="18"/>
          <w:color w:val="auto"/>
        </w:rPr>
        <w:t>We have no sources of revenue, other than grant income, to provide incoming cash flows to sustain our future operations. As outlined above, our ability to pursue our long-term planned business activities is dependent upon our successful efforts to raise additional capital.</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30"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6 to the accompanying financial statements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Company’s critical accounting policies include grant income, which is discussed further below. The Company does not have any critical accounting estimates.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we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For grant and awards outside the scope of ASC 808, the Company applies either ASC 606 or IAS 20 by analogy depending on if the arrangement is considered an exchange or non-exchange transaction, respectively. Under both accounting frameworks, revenue is recognized when the Company incurs expenses related to the grants for the amount the Company is entitled to under the provisions of the contract. During the two years ended December 31, 2024, the Company did not participate in any collaboration agreements.</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CPRIT to support our Phase 2 clinical trial of MT-401. In December 2024, we announced that the Company has been awarded a $9.5 million grant from CPRIT to support the clinical investigation of MT-601 in patients with metastatic pancreatic cancer.</w:t>
      </w:r>
    </w:p>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 recognizes grant income when amounts eligible for reimbursement are determinable and have been incurred, the applicable conditions under the grant arrangements have been met, and collectability of amounts due is reasonably assured or already</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2240" w:h="15840" w:orient="portrait"/>
          <w:cols w:equalWidth="0" w:num="1">
            <w:col w:w="9920"/>
          </w:cols>
          <w:pgMar w:left="1160" w:top="431" w:right="1160" w:bottom="0" w:gutter="0" w:footer="0" w:header="0"/>
          <w:type w:val="continuous"/>
        </w:sectPr>
      </w:pPr>
    </w:p>
    <w:bookmarkStart w:id="86" w:name="page87"/>
    <w:bookmarkEnd w:id="86"/>
    <w:p>
      <w:pPr>
        <w:jc w:val="both"/>
        <w:ind w:firstLine="1"/>
        <w:spacing w:after="0" w:line="261" w:lineRule="auto"/>
        <w:rPr>
          <w:sz w:val="20"/>
          <w:szCs w:val="20"/>
          <w:color w:val="auto"/>
        </w:rPr>
      </w:pPr>
      <w:r>
        <w:rPr>
          <w:rFonts w:ascii="Times New Roman" w:cs="Times New Roman" w:eastAsia="Times New Roman" w:hAnsi="Times New Roman"/>
          <w:sz w:val="18"/>
          <w:szCs w:val="18"/>
          <w:color w:val="auto"/>
        </w:rPr>
        <w:t>received. The classification of costs incurred related to grants is based on the nature of the activities performed by the Company. Grant Income is recognized when the related costs are incurred. 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Reportable Segment Disclosures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Effective January 1, 2024, the Company adopted the new standard on a retrospective basis for annual periods, and interim periods beginning the first quarter of 2025. The Company does not believe the impact of the new guidance and related codification improvements had a material impact to its financial position,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2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 Reporting Comprehensive Income – Expense Disaggregation Disclosures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Loss and Credit Carryforwards</w:t>
      </w:r>
    </w:p>
    <w:p>
      <w:pPr>
        <w:spacing w:after="0" w:line="229"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As of December 31, 2024, we have approximately $138.3 million of federal and $38.8 million of state net operating loss carryforwards that may be available to offset future taxable income, if any. The federal net operating loss carryforwards of $38.4 million, if not utilized, will expire between 2030 and 2037. The federal net operating loss carryforwards of $99.9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$16.9 million</w:t>
      </w:r>
    </w:p>
    <w:p>
      <w:pPr>
        <w:sectPr>
          <w:pgSz w:w="12240" w:h="15840" w:orient="portrait"/>
          <w:cols w:equalWidth="0" w:num="1">
            <w:col w:w="9900"/>
          </w:cols>
          <w:pgMar w:left="1160" w:top="4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2240" w:h="15840" w:orient="portrait"/>
          <w:cols w:equalWidth="0" w:num="1">
            <w:col w:w="9900"/>
          </w:cols>
          <w:pgMar w:left="1160" w:top="431" w:right="1180" w:bottom="0" w:gutter="0" w:footer="0" w:header="0"/>
          <w:type w:val="continuous"/>
        </w:sectPr>
      </w:pPr>
    </w:p>
    <w:bookmarkStart w:id="87" w:name="page88"/>
    <w:bookmarkEnd w:id="8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and 2023, we recorded a 100% valuation allowance against our deferred tax assets of approximately $41.0 million and $39.7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22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Financial Statements are incorporated herein by reference to pages beginning on page F-1 at the end of this report and the supplementary data is not applicable.</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6" w:lineRule="exact"/>
        <w:rPr>
          <w:sz w:val="20"/>
          <w:szCs w:val="20"/>
          <w:color w:val="auto"/>
        </w:rPr>
      </w:pPr>
    </w:p>
    <w:p>
      <w:pPr>
        <w:ind w:right="3440"/>
        <w:spacing w:after="0" w:line="500" w:lineRule="auto"/>
        <w:rPr>
          <w:sz w:val="20"/>
          <w:szCs w:val="20"/>
          <w:color w:val="auto"/>
        </w:rPr>
      </w:pPr>
      <w:r>
        <w:rPr>
          <w:rFonts w:ascii="Times New Roman" w:cs="Times New Roman" w:eastAsia="Times New Roman" w:hAnsi="Times New Roman"/>
          <w:sz w:val="18"/>
          <w:szCs w:val="18"/>
          <w:color w:val="auto"/>
        </w:rPr>
        <w:t xml:space="preserve">We have had no changes in, or disagreements with our principal independent accountants. </w:t>
      </w:r>
      <w:r>
        <w:rPr>
          <w:rFonts w:ascii="Times New Roman" w:cs="Times New Roman" w:eastAsia="Times New Roman" w:hAnsi="Times New Roman"/>
          <w:sz w:val="18"/>
          <w:szCs w:val="18"/>
          <w:b w:val="1"/>
          <w:bCs w:val="1"/>
          <w:color w:val="auto"/>
        </w:rPr>
        <w:t xml:space="preserve">ITEM 9A. CONTROLS AND PROCEDURES </w:t>
      </w: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2024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2024. Based on that evaluation, our principal executive officer and principal financial officer concluded that our disclosure controls and procedures were effective as of December 31, 2024 to provide reasonable assurance that the information required to be disclosed by us in this Annual Report was (a) reported within the time periods specified by SEC rules and regulations and (b) communicated to our management, including our Chief Executive Officer and Principal Financial Officer, to allow timely decisions regarding any required disclosure.</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2240" w:h="15840" w:orient="portrait"/>
          <w:cols w:equalWidth="0" w:num="1">
            <w:col w:w="9920"/>
          </w:cols>
          <w:pgMar w:left="1160" w:top="431" w:right="11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2024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w:t>
      </w:r>
    </w:p>
    <w:p>
      <w:pPr>
        <w:spacing w:after="0" w:line="23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60"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fiscal quarter ended December 31, 2024 that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30"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40" w:hanging="315"/>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below is provided in lieu of a separate Form 8-K filing.</w:t>
      </w:r>
    </w:p>
    <w:p>
      <w:pPr>
        <w:spacing w:after="0" w:line="224" w:lineRule="exact"/>
        <w:rPr>
          <w:rFonts w:ascii="Times New Roman" w:cs="Times New Roman" w:eastAsia="Times New Roman" w:hAnsi="Times New Roman"/>
          <w:sz w:val="18"/>
          <w:szCs w:val="18"/>
          <w:color w:val="auto"/>
        </w:rPr>
      </w:pPr>
    </w:p>
    <w:p>
      <w:pPr>
        <w:jc w:val="both"/>
        <w:ind w:left="6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spacing w:after="0" w:line="171" w:lineRule="exact"/>
        <w:rPr>
          <w:rFonts w:ascii="Times New Roman" w:cs="Times New Roman" w:eastAsia="Times New Roman" w:hAnsi="Times New Roman"/>
          <w:sz w:val="18"/>
          <w:szCs w:val="18"/>
          <w:color w:val="auto"/>
        </w:rPr>
      </w:pPr>
    </w:p>
    <w:p>
      <w:pPr>
        <w:ind w:left="640" w:hanging="314"/>
        <w:spacing w:after="0" w:line="288"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Rule 10b5–1 trading arrangement. </w:t>
      </w:r>
      <w:r>
        <w:rPr>
          <w:rFonts w:ascii="Times New Roman" w:cs="Times New Roman" w:eastAsia="Times New Roman" w:hAnsi="Times New Roman"/>
          <w:sz w:val="18"/>
          <w:szCs w:val="18"/>
          <w:color w:val="auto"/>
        </w:rPr>
        <w:t>During the fourth quarter of 2024, no director or Section 16 officer adopted or terminated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Rule 10b5-1 plan or non-Rule 10b5-1 trading arrangements.</w:t>
      </w:r>
    </w:p>
    <w:p>
      <w:pPr>
        <w:sectPr>
          <w:pgSz w:w="12240" w:h="15840" w:orient="portrait"/>
          <w:cols w:equalWidth="0" w:num="1">
            <w:col w:w="9900"/>
          </w:cols>
          <w:pgMar w:left="1160" w:top="427"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2240" w:h="15840" w:orient="portrait"/>
          <w:cols w:equalWidth="0" w:num="1">
            <w:col w:w="9900"/>
          </w:cols>
          <w:pgMar w:left="1160" w:top="427" w:right="1180" w:bottom="0" w:gutter="0" w:footer="0" w:header="0"/>
          <w:type w:val="continuous"/>
        </w:sectPr>
      </w:pPr>
    </w:p>
    <w:bookmarkStart w:id="89" w:name="page90"/>
    <w:bookmarkEnd w:id="89"/>
    <w:p>
      <w:pPr>
        <w:ind w:right="1420"/>
        <w:spacing w:after="0" w:line="537"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ectPr>
          <w:pgSz w:w="12240" w:h="15840" w:orient="portrait"/>
          <w:cols w:equalWidth="0" w:num="1">
            <w:col w:w="9640"/>
          </w:cols>
          <w:pgMar w:left="1160" w:top="42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84</w:t>
      </w:r>
    </w:p>
    <w:p>
      <w:pPr>
        <w:sectPr>
          <w:pgSz w:w="12240" w:h="15840" w:orient="portrait"/>
          <w:cols w:equalWidth="0" w:num="1">
            <w:col w:w="9640"/>
          </w:cols>
          <w:pgMar w:left="1160" w:top="428" w:right="1440" w:bottom="0" w:gutter="0" w:footer="0" w:header="0"/>
          <w:type w:val="continuous"/>
        </w:sectPr>
      </w:pPr>
    </w:p>
    <w:bookmarkStart w:id="90" w:name="page91"/>
    <w:bookmarkEnd w:id="90"/>
    <w:p>
      <w:pPr>
        <w:ind w:left="4600"/>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set forth in the sections headed “Election of Directors,” “Executive Officers” and “Delinquent Section 16(a) Reports” in our definitive proxy statement for our 2024 Annual Meeting of Stockholders, or our Proxy Statement, to be filed with the SEC within 120 days after the end of the fiscal year ended December 31, 2024 and is incorporated herein by reference.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7"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We also have adopted an insider trading policy governing the purchase, sale, and/or other dispositions of our securities by directors, officers and employees that are reasonably designed to promote compliance with insider trading laws, rules and regulations, and any listing standards applicable to the registrant. A copy of our insider trading policy is filed as an exhibit to this Annual Report on Form 10-K. In addition, from time to time, we may engage in transactions in our company’s securities. It is our intent to comply with applicable laws and regulations relating to insider trading.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“Executive Compensation” in our Proxy Statement and is incorporated herein by reference.</w:t>
      </w:r>
    </w:p>
    <w:p>
      <w:pPr>
        <w:spacing w:after="0" w:line="156" w:lineRule="exact"/>
        <w:rPr>
          <w:sz w:val="20"/>
          <w:szCs w:val="20"/>
          <w:color w:val="auto"/>
        </w:rPr>
      </w:pPr>
    </w:p>
    <w:p>
      <w:pPr>
        <w:jc w:val="both"/>
        <w:ind w:right="20" w:firstLine="1"/>
        <w:spacing w:after="0" w:line="287"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“Securities Authorized for Issuance Under Equity Compensation Plans” and “Security Ownership of Certain Beneficial Owners and Management” in our Proxy Statement and is incorporated herein by reference.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will be set forth in the section headed “Executive Compensation” and “Information Regarding the Board of Directors and Corporate Governance” in our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“Transactions with Related Persons and Indemnification” and “Information Regarding the Board of Directors and Corporate Governance” in our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“Principal Accountant Fees and Services” in our Proxy Statement and is incorporated herein by reference.</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2240" w:h="15840" w:orient="portrait"/>
          <w:cols w:equalWidth="0" w:num="1">
            <w:col w:w="9920"/>
          </w:cols>
          <w:pgMar w:left="1160" w:top="428" w:right="1160" w:bottom="0" w:gutter="0" w:footer="0" w:header="0"/>
          <w:type w:val="continuous"/>
        </w:sectPr>
      </w:pPr>
    </w:p>
    <w:bookmarkStart w:id="91" w:name="page92"/>
    <w:bookmarkEnd w:id="91"/>
    <w:p>
      <w:pPr>
        <w:ind w:left="4600"/>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540" w:hanging="539"/>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filed as part of this report are as follows:</w:t>
      </w:r>
    </w:p>
    <w:p>
      <w:pPr>
        <w:spacing w:after="0" w:line="225" w:lineRule="exact"/>
        <w:rPr>
          <w:sz w:val="20"/>
          <w:szCs w:val="20"/>
          <w:color w:val="auto"/>
        </w:rPr>
      </w:pPr>
    </w:p>
    <w:p>
      <w:pPr>
        <w:ind w:left="540" w:hanging="539"/>
        <w:spacing w:after="0" w:line="283"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accompanying report of independent registered public accounting firm are set forth immediately following the signature page of this report beginning on page F-1.</w:t>
      </w:r>
    </w:p>
    <w:p>
      <w:pPr>
        <w:spacing w:after="0" w:line="159" w:lineRule="exact"/>
        <w:rPr>
          <w:rFonts w:ascii="Times New Roman" w:cs="Times New Roman" w:eastAsia="Times New Roman" w:hAnsi="Times New Roman"/>
          <w:sz w:val="18"/>
          <w:szCs w:val="18"/>
          <w:color w:val="auto"/>
        </w:rPr>
      </w:pPr>
    </w:p>
    <w:p>
      <w:pPr>
        <w:ind w:left="540" w:hanging="539"/>
        <w:spacing w:after="0" w:line="283"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inapplicable, not required or the information is included elsewhere in the financial statements or the notes thereto.</w:t>
      </w:r>
    </w:p>
    <w:p>
      <w:pPr>
        <w:spacing w:after="0" w:line="159" w:lineRule="exact"/>
        <w:rPr>
          <w:rFonts w:ascii="Times New Roman" w:cs="Times New Roman" w:eastAsia="Times New Roman" w:hAnsi="Times New Roman"/>
          <w:sz w:val="18"/>
          <w:szCs w:val="18"/>
          <w:color w:val="auto"/>
        </w:rPr>
      </w:pPr>
    </w:p>
    <w:p>
      <w:pPr>
        <w:ind w:left="540" w:hanging="539"/>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ectPr>
          <w:pgSz w:w="12240" w:h="15840" w:orient="portrait"/>
          <w:cols w:equalWidth="0" w:num="1">
            <w:col w:w="9900"/>
          </w:cols>
          <w:pgMar w:left="1160" w:top="42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2240" w:h="15840" w:orient="portrait"/>
          <w:cols w:equalWidth="0" w:num="1">
            <w:col w:w="9900"/>
          </w:cols>
          <w:pgMar w:left="1160" w:top="428" w:right="118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6"/>
        </w:trPr>
        <w:tc>
          <w:tcPr>
            <w:tcW w:w="980" w:type="dxa"/>
            <w:vAlign w:val="bottom"/>
            <w:gridSpan w:val="2"/>
            <w:vMerge w:val="continue"/>
          </w:tcPr>
          <w:p>
            <w:pPr>
              <w:spacing w:after="0"/>
              <w:rPr>
                <w:sz w:val="10"/>
                <w:szCs w:val="10"/>
                <w:color w:val="auto"/>
              </w:rPr>
            </w:pPr>
          </w:p>
        </w:tc>
        <w:tc>
          <w:tcPr>
            <w:tcW w:w="46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0" w:type="dxa"/>
            <w:vAlign w:val="bottom"/>
            <w:vMerge w:val="restart"/>
          </w:tcPr>
          <w:p>
            <w:pPr>
              <w:spacing w:after="0"/>
              <w:rPr>
                <w:sz w:val="10"/>
                <w:szCs w:val="10"/>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0" w:type="dxa"/>
            <w:vAlign w:val="bottom"/>
            <w:vMerge w:val="restart"/>
          </w:tcPr>
          <w:p>
            <w:pPr>
              <w:spacing w:after="0"/>
              <w:rPr>
                <w:sz w:val="10"/>
                <w:szCs w:val="10"/>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2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 of</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Marker Therapeutics, Inc.</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5/27/22</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 of</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Marker Therapeutics, Inc.</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1/26/23</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of Marker Therapeutics, Inc.</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Common Stock Certificate of Marker Therapeutics,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3/25/24</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Securities of Marker Therapeutics, Inc.</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3/25/24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Pre-Funded Warrant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Series A Warrant (Private Placement Warrant)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Exclusive License Agreement between Baylor College of</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Medicine and Marker Therapeutics, Inc. dated March 16,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0"/>
                <w:szCs w:val="2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3/15/19</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Sponsored Research Contract between Baylor College of</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Medicine and Marker Therapeutics, Inc. dated November 16,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0"/>
                <w:szCs w:val="2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3/15/19</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Director and Officer Indemnification Agreement*</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3/15/19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Marker Therapeutics, Inc. 2020 Equity Incentive Plan</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S-8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333-239136</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Grant Notice and Stock Option</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under the Marker Therapeutics, Inc. 2020 Equity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Purchase Agreement dated December 19, 2024</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12/19/24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Rights dated December 19, 2024</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The Market Offering Agreement, dated as of November 27,</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S-3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333-283515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11/27/24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between the Company and H.C. Wainwright &amp; Co., LLC</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Master Services Agreement for Product Supply between</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3/25/24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Marker Therapeutics, Inc. and Cell Ready LLC dated February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22, 2024**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Insider Trading Policy</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2240" w:h="15840" w:orient="portrait"/>
          <w:cols w:equalWidth="0" w:num="1">
            <w:col w:w="9920"/>
          </w:cols>
          <w:pgMar w:left="1160" w:top="428" w:right="116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75"/>
        </w:trPr>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6"/>
        </w:trPr>
        <w:tc>
          <w:tcPr>
            <w:tcW w:w="980" w:type="dxa"/>
            <w:vAlign w:val="bottom"/>
            <w:gridSpan w:val="2"/>
            <w:vMerge w:val="continue"/>
          </w:tcPr>
          <w:p>
            <w:pPr>
              <w:spacing w:after="0"/>
              <w:rPr>
                <w:sz w:val="10"/>
                <w:szCs w:val="10"/>
                <w:color w:val="auto"/>
              </w:rPr>
            </w:pPr>
          </w:p>
        </w:tc>
        <w:tc>
          <w:tcPr>
            <w:tcW w:w="46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0" w:type="dxa"/>
            <w:vAlign w:val="bottom"/>
            <w:vMerge w:val="restart"/>
          </w:tcPr>
          <w:p>
            <w:pPr>
              <w:spacing w:after="0"/>
              <w:rPr>
                <w:sz w:val="10"/>
                <w:szCs w:val="10"/>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0" w:type="dxa"/>
            <w:vAlign w:val="bottom"/>
            <w:vMerge w:val="restart"/>
          </w:tcPr>
          <w:p>
            <w:pPr>
              <w:spacing w:after="0"/>
              <w:rPr>
                <w:sz w:val="10"/>
                <w:szCs w:val="10"/>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21.1</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 of Subsidiaries</w:t>
            </w: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13"/>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23.1</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Marcum LLP, an independent public accounting</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80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firm.</w:t>
            </w: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24.1</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of Attorney (included on signature page)</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13"/>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80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 of 1934 Rule 13a-14(a) or 15d-14a</w:t>
            </w: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13"/>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31.2</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80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 of 1934 Rule 13a-14(a) or 15d-14a</w:t>
            </w: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13"/>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 S. C.</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w:t>
            </w:r>
          </w:p>
        </w:tc>
        <w:tc>
          <w:tcPr>
            <w:tcW w:w="1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5"/>
        </w:trPr>
        <w:tc>
          <w:tcPr>
            <w:tcW w:w="80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13"/>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 S. C.</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w:t>
            </w:r>
          </w:p>
        </w:tc>
        <w:tc>
          <w:tcPr>
            <w:tcW w:w="1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5"/>
        </w:trPr>
        <w:tc>
          <w:tcPr>
            <w:tcW w:w="80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97</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Compensation Recoupment Policy</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10-K   001-37939</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3/25/24</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101.SCH</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101.DEF</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101.LAB</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101.PRE</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196" w:lineRule="exact"/>
        <w:rPr>
          <w:sz w:val="20"/>
          <w:szCs w:val="20"/>
          <w:color w:val="auto"/>
        </w:rPr>
      </w:pPr>
    </w:p>
    <w:p>
      <w:pPr>
        <w:ind w:left="980" w:right="4580" w:hanging="714"/>
        <w:spacing w:after="0" w:line="283" w:lineRule="auto"/>
        <w:tabs>
          <w:tab w:leader="none" w:pos="981"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p>
      <w:pPr>
        <w:spacing w:after="0" w:line="375" w:lineRule="exact"/>
        <w:rPr>
          <w:rFonts w:ascii="Times New Roman" w:cs="Times New Roman" w:eastAsia="Times New Roman" w:hAnsi="Times New Roman"/>
          <w:sz w:val="18"/>
          <w:szCs w:val="18"/>
          <w:color w:val="auto"/>
        </w:rPr>
      </w:pPr>
    </w:p>
    <w:p>
      <w:pPr>
        <w:ind w:left="320" w:hanging="319"/>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management contract or compensatory plan or arrangement.</w:t>
      </w:r>
    </w:p>
    <w:p>
      <w:pPr>
        <w:spacing w:after="0" w:line="225" w:lineRule="exact"/>
        <w:rPr>
          <w:rFonts w:ascii="Times New Roman" w:cs="Times New Roman" w:eastAsia="Times New Roman" w:hAnsi="Times New Roman"/>
          <w:sz w:val="18"/>
          <w:szCs w:val="18"/>
          <w:color w:val="auto"/>
        </w:rPr>
      </w:pPr>
    </w:p>
    <w:p>
      <w:pPr>
        <w:ind w:left="320" w:right="20" w:hanging="319"/>
        <w:spacing w:after="0" w:line="283" w:lineRule="auto"/>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159" w:lineRule="exact"/>
        <w:rPr>
          <w:rFonts w:ascii="Times New Roman" w:cs="Times New Roman" w:eastAsia="Times New Roman" w:hAnsi="Times New Roman"/>
          <w:sz w:val="18"/>
          <w:szCs w:val="18"/>
          <w:color w:val="auto"/>
        </w:rPr>
      </w:pPr>
    </w:p>
    <w:p>
      <w:pPr>
        <w:ind w:left="320" w:right="20" w:hanging="319"/>
        <w:spacing w:after="0" w:line="283" w:lineRule="auto"/>
        <w:tabs>
          <w:tab w:leader="none" w:pos="3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a request for conditional treatment and this exhibit has been submitted separately with the SEC.</w:t>
      </w:r>
    </w:p>
    <w:p>
      <w:pPr>
        <w:spacing w:after="0" w:line="159" w:lineRule="exact"/>
        <w:rPr>
          <w:rFonts w:ascii="Times New Roman" w:cs="Times New Roman" w:eastAsia="Times New Roman" w:hAnsi="Times New Roman"/>
          <w:sz w:val="18"/>
          <w:szCs w:val="18"/>
          <w:color w:val="auto"/>
        </w:rPr>
      </w:pPr>
    </w:p>
    <w:p>
      <w:pPr>
        <w:ind w:left="320" w:right="20" w:hanging="318"/>
        <w:spacing w:after="0" w:line="283" w:lineRule="auto"/>
        <w:tabs>
          <w:tab w:leader="none" w:pos="3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-1459230</wp:posOffset>
                </wp:positionV>
                <wp:extent cx="15684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845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14.8999pt" to="123.6pt,-114.8999pt" o:allowincell="f" strokecolor="#000000" strokeweight="0.675pt"/>
            </w:pict>
          </mc:Fallback>
        </mc:AlternateContent>
      </w:r>
    </w:p>
    <w:p>
      <w:pPr>
        <w:sectPr>
          <w:pgSz w:w="12240" w:h="15840" w:orient="portrait"/>
          <w:cols w:equalWidth="0" w:num="1">
            <w:col w:w="9920"/>
          </w:cols>
          <w:pgMar w:left="1160" w:top="42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2240" w:h="15840" w:orient="portrait"/>
          <w:cols w:equalWidth="0" w:num="1">
            <w:col w:w="9920"/>
          </w:cols>
          <w:pgMar w:left="1160" w:top="424" w:right="1160" w:bottom="0" w:gutter="0" w:footer="0" w:header="0"/>
          <w:type w:val="continuous"/>
        </w:sectPr>
      </w:pPr>
    </w:p>
    <w:bookmarkStart w:id="94" w:name="page95"/>
    <w:bookmarkEnd w:id="94"/>
    <w:p>
      <w:pPr>
        <w:ind w:left="320"/>
        <w:spacing w:after="0" w:line="283" w:lineRule="auto"/>
        <w:rPr>
          <w:sz w:val="20"/>
          <w:szCs w:val="20"/>
          <w:color w:val="auto"/>
        </w:rPr>
      </w:pPr>
      <w:r>
        <w:rPr>
          <w:rFonts w:ascii="Times New Roman" w:cs="Times New Roman" w:eastAsia="Times New Roman" w:hAnsi="Times New Roman"/>
          <w:sz w:val="18"/>
          <w:szCs w:val="18"/>
          <w:color w:val="auto"/>
        </w:rPr>
        <w:t>reference into any filing of the registrant, whether made before or after the date hereof, regardless of any general incorporation language in such filing.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2240" w:h="15840" w:orient="portrait"/>
          <w:cols w:equalWidth="0" w:num="1">
            <w:col w:w="9900"/>
          </w:cols>
          <w:pgMar w:left="1160" w:top="4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2240" w:h="15840" w:orient="portrait"/>
          <w:cols w:equalWidth="0" w:num="1">
            <w:col w:w="9900"/>
          </w:cols>
          <w:pgMar w:left="1160" w:top="431" w:right="118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2025</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Juan Vera</w:t>
      </w:r>
    </w:p>
    <w:p>
      <w:pPr>
        <w:spacing w:after="0" w:line="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Juan Vera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3344545</wp:posOffset>
                </wp:positionH>
                <wp:positionV relativeFrom="paragraph">
                  <wp:posOffset>-123190</wp:posOffset>
                </wp:positionV>
                <wp:extent cx="294894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894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35pt,-9.6999pt" to="495.55pt,-9.6999pt" o:allowincell="f" strokecolor="#000000" strokeweight="0.675pt"/>
            </w:pict>
          </mc:Fallback>
        </mc:AlternateContent>
      </w:r>
    </w:p>
    <w:p>
      <w:pPr>
        <w:ind w:left="5260"/>
        <w:spacing w:after="0"/>
        <w:rPr>
          <w:sz w:val="20"/>
          <w:szCs w:val="20"/>
          <w:color w:val="auto"/>
        </w:rPr>
      </w:pPr>
      <w:r>
        <w:rPr>
          <w:rFonts w:ascii="Times New Roman" w:cs="Times New Roman" w:eastAsia="Times New Roman" w:hAnsi="Times New Roman"/>
          <w:sz w:val="18"/>
          <w:szCs w:val="18"/>
          <w:color w:val="auto"/>
        </w:rPr>
        <w:t>Chief Executive Officer and Treasurer (Principal Executive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Officer and Principal Financial and Accounting Officer)</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2240" w:h="15840" w:orient="portrait"/>
          <w:cols w:equalWidth="0" w:num="1">
            <w:col w:w="9920"/>
          </w:cols>
          <w:pgMar w:left="1160" w:top="428" w:right="116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undersigned officers and directors of Marker Therapeutics, Inc., hereby constitutes and appoints Juan Vera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March 31, 2025 on behalf of the registrant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5"/>
                <w:szCs w:val="15"/>
                <w:color w:val="auto"/>
              </w:rPr>
            </w:pP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0"/>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President, Chief Executive Officer and</w:t>
            </w:r>
          </w:p>
        </w:tc>
        <w:tc>
          <w:tcPr>
            <w:tcW w:w="18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Treasurer, Director (Principal Executive</w:t>
            </w: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Principal Financial and</w:t>
            </w: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5"/>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 David Eansor</w:t>
            </w:r>
          </w:p>
        </w:tc>
        <w:tc>
          <w:tcPr>
            <w:tcW w:w="14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 David Eansor</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Katharine Knobil</w:t>
            </w:r>
          </w:p>
        </w:tc>
        <w:tc>
          <w:tcPr>
            <w:tcW w:w="14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Elms</w:t>
            </w:r>
          </w:p>
        </w:tc>
        <w:tc>
          <w:tcPr>
            <w:tcW w:w="14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Steve Elms</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900"/>
          </w:cols>
          <w:pgMar w:left="1160" w:top="42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2240" w:h="15840" w:orient="portrait"/>
          <w:cols w:equalWidth="0" w:num="1">
            <w:col w:w="9900"/>
          </w:cols>
          <w:pgMar w:left="1160" w:top="428" w:right="118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(PCAOB ID Number 688)</w:t>
            </w: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F-6</w:t>
            </w: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F-7</w:t>
            </w:r>
          </w:p>
        </w:tc>
      </w:tr>
    </w:tbl>
    <w:p>
      <w:pPr>
        <w:spacing w:after="0" w:line="200" w:lineRule="exact"/>
        <w:rPr>
          <w:sz w:val="20"/>
          <w:szCs w:val="20"/>
          <w:color w:val="auto"/>
        </w:rPr>
      </w:pP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ectPr>
          <w:pgSz w:w="12240" w:h="15840" w:orient="portrait"/>
          <w:cols w:equalWidth="0" w:num="1">
            <w:col w:w="9920"/>
          </w:cols>
          <w:pgMar w:left="1160" w:top="428" w:right="1160" w:bottom="0" w:gutter="0" w:footer="0" w:header="0"/>
          <w:type w:val="continuous"/>
        </w:sectPr>
      </w:pPr>
    </w:p>
    <w:bookmarkStart w:id="98" w:name="page99"/>
    <w:bookmarkEnd w:id="98"/>
    <w:p>
      <w:pPr>
        <w:ind w:left="206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Marker Therapeutics, Inc.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ectPr>
          <w:pgSz w:w="12240" w:h="15840" w:orient="portrait"/>
          <w:cols w:equalWidth="0" w:num="1">
            <w:col w:w="9920"/>
          </w:cols>
          <w:pgMar w:left="1160" w:top="431" w:right="116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5"/>
        </w:trPr>
        <w:tc>
          <w:tcPr>
            <w:tcW w:w="720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2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D2EEF5"/>
          </w:tcPr>
          <w:p>
            <w:pPr>
              <w:spacing w:after="0"/>
              <w:rPr>
                <w:sz w:val="18"/>
                <w:szCs w:val="18"/>
                <w:color w:val="auto"/>
              </w:rPr>
            </w:pPr>
          </w:p>
        </w:tc>
        <w:tc>
          <w:tcPr>
            <w:tcW w:w="1100" w:type="dxa"/>
            <w:vAlign w:val="bottom"/>
            <w:shd w:val="clear" w:color="auto" w:fill="D2EEF5"/>
          </w:tcPr>
          <w:p>
            <w:pPr>
              <w:spacing w:after="0"/>
              <w:rPr>
                <w:sz w:val="18"/>
                <w:szCs w:val="18"/>
                <w:color w:val="auto"/>
              </w:rPr>
            </w:pPr>
          </w:p>
        </w:tc>
        <w:tc>
          <w:tcPr>
            <w:tcW w:w="22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20" w:type="dxa"/>
            <w:vAlign w:val="bottom"/>
            <w:shd w:val="clear" w:color="auto" w:fill="D2EEF5"/>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220" w:type="dxa"/>
            <w:vAlign w:val="bottom"/>
            <w:shd w:val="clear" w:color="auto" w:fill="D2EEF5"/>
          </w:tcPr>
          <w:p>
            <w:pPr>
              <w:spacing w:after="0"/>
              <w:rPr>
                <w:sz w:val="18"/>
                <w:szCs w:val="18"/>
                <w:color w:val="auto"/>
              </w:rPr>
            </w:pP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15,111,450</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988,126</w:t>
            </w:r>
          </w:p>
        </w:tc>
      </w:tr>
      <w:tr>
        <w:trPr>
          <w:trHeight w:val="216"/>
        </w:trPr>
        <w:tc>
          <w:tcPr>
            <w:tcW w:w="72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shd w:val="clear" w:color="auto" w:fill="D2EEF5"/>
          </w:tcPr>
          <w:p>
            <w:pPr>
              <w:spacing w:after="0"/>
              <w:rPr>
                <w:sz w:val="18"/>
                <w:szCs w:val="18"/>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2,346,703</w:t>
            </w:r>
          </w:p>
        </w:tc>
        <w:tc>
          <w:tcPr>
            <w:tcW w:w="220" w:type="dxa"/>
            <w:vAlign w:val="bottom"/>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1,027,815</w:t>
            </w:r>
          </w:p>
        </w:tc>
      </w:tr>
      <w:tr>
        <w:trPr>
          <w:trHeight w:val="21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22,022,860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17,127,391</w:t>
            </w:r>
          </w:p>
        </w:tc>
      </w:tr>
      <w:tr>
        <w:trPr>
          <w:trHeight w:val="216"/>
        </w:trPr>
        <w:tc>
          <w:tcPr>
            <w:tcW w:w="7200" w:type="dxa"/>
            <w:vAlign w:val="bottom"/>
            <w:tcBorders>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20" w:type="dxa"/>
            <w:vAlign w:val="bottom"/>
            <w:tcBorders>
              <w:bottom w:val="single" w:sz="8" w:color="D2EEF5"/>
            </w:tcBorders>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72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D2EEF5"/>
          </w:tcPr>
          <w:p>
            <w:pPr>
              <w:spacing w:after="0"/>
              <w:rPr>
                <w:sz w:val="18"/>
                <w:szCs w:val="18"/>
                <w:color w:val="auto"/>
              </w:rPr>
            </w:pPr>
          </w:p>
        </w:tc>
        <w:tc>
          <w:tcPr>
            <w:tcW w:w="1100" w:type="dxa"/>
            <w:vAlign w:val="bottom"/>
            <w:shd w:val="clear" w:color="auto" w:fill="D2EEF5"/>
          </w:tcPr>
          <w:p>
            <w:pPr>
              <w:spacing w:after="0"/>
              <w:rPr>
                <w:sz w:val="18"/>
                <w:szCs w:val="18"/>
                <w:color w:val="auto"/>
              </w:rPr>
            </w:pPr>
          </w:p>
        </w:tc>
        <w:tc>
          <w:tcPr>
            <w:tcW w:w="22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20" w:type="dxa"/>
            <w:vAlign w:val="bottom"/>
            <w:shd w:val="clear" w:color="auto" w:fill="D2EEF5"/>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1,753,954</w:t>
            </w:r>
          </w:p>
        </w:tc>
        <w:tc>
          <w:tcPr>
            <w:tcW w:w="220" w:type="dxa"/>
            <w:vAlign w:val="bottom"/>
            <w:shd w:val="clear" w:color="auto" w:fill="D2EEF5"/>
          </w:tcPr>
          <w:p>
            <w:pPr>
              <w:spacing w:after="0"/>
              <w:rPr>
                <w:sz w:val="18"/>
                <w:szCs w:val="18"/>
                <w:color w:val="auto"/>
              </w:rPr>
            </w:pPr>
          </w:p>
        </w:tc>
        <w:tc>
          <w:tcPr>
            <w:tcW w:w="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1,745,193</w:t>
            </w:r>
          </w:p>
        </w:tc>
      </w:tr>
      <w:tr>
        <w:trPr>
          <w:trHeight w:val="216"/>
        </w:trPr>
        <w:tc>
          <w:tcPr>
            <w:tcW w:w="7200" w:type="dxa"/>
            <w:vAlign w:val="bottom"/>
            <w:tcBorders>
              <w:bottom w:val="single" w:sz="8" w:color="D2EEF5"/>
            </w:tcBorders>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1,710,500</w:t>
            </w:r>
          </w:p>
        </w:tc>
        <w:tc>
          <w:tcPr>
            <w:tcW w:w="220" w:type="dxa"/>
            <w:vAlign w:val="bottom"/>
            <w:tcBorders>
              <w:bottom w:val="single" w:sz="8" w:color="D2EE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1,329,655</w:t>
            </w:r>
          </w:p>
        </w:tc>
      </w:tr>
      <w:tr>
        <w:trPr>
          <w:trHeight w:val="210"/>
        </w:trPr>
        <w:tc>
          <w:tcPr>
            <w:tcW w:w="7200" w:type="dxa"/>
            <w:vAlign w:val="bottom"/>
            <w:shd w:val="clear" w:color="auto" w:fill="D2EEF5"/>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D2EEF5"/>
          </w:tcPr>
          <w:p>
            <w:pPr>
              <w:spacing w:after="0"/>
              <w:rPr>
                <w:sz w:val="18"/>
                <w:szCs w:val="18"/>
                <w:color w:val="auto"/>
              </w:rPr>
            </w:pPr>
          </w:p>
        </w:tc>
        <w:tc>
          <w:tcPr>
            <w:tcW w:w="11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22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3,074,848</w:t>
            </w:r>
          </w:p>
        </w:tc>
      </w:tr>
      <w:tr>
        <w:trPr>
          <w:trHeight w:val="216"/>
        </w:trPr>
        <w:tc>
          <w:tcPr>
            <w:tcW w:w="7200" w:type="dxa"/>
            <w:vAlign w:val="bottom"/>
            <w:tcBorders>
              <w:bottom w:val="single" w:sz="8" w:color="D2EEF5"/>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220" w:type="dxa"/>
            <w:vAlign w:val="bottom"/>
            <w:tcBorders>
              <w:bottom w:val="single" w:sz="8" w:color="D2EE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3,074,848</w:t>
            </w:r>
          </w:p>
        </w:tc>
      </w:tr>
      <w:tr>
        <w:trPr>
          <w:trHeight w:val="209"/>
        </w:trPr>
        <w:tc>
          <w:tcPr>
            <w:tcW w:w="720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00" w:type="dxa"/>
            <w:vAlign w:val="bottom"/>
            <w:shd w:val="clear" w:color="auto" w:fill="D2EEF5"/>
          </w:tcPr>
          <w:p>
            <w:pPr>
              <w:spacing w:after="0"/>
              <w:rPr>
                <w:sz w:val="18"/>
                <w:szCs w:val="18"/>
                <w:color w:val="auto"/>
              </w:rPr>
            </w:pPr>
          </w:p>
        </w:tc>
        <w:tc>
          <w:tcPr>
            <w:tcW w:w="22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20" w:type="dxa"/>
            <w:vAlign w:val="bottom"/>
            <w:shd w:val="clear" w:color="auto" w:fill="D2EEF5"/>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7"/>
        </w:trPr>
        <w:tc>
          <w:tcPr>
            <w:tcW w:w="7200" w:type="dxa"/>
            <w:vAlign w:val="bottom"/>
            <w:shd w:val="clear" w:color="auto" w:fill="D2EEF5"/>
          </w:tcPr>
          <w:p>
            <w:pPr>
              <w:ind w:left="120"/>
              <w:spacing w:after="0" w:line="196"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w:t>
            </w:r>
          </w:p>
        </w:tc>
        <w:tc>
          <w:tcPr>
            <w:tcW w:w="140" w:type="dxa"/>
            <w:vAlign w:val="bottom"/>
            <w:shd w:val="clear" w:color="auto" w:fill="D2EEF5"/>
          </w:tcPr>
          <w:p>
            <w:pPr>
              <w:spacing w:after="0"/>
              <w:rPr>
                <w:sz w:val="17"/>
                <w:szCs w:val="17"/>
                <w:color w:val="auto"/>
              </w:rPr>
            </w:pPr>
          </w:p>
        </w:tc>
        <w:tc>
          <w:tcPr>
            <w:tcW w:w="1100" w:type="dxa"/>
            <w:vAlign w:val="bottom"/>
            <w:shd w:val="clear" w:color="auto" w:fill="D2EEF5"/>
          </w:tcPr>
          <w:p>
            <w:pPr>
              <w:spacing w:after="0"/>
              <w:rPr>
                <w:sz w:val="17"/>
                <w:szCs w:val="17"/>
                <w:color w:val="auto"/>
              </w:rPr>
            </w:pPr>
          </w:p>
        </w:tc>
        <w:tc>
          <w:tcPr>
            <w:tcW w:w="22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1120" w:type="dxa"/>
            <w:vAlign w:val="bottom"/>
            <w:shd w:val="clear" w:color="auto" w:fill="D2EEF5"/>
          </w:tcPr>
          <w:p>
            <w:pPr>
              <w:spacing w:after="0"/>
              <w:rPr>
                <w:sz w:val="17"/>
                <w:szCs w:val="17"/>
                <w:color w:val="auto"/>
              </w:rPr>
            </w:pPr>
          </w:p>
        </w:tc>
      </w:tr>
      <w:tr>
        <w:trPr>
          <w:trHeight w:val="235"/>
        </w:trPr>
        <w:tc>
          <w:tcPr>
            <w:tcW w:w="7200" w:type="dxa"/>
            <w:vAlign w:val="bottom"/>
            <w:shd w:val="clear" w:color="auto" w:fill="D2EEF5"/>
          </w:tcPr>
          <w:p>
            <w:pPr>
              <w:ind w:left="240"/>
              <w:spacing w:after="0"/>
              <w:rPr>
                <w:sz w:val="20"/>
                <w:szCs w:val="20"/>
                <w:color w:val="auto"/>
              </w:rPr>
            </w:pPr>
            <w:r>
              <w:rPr>
                <w:rFonts w:ascii="Times New Roman" w:cs="Times New Roman" w:eastAsia="Times New Roman" w:hAnsi="Times New Roman"/>
                <w:sz w:val="18"/>
                <w:szCs w:val="18"/>
                <w:color w:val="auto"/>
              </w:rPr>
              <w:t>at December 31, 2024 and 2023, respectively</w:t>
            </w:r>
          </w:p>
        </w:tc>
        <w:tc>
          <w:tcPr>
            <w:tcW w:w="140" w:type="dxa"/>
            <w:vAlign w:val="bottom"/>
            <w:shd w:val="clear" w:color="auto" w:fill="D2EEF5"/>
          </w:tcPr>
          <w:p>
            <w:pPr>
              <w:spacing w:after="0"/>
              <w:rPr>
                <w:sz w:val="20"/>
                <w:szCs w:val="20"/>
                <w:color w:val="auto"/>
              </w:rPr>
            </w:pPr>
          </w:p>
        </w:tc>
        <w:tc>
          <w:tcPr>
            <w:tcW w:w="1320" w:type="dxa"/>
            <w:vAlign w:val="bottom"/>
            <w:gridSpan w:val="2"/>
            <w:shd w:val="clear" w:color="auto" w:fill="D2EEF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2EEF5"/>
          </w:tcPr>
          <w:p>
            <w:pPr>
              <w:spacing w:after="0"/>
              <w:rPr>
                <w:sz w:val="20"/>
                <w:szCs w:val="20"/>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720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Common stock, $0.001 par value, 30 million shares authorized, 10.7 million and 8.9 million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5"/>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as of December 31, 2024 and 2023, respectively (see Note 8)</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16"/>
        </w:trPr>
        <w:tc>
          <w:tcPr>
            <w:tcW w:w="72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D2EEF5"/>
          </w:tcPr>
          <w:p>
            <w:pPr>
              <w:spacing w:after="0"/>
              <w:rPr>
                <w:sz w:val="18"/>
                <w:szCs w:val="18"/>
                <w:color w:val="auto"/>
              </w:rPr>
            </w:pPr>
          </w:p>
        </w:tc>
        <w:tc>
          <w:tcPr>
            <w:tcW w:w="11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465,564,876</w:t>
            </w:r>
          </w:p>
        </w:tc>
        <w:tc>
          <w:tcPr>
            <w:tcW w:w="22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450,329,515</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(447,017,178)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(436,285,863)</w:t>
            </w:r>
          </w:p>
        </w:tc>
      </w:tr>
      <w:tr>
        <w:trPr>
          <w:trHeight w:val="210"/>
        </w:trPr>
        <w:tc>
          <w:tcPr>
            <w:tcW w:w="720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D2EEF5"/>
          </w:tcPr>
          <w:p>
            <w:pPr>
              <w:spacing w:after="0"/>
              <w:rPr>
                <w:sz w:val="18"/>
                <w:szCs w:val="18"/>
                <w:color w:val="auto"/>
              </w:rPr>
            </w:pPr>
          </w:p>
        </w:tc>
        <w:tc>
          <w:tcPr>
            <w:tcW w:w="11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18,558,406</w:t>
            </w:r>
          </w:p>
        </w:tc>
        <w:tc>
          <w:tcPr>
            <w:tcW w:w="220" w:type="dxa"/>
            <w:vAlign w:val="bottom"/>
            <w:tcBorders>
              <w:top w:val="single" w:sz="8" w:color="D2EEF5"/>
            </w:tcBorders>
            <w:shd w:val="clear" w:color="auto" w:fill="D2EEF5"/>
          </w:tcPr>
          <w:p>
            <w:pPr>
              <w:spacing w:after="0"/>
              <w:rPr>
                <w:sz w:val="18"/>
                <w:szCs w:val="18"/>
                <w:color w:val="auto"/>
              </w:rPr>
            </w:pPr>
          </w:p>
        </w:tc>
        <w:tc>
          <w:tcPr>
            <w:tcW w:w="140" w:type="dxa"/>
            <w:vAlign w:val="bottom"/>
            <w:tcBorders>
              <w:top w:val="single" w:sz="8" w:color="auto"/>
              <w:bottom w:val="single" w:sz="8" w:color="auto"/>
            </w:tcBorders>
            <w:shd w:val="clear" w:color="auto" w:fill="D2EEF5"/>
          </w:tcPr>
          <w:p>
            <w:pPr>
              <w:spacing w:after="0"/>
              <w:rPr>
                <w:sz w:val="18"/>
                <w:szCs w:val="18"/>
                <w:color w:val="auto"/>
              </w:rPr>
            </w:pPr>
          </w:p>
        </w:tc>
        <w:tc>
          <w:tcPr>
            <w:tcW w:w="1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14,052,543</w:t>
            </w: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2240" w:h="15840" w:orient="portrait"/>
          <w:cols w:equalWidth="0" w:num="1">
            <w:col w:w="9920"/>
          </w:cols>
          <w:pgMar w:left="116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ectPr>
          <w:pgSz w:w="12240" w:h="15840" w:orient="portrait"/>
          <w:cols w:equalWidth="0" w:num="1">
            <w:col w:w="9920"/>
          </w:cols>
          <w:pgMar w:left="1160" w:top="441" w:right="116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1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80" w:type="dxa"/>
            <w:vAlign w:val="bottom"/>
            <w:tcBorders>
              <w:bottom w:val="single" w:sz="8" w:color="D2EEF5"/>
            </w:tcBorders>
          </w:tcPr>
          <w:p>
            <w:pPr>
              <w:spacing w:after="0"/>
              <w:rPr>
                <w:sz w:val="13"/>
                <w:szCs w:val="13"/>
                <w:color w:val="auto"/>
              </w:rPr>
            </w:pPr>
          </w:p>
        </w:tc>
        <w:tc>
          <w:tcPr>
            <w:tcW w:w="1240" w:type="dxa"/>
            <w:vAlign w:val="bottom"/>
            <w:tcBorders>
              <w:bottom w:val="single" w:sz="8" w:color="D2EEF5"/>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D2EEF5"/>
            </w:tcBorders>
          </w:tcPr>
          <w:p>
            <w:pPr>
              <w:spacing w:after="0"/>
              <w:rPr>
                <w:sz w:val="13"/>
                <w:szCs w:val="13"/>
                <w:color w:val="auto"/>
              </w:rPr>
            </w:pPr>
          </w:p>
        </w:tc>
        <w:tc>
          <w:tcPr>
            <w:tcW w:w="100" w:type="dxa"/>
            <w:vAlign w:val="bottom"/>
            <w:tcBorders>
              <w:top w:val="single" w:sz="8" w:color="auto"/>
              <w:bottom w:val="single" w:sz="8" w:color="D2EEF5"/>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0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income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6,591,080</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Borders>
              <w:top w:val="single" w:sz="8" w:color="D2EEF5"/>
            </w:tcBorders>
            <w:shd w:val="clear" w:color="auto" w:fill="D2EEF5"/>
          </w:tcPr>
          <w:p>
            <w:pPr>
              <w:spacing w:after="0"/>
              <w:rPr>
                <w:sz w:val="18"/>
                <w:szCs w:val="18"/>
                <w:color w:val="auto"/>
              </w:rPr>
            </w:pPr>
          </w:p>
        </w:tc>
        <w:tc>
          <w:tcPr>
            <w:tcW w:w="160" w:type="dxa"/>
            <w:vAlign w:val="bottom"/>
            <w:tcBorders>
              <w:top w:val="single" w:sz="8" w:color="auto"/>
              <w:bottom w:val="single" w:sz="8" w:color="auto"/>
            </w:tcBorders>
            <w:shd w:val="clear" w:color="auto" w:fill="D2EEF5"/>
          </w:tcPr>
          <w:p>
            <w:pPr>
              <w:spacing w:after="0"/>
              <w:rPr>
                <w:sz w:val="18"/>
                <w:szCs w:val="18"/>
                <w:color w:val="auto"/>
              </w:rPr>
            </w:pPr>
          </w:p>
        </w:tc>
        <w:tc>
          <w:tcPr>
            <w:tcW w:w="10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6,591,080</w:t>
            </w:r>
          </w:p>
        </w:tc>
        <w:tc>
          <w:tcPr>
            <w:tcW w:w="120" w:type="dxa"/>
            <w:vAlign w:val="bottom"/>
            <w:tcBorders>
              <w:top w:val="single" w:sz="8" w:color="D2EEF5"/>
            </w:tcBorders>
            <w:shd w:val="clear" w:color="auto" w:fill="D2EEF5"/>
          </w:tcPr>
          <w:p>
            <w:pPr>
              <w:spacing w:after="0"/>
              <w:rPr>
                <w:sz w:val="18"/>
                <w:szCs w:val="18"/>
                <w:color w:val="auto"/>
              </w:rPr>
            </w:pPr>
          </w:p>
        </w:tc>
        <w:tc>
          <w:tcPr>
            <w:tcW w:w="100" w:type="dxa"/>
            <w:vAlign w:val="bottom"/>
            <w:tcBorders>
              <w:top w:val="single" w:sz="8" w:color="D2EEF5"/>
            </w:tcBorders>
            <w:shd w:val="clear" w:color="auto" w:fill="D2EEF5"/>
          </w:tcPr>
          <w:p>
            <w:pPr>
              <w:spacing w:after="0"/>
              <w:rPr>
                <w:sz w:val="18"/>
                <w:szCs w:val="18"/>
                <w:color w:val="auto"/>
              </w:rPr>
            </w:pPr>
          </w:p>
        </w:tc>
        <w:tc>
          <w:tcPr>
            <w:tcW w:w="180" w:type="dxa"/>
            <w:vAlign w:val="bottom"/>
            <w:tcBorders>
              <w:top w:val="single" w:sz="8" w:color="auto"/>
              <w:bottom w:val="single" w:sz="8" w:color="auto"/>
            </w:tcBorders>
            <w:shd w:val="clear" w:color="auto" w:fill="D2EEF5"/>
          </w:tcPr>
          <w:p>
            <w:pPr>
              <w:spacing w:after="0"/>
              <w:rPr>
                <w:sz w:val="18"/>
                <w:szCs w:val="18"/>
                <w:color w:val="auto"/>
              </w:rPr>
            </w:pPr>
          </w:p>
        </w:tc>
        <w:tc>
          <w:tcPr>
            <w:tcW w:w="10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3,311,133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13,467,845</w:t>
            </w: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10,416,789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D2EEF5"/>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Borders>
              <w:bottom w:val="single" w:sz="8" w:color="D2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4,241,607</w:t>
            </w:r>
          </w:p>
        </w:tc>
        <w:tc>
          <w:tcPr>
            <w:tcW w:w="120" w:type="dxa"/>
            <w:vAlign w:val="bottom"/>
            <w:tcBorders>
              <w:bottom w:val="single" w:sz="8" w:color="D2EEF5"/>
            </w:tcBorders>
          </w:tcPr>
          <w:p>
            <w:pPr>
              <w:spacing w:after="0"/>
              <w:rPr>
                <w:sz w:val="18"/>
                <w:szCs w:val="18"/>
                <w:color w:val="auto"/>
              </w:rPr>
            </w:pPr>
          </w:p>
        </w:tc>
        <w:tc>
          <w:tcPr>
            <w:tcW w:w="100" w:type="dxa"/>
            <w:vAlign w:val="bottom"/>
            <w:tcBorders>
              <w:bottom w:val="single" w:sz="8" w:color="D2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17,709,452</w:t>
            </w: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17,892,511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2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0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D2EEF5"/>
            </w:tcBorders>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Borders>
              <w:bottom w:val="single" w:sz="8" w:color="D2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437,010</w:t>
            </w:r>
          </w:p>
        </w:tc>
        <w:tc>
          <w:tcPr>
            <w:tcW w:w="120" w:type="dxa"/>
            <w:vAlign w:val="bottom"/>
            <w:tcBorders>
              <w:bottom w:val="single" w:sz="8" w:color="D2EEF5"/>
            </w:tcBorders>
          </w:tcPr>
          <w:p>
            <w:pPr>
              <w:spacing w:after="0"/>
              <w:rPr>
                <w:sz w:val="18"/>
                <w:szCs w:val="18"/>
                <w:color w:val="auto"/>
              </w:rPr>
            </w:pPr>
          </w:p>
        </w:tc>
        <w:tc>
          <w:tcPr>
            <w:tcW w:w="100" w:type="dxa"/>
            <w:vAlign w:val="bottom"/>
            <w:tcBorders>
              <w:bottom w:val="single" w:sz="8" w:color="D2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240" w:type="dxa"/>
            <w:vAlign w:val="bottom"/>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(10,681,362)</w:t>
            </w: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(14,042,220)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D2EEF5"/>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D2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49,953</w:t>
            </w:r>
          </w:p>
        </w:tc>
        <w:tc>
          <w:tcPr>
            <w:tcW w:w="120" w:type="dxa"/>
            <w:vAlign w:val="bottom"/>
            <w:tcBorders>
              <w:bottom w:val="single" w:sz="8" w:color="D2EEF5"/>
            </w:tcBorders>
          </w:tcPr>
          <w:p>
            <w:pPr>
              <w:spacing w:after="0"/>
              <w:rPr>
                <w:sz w:val="18"/>
                <w:szCs w:val="18"/>
                <w:color w:val="auto"/>
              </w:rPr>
            </w:pPr>
          </w:p>
        </w:tc>
        <w:tc>
          <w:tcPr>
            <w:tcW w:w="100" w:type="dxa"/>
            <w:vAlign w:val="bottom"/>
            <w:tcBorders>
              <w:bottom w:val="single" w:sz="8" w:color="D2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2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(10,731,315)</w:t>
            </w: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(14,045,895)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2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0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Gain on disposal of discontinued operations, net of $63,000 in tax</w:t>
            </w:r>
          </w:p>
        </w:tc>
        <w:tc>
          <w:tcPr>
            <w:tcW w:w="12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120" w:type="dxa"/>
            <w:vAlign w:val="bottom"/>
            <w:gridSpan w:val="2"/>
            <w:shd w:val="clear" w:color="auto" w:fill="D2EEF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8,731,487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D2EEF5"/>
            </w:tcBorders>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240" w:type="dxa"/>
            <w:vAlign w:val="bottom"/>
            <w:tcBorders>
              <w:bottom w:val="single" w:sz="8" w:color="D2EEF5"/>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2EEF5"/>
            </w:tcBorders>
          </w:tcPr>
          <w:p>
            <w:pPr>
              <w:spacing w:after="0"/>
              <w:rPr>
                <w:sz w:val="18"/>
                <w:szCs w:val="18"/>
                <w:color w:val="auto"/>
              </w:rPr>
            </w:pPr>
          </w:p>
        </w:tc>
        <w:tc>
          <w:tcPr>
            <w:tcW w:w="100" w:type="dxa"/>
            <w:vAlign w:val="bottom"/>
            <w:tcBorders>
              <w:bottom w:val="single" w:sz="8" w:color="D2EEF5"/>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tcBorders>
              <w:bottom w:val="single" w:sz="8" w:color="D2EEF5"/>
            </w:tcBorders>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(10,731,315)</w:t>
            </w:r>
          </w:p>
        </w:tc>
        <w:tc>
          <w:tcPr>
            <w:tcW w:w="120" w:type="dxa"/>
            <w:vAlign w:val="bottom"/>
            <w:tcBorders>
              <w:bottom w:val="single" w:sz="8" w:color="D2EEF5"/>
            </w:tcBorders>
            <w:shd w:val="clear" w:color="auto" w:fill="D2EEF5"/>
          </w:tcPr>
          <w:p>
            <w:pPr>
              <w:spacing w:after="0"/>
              <w:rPr>
                <w:sz w:val="18"/>
                <w:szCs w:val="18"/>
                <w:color w:val="auto"/>
              </w:rPr>
            </w:pPr>
          </w:p>
        </w:tc>
        <w:tc>
          <w:tcPr>
            <w:tcW w:w="10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(8,236,814)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Net earnings (loss) per share:</w:t>
            </w:r>
          </w:p>
        </w:tc>
        <w:tc>
          <w:tcPr>
            <w:tcW w:w="124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0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tcBorders>
              <w:top w:val="single" w:sz="8" w:color="D2EEF5"/>
              <w:bottom w:val="single" w:sz="8" w:color="D2EEF5"/>
            </w:tcBorders>
            <w:shd w:val="clear" w:color="auto" w:fill="D2EEF5"/>
          </w:tcPr>
          <w:p>
            <w:pPr>
              <w:ind w:left="100"/>
              <w:spacing w:after="0" w:line="196" w:lineRule="exact"/>
              <w:rPr>
                <w:sz w:val="20"/>
                <w:szCs w:val="20"/>
                <w:color w:val="auto"/>
              </w:rPr>
            </w:pPr>
            <w:r>
              <w:rPr>
                <w:rFonts w:ascii="Times New Roman" w:cs="Times New Roman" w:eastAsia="Times New Roman" w:hAnsi="Times New Roman"/>
                <w:sz w:val="18"/>
                <w:szCs w:val="18"/>
                <w:color w:val="auto"/>
              </w:rPr>
              <w:t>Income from discontinued operations, basic and diluted</w:t>
            </w:r>
          </w:p>
        </w:tc>
        <w:tc>
          <w:tcPr>
            <w:tcW w:w="1240" w:type="dxa"/>
            <w:vAlign w:val="bottom"/>
            <w:tcBorders>
              <w:top w:val="single" w:sz="8" w:color="D2EEF5"/>
              <w:bottom w:val="single" w:sz="8" w:color="D2EEF5"/>
            </w:tcBorders>
            <w:shd w:val="clear" w:color="auto" w:fill="D2EEF5"/>
          </w:tcPr>
          <w:p>
            <w:pPr>
              <w:spacing w:after="0"/>
              <w:rPr>
                <w:sz w:val="17"/>
                <w:szCs w:val="17"/>
                <w:color w:val="auto"/>
              </w:rPr>
            </w:pPr>
          </w:p>
        </w:tc>
        <w:tc>
          <w:tcPr>
            <w:tcW w:w="1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D2EEF5"/>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2EEF5"/>
              <w:bottom w:val="single" w:sz="8" w:color="D2EEF5"/>
            </w:tcBorders>
            <w:shd w:val="clear" w:color="auto" w:fill="D2EEF5"/>
          </w:tcPr>
          <w:p>
            <w:pPr>
              <w:spacing w:after="0"/>
              <w:rPr>
                <w:sz w:val="17"/>
                <w:szCs w:val="17"/>
                <w:color w:val="auto"/>
              </w:rPr>
            </w:pPr>
          </w:p>
        </w:tc>
        <w:tc>
          <w:tcPr>
            <w:tcW w:w="100" w:type="dxa"/>
            <w:vAlign w:val="bottom"/>
            <w:tcBorders>
              <w:top w:val="single" w:sz="8" w:color="D2EEF5"/>
              <w:bottom w:val="single" w:sz="8" w:color="D2EEF5"/>
            </w:tcBorders>
            <w:shd w:val="clear" w:color="auto" w:fill="D2EEF5"/>
          </w:tcPr>
          <w:p>
            <w:pPr>
              <w:spacing w:after="0"/>
              <w:rPr>
                <w:sz w:val="17"/>
                <w:szCs w:val="17"/>
                <w:color w:val="auto"/>
              </w:rPr>
            </w:pPr>
          </w:p>
        </w:tc>
        <w:tc>
          <w:tcPr>
            <w:tcW w:w="180" w:type="dxa"/>
            <w:vAlign w:val="bottom"/>
            <w:tcBorders>
              <w:top w:val="single" w:sz="8" w:color="auto"/>
              <w:bottom w:val="single" w:sz="8" w:color="auto"/>
            </w:tcBorders>
            <w:shd w:val="clear" w:color="auto" w:fill="D2EEF5"/>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D2EEF5"/>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80" w:type="dxa"/>
            <w:vAlign w:val="bottom"/>
            <w:tcBorders>
              <w:bottom w:val="single" w:sz="8" w:color="D2EEF5"/>
            </w:tcBorders>
            <w:vMerge w:val="continue"/>
          </w:tcPr>
          <w:p>
            <w:pPr>
              <w:spacing w:after="0"/>
              <w:rPr>
                <w:sz w:val="20"/>
                <w:szCs w:val="20"/>
                <w:color w:val="auto"/>
              </w:rPr>
            </w:pPr>
          </w:p>
        </w:tc>
        <w:tc>
          <w:tcPr>
            <w:tcW w:w="1240" w:type="dxa"/>
            <w:vAlign w:val="bottom"/>
            <w:tcBorders>
              <w:bottom w:val="single" w:sz="8" w:color="D2EEF5"/>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D2EEF5"/>
            </w:tcBorders>
            <w:vMerge w:val="continue"/>
          </w:tcPr>
          <w:p>
            <w:pPr>
              <w:spacing w:after="0"/>
              <w:rPr>
                <w:sz w:val="20"/>
                <w:szCs w:val="20"/>
                <w:color w:val="auto"/>
              </w:rPr>
            </w:pPr>
          </w:p>
        </w:tc>
        <w:tc>
          <w:tcPr>
            <w:tcW w:w="100" w:type="dxa"/>
            <w:vAlign w:val="bottom"/>
            <w:tcBorders>
              <w:bottom w:val="single" w:sz="8" w:color="D2EEF5"/>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80" w:type="dxa"/>
            <w:vAlign w:val="bottom"/>
            <w:shd w:val="clear" w:color="auto" w:fill="D2EEF5"/>
          </w:tcPr>
          <w:p>
            <w:pPr>
              <w:spacing w:after="0"/>
              <w:rPr>
                <w:sz w:val="17"/>
                <w:szCs w:val="17"/>
                <w:color w:val="auto"/>
              </w:rPr>
            </w:pPr>
          </w:p>
        </w:tc>
        <w:tc>
          <w:tcPr>
            <w:tcW w:w="124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00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100" w:type="dxa"/>
            <w:vAlign w:val="bottom"/>
            <w:shd w:val="clear" w:color="auto" w:fill="D2EEF5"/>
          </w:tcPr>
          <w:p>
            <w:pPr>
              <w:spacing w:after="0"/>
              <w:rPr>
                <w:sz w:val="17"/>
                <w:szCs w:val="17"/>
                <w:color w:val="auto"/>
              </w:rPr>
            </w:pPr>
          </w:p>
        </w:tc>
        <w:tc>
          <w:tcPr>
            <w:tcW w:w="180" w:type="dxa"/>
            <w:vAlign w:val="bottom"/>
            <w:shd w:val="clear" w:color="auto" w:fill="D2EEF5"/>
          </w:tcPr>
          <w:p>
            <w:pPr>
              <w:spacing w:after="0"/>
              <w:rPr>
                <w:sz w:val="17"/>
                <w:szCs w:val="17"/>
                <w:color w:val="auto"/>
              </w:rPr>
            </w:pPr>
          </w:p>
        </w:tc>
        <w:tc>
          <w:tcPr>
            <w:tcW w:w="1020" w:type="dxa"/>
            <w:vAlign w:val="bottom"/>
            <w:shd w:val="clear" w:color="auto" w:fill="D2EEF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D2EEF5"/>
            </w:tcBorders>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Borders>
              <w:bottom w:val="single" w:sz="8" w:color="D2EEF5"/>
            </w:tcBorders>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8,980,207</w:t>
            </w:r>
          </w:p>
        </w:tc>
        <w:tc>
          <w:tcPr>
            <w:tcW w:w="120" w:type="dxa"/>
            <w:vAlign w:val="bottom"/>
            <w:tcBorders>
              <w:bottom w:val="single" w:sz="8" w:color="D2EEF5"/>
            </w:tcBorders>
            <w:shd w:val="clear" w:color="auto" w:fill="D2EEF5"/>
          </w:tcPr>
          <w:p>
            <w:pPr>
              <w:spacing w:after="0"/>
              <w:rPr>
                <w:sz w:val="18"/>
                <w:szCs w:val="18"/>
                <w:color w:val="auto"/>
              </w:rPr>
            </w:pPr>
          </w:p>
        </w:tc>
        <w:tc>
          <w:tcPr>
            <w:tcW w:w="100" w:type="dxa"/>
            <w:vAlign w:val="bottom"/>
            <w:tcBorders>
              <w:bottom w:val="single" w:sz="8" w:color="D2EEF5"/>
            </w:tcBorders>
            <w:shd w:val="clear" w:color="auto" w:fill="D2EEF5"/>
          </w:tcPr>
          <w:p>
            <w:pPr>
              <w:spacing w:after="0"/>
              <w:rPr>
                <w:sz w:val="18"/>
                <w:szCs w:val="18"/>
                <w:color w:val="auto"/>
              </w:rPr>
            </w:pPr>
          </w:p>
        </w:tc>
        <w:tc>
          <w:tcPr>
            <w:tcW w:w="180" w:type="dxa"/>
            <w:vAlign w:val="bottom"/>
            <w:tcBorders>
              <w:bottom w:val="single" w:sz="8" w:color="auto"/>
            </w:tcBorders>
            <w:shd w:val="clear" w:color="auto" w:fill="D2EEF5"/>
          </w:tcPr>
          <w:p>
            <w:pPr>
              <w:spacing w:after="0"/>
              <w:rPr>
                <w:sz w:val="18"/>
                <w:szCs w:val="18"/>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8,809,382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8,980,207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8,809,382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ectPr>
          <w:pgSz w:w="12240" w:h="15840" w:orient="portrait"/>
          <w:cols w:equalWidth="0" w:num="1">
            <w:col w:w="9920"/>
          </w:cols>
          <w:pgMar w:left="1160" w:top="428" w:right="116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8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50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8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60" w:type="dxa"/>
            <w:vAlign w:val="bottom"/>
            <w:tcBorders>
              <w:top w:val="single" w:sz="8" w:color="auto"/>
            </w:tcBorders>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2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50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9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8,405,771</w:t>
            </w:r>
          </w:p>
        </w:tc>
        <w:tc>
          <w:tcPr>
            <w:tcW w:w="140" w:type="dxa"/>
            <w:vAlign w:val="bottom"/>
            <w:tcBorders>
              <w:top w:val="single" w:sz="8" w:color="D2EEF5"/>
            </w:tcBorders>
            <w:shd w:val="clear" w:color="auto" w:fill="D2EEF5"/>
          </w:tcPr>
          <w:p>
            <w:pPr>
              <w:spacing w:after="0"/>
              <w:rPr>
                <w:sz w:val="18"/>
                <w:szCs w:val="18"/>
                <w:color w:val="auto"/>
              </w:rPr>
            </w:pPr>
          </w:p>
        </w:tc>
        <w:tc>
          <w:tcPr>
            <w:tcW w:w="6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8,406</w:t>
            </w:r>
          </w:p>
        </w:tc>
        <w:tc>
          <w:tcPr>
            <w:tcW w:w="140" w:type="dxa"/>
            <w:vAlign w:val="bottom"/>
            <w:tcBorders>
              <w:top w:val="single" w:sz="8" w:color="D2EEF5"/>
            </w:tcBorders>
            <w:shd w:val="clear" w:color="auto" w:fill="D2EEF5"/>
          </w:tcPr>
          <w:p>
            <w:pPr>
              <w:spacing w:after="0"/>
              <w:rPr>
                <w:sz w:val="18"/>
                <w:szCs w:val="18"/>
                <w:color w:val="auto"/>
              </w:rPr>
            </w:pPr>
          </w:p>
        </w:tc>
        <w:tc>
          <w:tcPr>
            <w:tcW w:w="10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447,641,680</w:t>
            </w:r>
          </w:p>
        </w:tc>
        <w:tc>
          <w:tcPr>
            <w:tcW w:w="160" w:type="dxa"/>
            <w:vAlign w:val="bottom"/>
            <w:tcBorders>
              <w:top w:val="single" w:sz="8" w:color="D2EEF5"/>
            </w:tcBorders>
            <w:shd w:val="clear" w:color="auto" w:fill="D2EEF5"/>
          </w:tcPr>
          <w:p>
            <w:pPr>
              <w:spacing w:after="0"/>
              <w:rPr>
                <w:sz w:val="18"/>
                <w:szCs w:val="18"/>
                <w:color w:val="auto"/>
              </w:rPr>
            </w:pPr>
          </w:p>
        </w:tc>
        <w:tc>
          <w:tcPr>
            <w:tcW w:w="11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(428,049,049)</w:t>
            </w:r>
          </w:p>
        </w:tc>
        <w:tc>
          <w:tcPr>
            <w:tcW w:w="160" w:type="dxa"/>
            <w:vAlign w:val="bottom"/>
            <w:tcBorders>
              <w:top w:val="single" w:sz="8" w:color="D2EEF5"/>
            </w:tcBorders>
            <w:shd w:val="clear" w:color="auto" w:fill="D2EEF5"/>
          </w:tcPr>
          <w:p>
            <w:pPr>
              <w:spacing w:after="0"/>
              <w:rPr>
                <w:sz w:val="18"/>
                <w:szCs w:val="18"/>
                <w:color w:val="auto"/>
              </w:rPr>
            </w:pPr>
          </w:p>
        </w:tc>
        <w:tc>
          <w:tcPr>
            <w:tcW w:w="10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b w:val="1"/>
                <w:bCs w:val="1"/>
                <w:color w:val="auto"/>
              </w:rPr>
              <w:t>19,601,037</w:t>
            </w:r>
          </w:p>
        </w:tc>
        <w:tc>
          <w:tcPr>
            <w:tcW w:w="0" w:type="dxa"/>
            <w:vAlign w:val="bottom"/>
          </w:tcPr>
          <w:p>
            <w:pPr>
              <w:spacing w:after="0"/>
              <w:rPr>
                <w:sz w:val="1"/>
                <w:szCs w:val="1"/>
                <w:color w:val="auto"/>
              </w:rPr>
            </w:pPr>
          </w:p>
        </w:tc>
      </w:tr>
      <w:tr>
        <w:trPr>
          <w:trHeight w:val="197"/>
        </w:trPr>
        <w:tc>
          <w:tcPr>
            <w:tcW w:w="450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Shares issued pursuant to ATM and Lincoln Park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277,834</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1,014,363</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1,014,640</w:t>
            </w:r>
          </w:p>
        </w:tc>
        <w:tc>
          <w:tcPr>
            <w:tcW w:w="0" w:type="dxa"/>
            <w:vAlign w:val="bottom"/>
          </w:tcPr>
          <w:p>
            <w:pPr>
              <w:spacing w:after="0"/>
              <w:rPr>
                <w:sz w:val="1"/>
                <w:szCs w:val="1"/>
                <w:color w:val="auto"/>
              </w:rPr>
            </w:pPr>
          </w:p>
        </w:tc>
      </w:tr>
      <w:tr>
        <w:trPr>
          <w:trHeight w:val="216"/>
        </w:trPr>
        <w:tc>
          <w:tcPr>
            <w:tcW w:w="45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Issuance of common stock as commitment fee</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180,410</w:t>
            </w:r>
          </w:p>
        </w:tc>
        <w:tc>
          <w:tcPr>
            <w:tcW w:w="14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D2EEF5"/>
          </w:tcPr>
          <w:p>
            <w:pPr>
              <w:spacing w:after="0"/>
              <w:rPr>
                <w:sz w:val="18"/>
                <w:szCs w:val="18"/>
                <w:color w:val="auto"/>
              </w:rPr>
            </w:pPr>
          </w:p>
        </w:tc>
        <w:tc>
          <w:tcPr>
            <w:tcW w:w="1220" w:type="dxa"/>
            <w:vAlign w:val="bottom"/>
            <w:gridSpan w:val="2"/>
            <w:shd w:val="clear" w:color="auto" w:fill="D2EEF5"/>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from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90,450</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90,478</w:t>
            </w:r>
          </w:p>
        </w:tc>
        <w:tc>
          <w:tcPr>
            <w:tcW w:w="0" w:type="dxa"/>
            <w:vAlign w:val="bottom"/>
          </w:tcPr>
          <w:p>
            <w:pPr>
              <w:spacing w:after="0"/>
              <w:rPr>
                <w:sz w:val="1"/>
                <w:szCs w:val="1"/>
                <w:color w:val="auto"/>
              </w:rPr>
            </w:pPr>
          </w:p>
        </w:tc>
      </w:tr>
      <w:tr>
        <w:trPr>
          <w:trHeight w:val="216"/>
        </w:trPr>
        <w:tc>
          <w:tcPr>
            <w:tcW w:w="45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1,583,202</w:t>
            </w:r>
          </w:p>
        </w:tc>
        <w:tc>
          <w:tcPr>
            <w:tcW w:w="160" w:type="dxa"/>
            <w:vAlign w:val="bottom"/>
            <w:shd w:val="clear" w:color="auto" w:fill="D2EEF5"/>
          </w:tcPr>
          <w:p>
            <w:pPr>
              <w:spacing w:after="0"/>
              <w:rPr>
                <w:sz w:val="18"/>
                <w:szCs w:val="18"/>
                <w:color w:val="auto"/>
              </w:rPr>
            </w:pPr>
          </w:p>
        </w:tc>
        <w:tc>
          <w:tcPr>
            <w:tcW w:w="128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1,583,202</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(8,236,814)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(8,236,814)</w:t>
            </w:r>
          </w:p>
        </w:tc>
        <w:tc>
          <w:tcPr>
            <w:tcW w:w="0" w:type="dxa"/>
            <w:vAlign w:val="bottom"/>
          </w:tcPr>
          <w:p>
            <w:pPr>
              <w:spacing w:after="0"/>
              <w:rPr>
                <w:sz w:val="1"/>
                <w:szCs w:val="1"/>
                <w:color w:val="auto"/>
              </w:rPr>
            </w:pPr>
          </w:p>
        </w:tc>
      </w:tr>
      <w:tr>
        <w:trPr>
          <w:trHeight w:val="216"/>
        </w:trPr>
        <w:tc>
          <w:tcPr>
            <w:tcW w:w="450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Fractional shares adjustment due to reverse split</w:t>
            </w:r>
          </w:p>
        </w:tc>
        <w:tc>
          <w:tcPr>
            <w:tcW w:w="1060" w:type="dxa"/>
            <w:vAlign w:val="bottom"/>
            <w:gridSpan w:val="2"/>
            <w:shd w:val="clear" w:color="auto" w:fill="D2EEF5"/>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80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8,891,420</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8,891</w:t>
            </w:r>
          </w:p>
        </w:tc>
        <w:tc>
          <w:tcPr>
            <w:tcW w:w="1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450,329,515</w:t>
            </w:r>
          </w:p>
        </w:tc>
        <w:tc>
          <w:tcPr>
            <w:tcW w:w="1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(436,285,863)</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14,052,543</w:t>
            </w:r>
          </w:p>
        </w:tc>
        <w:tc>
          <w:tcPr>
            <w:tcW w:w="0" w:type="dxa"/>
            <w:vAlign w:val="bottom"/>
          </w:tcPr>
          <w:p>
            <w:pPr>
              <w:spacing w:after="0"/>
              <w:rPr>
                <w:sz w:val="1"/>
                <w:szCs w:val="1"/>
                <w:color w:val="auto"/>
              </w:rPr>
            </w:pPr>
          </w:p>
        </w:tc>
      </w:tr>
      <w:tr>
        <w:trPr>
          <w:trHeight w:val="216"/>
        </w:trPr>
        <w:tc>
          <w:tcPr>
            <w:tcW w:w="45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Shares purchased pursuant to ATM agreement</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40" w:type="dxa"/>
            <w:vAlign w:val="bottom"/>
            <w:shd w:val="clear" w:color="auto" w:fill="D2EEF5"/>
          </w:tcPr>
          <w:p>
            <w:pPr>
              <w:spacing w:after="0"/>
              <w:rPr>
                <w:sz w:val="18"/>
                <w:szCs w:val="18"/>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D2EEF5"/>
          </w:tcPr>
          <w:p>
            <w:pPr>
              <w:spacing w:after="0"/>
              <w:rPr>
                <w:sz w:val="18"/>
                <w:szCs w:val="18"/>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36,894</w:t>
            </w:r>
          </w:p>
        </w:tc>
        <w:tc>
          <w:tcPr>
            <w:tcW w:w="160" w:type="dxa"/>
            <w:vAlign w:val="bottom"/>
            <w:shd w:val="clear" w:color="auto" w:fill="D2EEF5"/>
          </w:tcPr>
          <w:p>
            <w:pPr>
              <w:spacing w:after="0"/>
              <w:rPr>
                <w:sz w:val="18"/>
                <w:szCs w:val="18"/>
                <w:color w:val="auto"/>
              </w:rPr>
            </w:pPr>
          </w:p>
        </w:tc>
        <w:tc>
          <w:tcPr>
            <w:tcW w:w="128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36,902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from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62,134</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62,159</w:t>
            </w:r>
          </w:p>
        </w:tc>
        <w:tc>
          <w:tcPr>
            <w:tcW w:w="0" w:type="dxa"/>
            <w:vAlign w:val="bottom"/>
          </w:tcPr>
          <w:p>
            <w:pPr>
              <w:spacing w:after="0"/>
              <w:rPr>
                <w:sz w:val="1"/>
                <w:szCs w:val="1"/>
                <w:color w:val="auto"/>
              </w:rPr>
            </w:pPr>
          </w:p>
        </w:tc>
      </w:tr>
      <w:tr>
        <w:trPr>
          <w:trHeight w:val="197"/>
        </w:trPr>
        <w:tc>
          <w:tcPr>
            <w:tcW w:w="4500" w:type="dxa"/>
            <w:vAlign w:val="bottom"/>
            <w:shd w:val="clear" w:color="auto" w:fill="D2EEF5"/>
          </w:tcPr>
          <w:p>
            <w:pPr>
              <w:spacing w:after="0" w:line="197" w:lineRule="exact"/>
              <w:rPr>
                <w:sz w:val="20"/>
                <w:szCs w:val="20"/>
                <w:color w:val="auto"/>
              </w:rPr>
            </w:pPr>
            <w:r>
              <w:rPr>
                <w:rFonts w:ascii="Times New Roman" w:cs="Times New Roman" w:eastAsia="Times New Roman" w:hAnsi="Times New Roman"/>
                <w:sz w:val="18"/>
                <w:szCs w:val="18"/>
                <w:color w:val="auto"/>
              </w:rPr>
              <w:t>Issuance of common stock, prefunded warrants and</w:t>
            </w:r>
          </w:p>
        </w:tc>
        <w:tc>
          <w:tcPr>
            <w:tcW w:w="92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66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106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1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060" w:type="dxa"/>
            <w:vAlign w:val="bottom"/>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00" w:type="dxa"/>
            <w:vAlign w:val="bottom"/>
            <w:shd w:val="clear" w:color="auto" w:fill="D2EEF5"/>
          </w:tcPr>
          <w:p>
            <w:pPr>
              <w:ind w:left="140"/>
              <w:spacing w:after="0"/>
              <w:rPr>
                <w:sz w:val="20"/>
                <w:szCs w:val="20"/>
                <w:color w:val="auto"/>
              </w:rPr>
            </w:pPr>
            <w:r>
              <w:rPr>
                <w:rFonts w:ascii="Times New Roman" w:cs="Times New Roman" w:eastAsia="Times New Roman" w:hAnsi="Times New Roman"/>
                <w:sz w:val="18"/>
                <w:szCs w:val="18"/>
                <w:color w:val="auto"/>
              </w:rPr>
              <w:t>warrants for cash, net of offering costs of $1.2 million</w:t>
            </w:r>
          </w:p>
        </w:tc>
        <w:tc>
          <w:tcPr>
            <w:tcW w:w="9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1,783,805</w:t>
            </w:r>
          </w:p>
        </w:tc>
        <w:tc>
          <w:tcPr>
            <w:tcW w:w="140" w:type="dxa"/>
            <w:vAlign w:val="bottom"/>
            <w:shd w:val="clear" w:color="auto" w:fill="D2EEF5"/>
          </w:tcPr>
          <w:p>
            <w:pPr>
              <w:spacing w:after="0"/>
              <w:rPr>
                <w:sz w:val="20"/>
                <w:szCs w:val="20"/>
                <w:color w:val="auto"/>
              </w:rPr>
            </w:pPr>
          </w:p>
        </w:tc>
        <w:tc>
          <w:tcPr>
            <w:tcW w:w="6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shd w:val="clear" w:color="auto" w:fill="D2EEF5"/>
          </w:tcPr>
          <w:p>
            <w:pPr>
              <w:spacing w:after="0"/>
              <w:rPr>
                <w:sz w:val="20"/>
                <w:szCs w:val="20"/>
                <w:color w:val="auto"/>
              </w:rPr>
            </w:pP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14,890,469</w:t>
            </w:r>
          </w:p>
        </w:tc>
        <w:tc>
          <w:tcPr>
            <w:tcW w:w="160" w:type="dxa"/>
            <w:vAlign w:val="bottom"/>
            <w:shd w:val="clear" w:color="auto" w:fill="D2EEF5"/>
          </w:tcPr>
          <w:p>
            <w:pPr>
              <w:spacing w:after="0"/>
              <w:rPr>
                <w:sz w:val="20"/>
                <w:szCs w:val="20"/>
                <w:color w:val="auto"/>
              </w:rPr>
            </w:pPr>
          </w:p>
        </w:tc>
        <w:tc>
          <w:tcPr>
            <w:tcW w:w="128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14,892,253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245,864</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245,864</w:t>
            </w:r>
          </w:p>
        </w:tc>
        <w:tc>
          <w:tcPr>
            <w:tcW w:w="0" w:type="dxa"/>
            <w:vAlign w:val="bottom"/>
          </w:tcPr>
          <w:p>
            <w:pPr>
              <w:spacing w:after="0"/>
              <w:rPr>
                <w:sz w:val="1"/>
                <w:szCs w:val="1"/>
                <w:color w:val="auto"/>
              </w:rPr>
            </w:pPr>
          </w:p>
        </w:tc>
      </w:tr>
      <w:tr>
        <w:trPr>
          <w:trHeight w:val="216"/>
        </w:trPr>
        <w:tc>
          <w:tcPr>
            <w:tcW w:w="45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D2EEF5"/>
          </w:tcPr>
          <w:p>
            <w:pPr>
              <w:jc w:val="right"/>
              <w:ind w:right="140"/>
              <w:spacing w:after="0"/>
              <w:rPr>
                <w:sz w:val="20"/>
                <w:szCs w:val="20"/>
                <w:color w:val="auto"/>
              </w:rPr>
            </w:pPr>
            <w:r>
              <w:rPr>
                <w:rFonts w:ascii="Times New Roman" w:cs="Times New Roman" w:eastAsia="Times New Roman" w:hAnsi="Times New Roman"/>
                <w:sz w:val="18"/>
                <w:szCs w:val="18"/>
                <w:color w:val="auto"/>
              </w:rPr>
              <w:t>(10,731,315)</w:t>
            </w:r>
          </w:p>
        </w:tc>
        <w:tc>
          <w:tcPr>
            <w:tcW w:w="10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(10,731,315)</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10,709,005</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10,708</w:t>
            </w:r>
          </w:p>
        </w:tc>
        <w:tc>
          <w:tcPr>
            <w:tcW w:w="1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465,564,876</w:t>
            </w: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(447,017,178)</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18,558,406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ectPr>
          <w:pgSz w:w="12240" w:h="15840" w:orient="portrait"/>
          <w:cols w:equalWidth="0" w:num="1">
            <w:col w:w="9920"/>
          </w:cols>
          <w:pgMar w:left="1160" w:top="428" w:right="1160" w:bottom="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7340" w:type="dxa"/>
            <w:vAlign w:val="bottom"/>
            <w:tcBorders>
              <w:bottom w:val="single" w:sz="8" w:color="D2EEF5"/>
            </w:tcBorders>
          </w:tcPr>
          <w:p>
            <w:pPr>
              <w:spacing w:after="0"/>
              <w:rPr>
                <w:sz w:val="13"/>
                <w:szCs w:val="13"/>
                <w:color w:val="auto"/>
              </w:rPr>
            </w:pPr>
          </w:p>
        </w:tc>
        <w:tc>
          <w:tcPr>
            <w:tcW w:w="20" w:type="dxa"/>
            <w:vAlign w:val="bottom"/>
            <w:tcBorders>
              <w:bottom w:val="single" w:sz="8" w:color="D2EEF5"/>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D2EEF5"/>
            </w:tcBorders>
          </w:tcPr>
          <w:p>
            <w:pPr>
              <w:spacing w:after="0"/>
              <w:rPr>
                <w:sz w:val="13"/>
                <w:szCs w:val="13"/>
                <w:color w:val="auto"/>
              </w:rPr>
            </w:pPr>
          </w:p>
        </w:tc>
        <w:tc>
          <w:tcPr>
            <w:tcW w:w="20" w:type="dxa"/>
            <w:vAlign w:val="bottom"/>
            <w:tcBorders>
              <w:top w:val="single" w:sz="8" w:color="auto"/>
              <w:bottom w:val="single" w:sz="8" w:color="D2EEF5"/>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3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98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(10,731,315)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(8,236,814)</w:t>
            </w:r>
          </w:p>
        </w:tc>
      </w:tr>
      <w:tr>
        <w:trPr>
          <w:trHeight w:val="216"/>
        </w:trPr>
        <w:tc>
          <w:tcPr>
            <w:tcW w:w="734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Less: gain from discontinued operations, net of $63,000 in tax</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200" w:type="dxa"/>
            <w:vAlign w:val="bottom"/>
            <w:gridSpan w:val="3"/>
            <w:shd w:val="clear" w:color="auto" w:fill="D2EEF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5,809,081</w:t>
            </w:r>
          </w:p>
        </w:tc>
      </w:tr>
      <w:tr>
        <w:trPr>
          <w:trHeight w:val="209"/>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(10,731,315)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(14,045,895)</w:t>
            </w:r>
          </w:p>
        </w:tc>
      </w:tr>
      <w:tr>
        <w:trPr>
          <w:trHeight w:val="216"/>
        </w:trPr>
        <w:tc>
          <w:tcPr>
            <w:tcW w:w="734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98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858,269</w:t>
            </w:r>
          </w:p>
        </w:tc>
      </w:tr>
      <w:tr>
        <w:trPr>
          <w:trHeight w:val="216"/>
        </w:trPr>
        <w:tc>
          <w:tcPr>
            <w:tcW w:w="7340" w:type="dxa"/>
            <w:vAlign w:val="bottom"/>
            <w:shd w:val="clear" w:color="auto" w:fill="D2EEF5"/>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98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r>
      <w:tr>
        <w:trPr>
          <w:trHeight w:val="216"/>
        </w:trPr>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861,113</w:t>
            </w:r>
          </w:p>
        </w:tc>
      </w:tr>
      <w:tr>
        <w:trPr>
          <w:trHeight w:val="216"/>
        </w:trPr>
        <w:tc>
          <w:tcPr>
            <w:tcW w:w="734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200" w:type="dxa"/>
            <w:vAlign w:val="bottom"/>
            <w:gridSpan w:val="3"/>
            <w:shd w:val="clear" w:color="auto" w:fill="D2EEF5"/>
          </w:tcPr>
          <w:p>
            <w:pPr>
              <w:jc w:val="right"/>
              <w:ind w:right="200"/>
              <w:spacing w:after="0"/>
              <w:rPr>
                <w:sz w:val="20"/>
                <w:szCs w:val="20"/>
                <w:color w:val="auto"/>
              </w:rPr>
            </w:pPr>
            <w:r>
              <w:rPr>
                <w:rFonts w:ascii="Times New Roman" w:cs="Times New Roman" w:eastAsia="Times New Roman" w:hAnsi="Times New Roman"/>
                <w:sz w:val="18"/>
                <w:szCs w:val="18"/>
                <w:color w:val="auto"/>
              </w:rPr>
              <w:t>(1,318,888)</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1,374,189</w:t>
            </w:r>
          </w:p>
        </w:tc>
      </w:tr>
      <w:tr>
        <w:trPr>
          <w:trHeight w:val="216"/>
        </w:trPr>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Related party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1,329,655</w:t>
            </w:r>
          </w:p>
        </w:tc>
      </w:tr>
      <w:tr>
        <w:trPr>
          <w:trHeight w:val="216"/>
        </w:trPr>
        <w:tc>
          <w:tcPr>
            <w:tcW w:w="734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20" w:type="dxa"/>
            <w:vAlign w:val="bottom"/>
            <w:tcBorders>
              <w:bottom w:val="single" w:sz="8" w:color="auto"/>
            </w:tcBorders>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(718,393)</w:t>
            </w:r>
          </w:p>
        </w:tc>
      </w:tr>
      <w:tr>
        <w:trPr>
          <w:trHeight w:val="209"/>
        </w:trPr>
        <w:tc>
          <w:tcPr>
            <w:tcW w:w="7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 continuing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(10,910,324)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(10,341,062)</w:t>
            </w:r>
          </w:p>
        </w:tc>
      </w:tr>
      <w:tr>
        <w:trPr>
          <w:trHeight w:val="216"/>
        </w:trPr>
        <w:tc>
          <w:tcPr>
            <w:tcW w:w="7340" w:type="dxa"/>
            <w:vAlign w:val="bottom"/>
            <w:shd w:val="clear" w:color="auto" w:fill="D2EEF5"/>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 discontinued operations</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200" w:type="dxa"/>
            <w:vAlign w:val="bottom"/>
            <w:gridSpan w:val="3"/>
            <w:shd w:val="clear" w:color="auto" w:fill="D2EEF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(6,098,899)</w:t>
            </w:r>
          </w:p>
        </w:tc>
      </w:tr>
      <w:tr>
        <w:trPr>
          <w:trHeight w:val="210"/>
        </w:trPr>
        <w:tc>
          <w:tcPr>
            <w:tcW w:w="7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(10,910,324)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(16,439,961)</w:t>
            </w:r>
          </w:p>
        </w:tc>
      </w:tr>
      <w:tr>
        <w:trPr>
          <w:trHeight w:val="216"/>
        </w:trPr>
        <w:tc>
          <w:tcPr>
            <w:tcW w:w="73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98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investing activities - discontinued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18,664,122</w:t>
            </w:r>
          </w:p>
        </w:tc>
      </w:tr>
      <w:tr>
        <w:trPr>
          <w:trHeight w:val="209"/>
        </w:trPr>
        <w:tc>
          <w:tcPr>
            <w:tcW w:w="7340" w:type="dxa"/>
            <w:vAlign w:val="bottom"/>
            <w:tcBorders>
              <w:top w:val="single" w:sz="8" w:color="D2EEF5"/>
            </w:tcBorders>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Borders>
              <w:top w:val="single" w:sz="8" w:color="D2EEF5"/>
            </w:tcBorders>
            <w:shd w:val="clear" w:color="auto" w:fill="D2EEF5"/>
          </w:tcPr>
          <w:p>
            <w:pPr>
              <w:spacing w:after="0"/>
              <w:rPr>
                <w:sz w:val="18"/>
                <w:szCs w:val="18"/>
                <w:color w:val="auto"/>
              </w:rPr>
            </w:pPr>
          </w:p>
        </w:tc>
        <w:tc>
          <w:tcPr>
            <w:tcW w:w="160" w:type="dxa"/>
            <w:vAlign w:val="bottom"/>
            <w:tcBorders>
              <w:top w:val="single" w:sz="8" w:color="auto"/>
              <w:bottom w:val="single" w:sz="8" w:color="auto"/>
            </w:tcBorders>
            <w:shd w:val="clear" w:color="auto" w:fill="D2EEF5"/>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D2EEF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D2EEF5"/>
            </w:tcBorders>
            <w:shd w:val="clear" w:color="auto" w:fill="D2EEF5"/>
          </w:tcPr>
          <w:p>
            <w:pPr>
              <w:spacing w:after="0"/>
              <w:rPr>
                <w:sz w:val="18"/>
                <w:szCs w:val="18"/>
                <w:color w:val="auto"/>
              </w:rPr>
            </w:pPr>
          </w:p>
        </w:tc>
        <w:tc>
          <w:tcPr>
            <w:tcW w:w="20" w:type="dxa"/>
            <w:vAlign w:val="bottom"/>
            <w:tcBorders>
              <w:top w:val="single" w:sz="8" w:color="D2EEF5"/>
            </w:tcBorders>
            <w:shd w:val="clear" w:color="auto" w:fill="D2EEF5"/>
          </w:tcPr>
          <w:p>
            <w:pPr>
              <w:spacing w:after="0"/>
              <w:rPr>
                <w:sz w:val="18"/>
                <w:szCs w:val="18"/>
                <w:color w:val="auto"/>
              </w:rPr>
            </w:pPr>
          </w:p>
        </w:tc>
        <w:tc>
          <w:tcPr>
            <w:tcW w:w="160" w:type="dxa"/>
            <w:vAlign w:val="bottom"/>
            <w:tcBorders>
              <w:top w:val="single" w:sz="8" w:color="auto"/>
              <w:bottom w:val="single" w:sz="8" w:color="auto"/>
            </w:tcBorders>
            <w:shd w:val="clear" w:color="auto" w:fill="D2EEF5"/>
          </w:tcPr>
          <w:p>
            <w:pPr>
              <w:spacing w:after="0"/>
              <w:rPr>
                <w:sz w:val="18"/>
                <w:szCs w:val="18"/>
                <w:color w:val="auto"/>
              </w:rPr>
            </w:pPr>
          </w:p>
        </w:tc>
        <w:tc>
          <w:tcPr>
            <w:tcW w:w="10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18,664,122</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40" w:type="dxa"/>
            <w:vAlign w:val="bottom"/>
            <w:shd w:val="clear" w:color="auto" w:fill="D2EEF5"/>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prefunded warrants and warrants, net</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9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14,929,155</w:t>
            </w:r>
          </w:p>
        </w:tc>
        <w:tc>
          <w:tcPr>
            <w:tcW w:w="2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1,014,640</w:t>
            </w:r>
          </w:p>
        </w:tc>
      </w:tr>
      <w:tr>
        <w:trPr>
          <w:trHeight w:val="216"/>
        </w:trPr>
        <w:tc>
          <w:tcPr>
            <w:tcW w:w="7340" w:type="dxa"/>
            <w:vAlign w:val="bottom"/>
            <w:tcBorders>
              <w:bottom w:val="single" w:sz="8" w:color="D2EEF5"/>
            </w:tcBorders>
          </w:tcPr>
          <w:p>
            <w:pPr>
              <w:ind w:left="220"/>
              <w:spacing w:after="0"/>
              <w:rPr>
                <w:sz w:val="20"/>
                <w:szCs w:val="20"/>
                <w:color w:val="auto"/>
              </w:rPr>
            </w:pPr>
            <w:r>
              <w:rPr>
                <w:rFonts w:ascii="Times New Roman" w:cs="Times New Roman" w:eastAsia="Times New Roman" w:hAnsi="Times New Roman"/>
                <w:sz w:val="18"/>
                <w:szCs w:val="18"/>
                <w:color w:val="auto"/>
              </w:rPr>
              <w:t>Proceeds from stock options exercise</w:t>
            </w:r>
          </w:p>
        </w:tc>
        <w:tc>
          <w:tcPr>
            <w:tcW w:w="20" w:type="dxa"/>
            <w:vAlign w:val="bottom"/>
            <w:tcBorders>
              <w:bottom w:val="single" w:sz="8" w:color="D2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62,159</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D2EEF5"/>
            </w:tcBorders>
          </w:tcPr>
          <w:p>
            <w:pPr>
              <w:spacing w:after="0"/>
              <w:rPr>
                <w:sz w:val="18"/>
                <w:szCs w:val="18"/>
                <w:color w:val="auto"/>
              </w:rPr>
            </w:pPr>
          </w:p>
        </w:tc>
        <w:tc>
          <w:tcPr>
            <w:tcW w:w="20" w:type="dxa"/>
            <w:vAlign w:val="bottom"/>
            <w:tcBorders>
              <w:bottom w:val="single" w:sz="8" w:color="D2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90,477</w:t>
            </w:r>
          </w:p>
        </w:tc>
      </w:tr>
      <w:tr>
        <w:trPr>
          <w:trHeight w:val="209"/>
        </w:trPr>
        <w:tc>
          <w:tcPr>
            <w:tcW w:w="7340" w:type="dxa"/>
            <w:vAlign w:val="bottom"/>
            <w:shd w:val="clear" w:color="auto" w:fill="D2EEF5"/>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14,991,314</w:t>
            </w:r>
          </w:p>
        </w:tc>
        <w:tc>
          <w:tcPr>
            <w:tcW w:w="20" w:type="dxa"/>
            <w:vAlign w:val="bottom"/>
            <w:tcBorders>
              <w:bottom w:val="single" w:sz="8" w:color="auto"/>
            </w:tcBorders>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1,105,117</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4,080,990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3,329,278</w:t>
            </w:r>
          </w:p>
        </w:tc>
      </w:tr>
      <w:tr>
        <w:trPr>
          <w:trHeight w:val="216"/>
        </w:trPr>
        <w:tc>
          <w:tcPr>
            <w:tcW w:w="73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20" w:type="dxa"/>
            <w:vAlign w:val="bottom"/>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9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15,111,450</w:t>
            </w:r>
          </w:p>
        </w:tc>
        <w:tc>
          <w:tcPr>
            <w:tcW w:w="20" w:type="dxa"/>
            <w:vAlign w:val="bottom"/>
            <w:tcBorders>
              <w:bottom w:val="single" w:sz="8" w:color="auto"/>
            </w:tcBorders>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tcBorders>
              <w:bottom w:val="single" w:sz="8" w:color="auto"/>
            </w:tcBorders>
            <w:shd w:val="clear" w:color="auto" w:fill="D2EEF5"/>
          </w:tcPr>
          <w:p>
            <w:pPr>
              <w:spacing w:after="0"/>
              <w:rPr>
                <w:sz w:val="18"/>
                <w:szCs w:val="18"/>
                <w:color w:val="auto"/>
              </w:rPr>
            </w:pPr>
          </w:p>
        </w:tc>
        <w:tc>
          <w:tcPr>
            <w:tcW w:w="10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11,782,172</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15,111,450</w:t>
            </w:r>
          </w:p>
        </w:tc>
      </w:tr>
      <w:tr>
        <w:trPr>
          <w:trHeight w:val="20"/>
        </w:trPr>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332"/>
        </w:trPr>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75"/>
        </w:trPr>
        <w:tc>
          <w:tcPr>
            <w:tcW w:w="7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340" w:type="dxa"/>
            <w:vAlign w:val="bottom"/>
            <w:tcBorders>
              <w:bottom w:val="single" w:sz="8" w:color="D2EEF5"/>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D2EEF5"/>
            </w:tcBorders>
          </w:tcPr>
          <w:p>
            <w:pPr>
              <w:spacing w:after="0"/>
              <w:rPr>
                <w:sz w:val="12"/>
                <w:szCs w:val="12"/>
                <w:color w:val="auto"/>
              </w:rPr>
            </w:pPr>
          </w:p>
        </w:tc>
        <w:tc>
          <w:tcPr>
            <w:tcW w:w="200" w:type="dxa"/>
            <w:vAlign w:val="bottom"/>
            <w:tcBorders>
              <w:bottom w:val="single" w:sz="8" w:color="D2EEF5"/>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3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financing and investing activities:</w:t>
            </w: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98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020" w:type="dxa"/>
            <w:vAlign w:val="bottom"/>
            <w:shd w:val="clear" w:color="auto" w:fill="D2EEF5"/>
          </w:tcPr>
          <w:p>
            <w:pPr>
              <w:spacing w:after="0"/>
              <w:rPr>
                <w:sz w:val="18"/>
                <w:szCs w:val="18"/>
                <w:color w:val="auto"/>
              </w:rPr>
            </w:pPr>
          </w:p>
        </w:tc>
      </w:tr>
      <w:tr>
        <w:trPr>
          <w:trHeight w:val="235"/>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as commitment fee for future financing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ectPr>
          <w:pgSz w:w="12240" w:h="15840" w:orient="portrait"/>
          <w:cols w:equalWidth="0" w:num="1">
            <w:col w:w="9920"/>
          </w:cols>
          <w:pgMar w:left="1160" w:top="428" w:right="116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DECEMBER 31, 2024 AND 2023</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antigen recognizing (“MAR”)-T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 with Cell Ready; Manufacturing</w:t>
      </w:r>
    </w:p>
    <w:p>
      <w:pPr>
        <w:spacing w:after="0" w:line="230"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On June 26, 2023, the Company completed the previously announced transaction with Cell Ready, LLC (“Cell Ready”) pursuant to a Purchase Agreement (the “Cell Ready Purchase Agreement), dated May 1, 2023, by and between the Company and Cell Ready. Mr. John Wilson was a member of the Company’s board of directors at the time of the Cell Ready Purchase Agreement and through December 31, 2024 and is serving as the CEO of Cell Ready, therefore Cell Ready is a related party. Mr. Wilson resigned as a director of the Company on January 24, 2025. Pursuant to the Cell Ready Purchase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Purchased Assets constituted a significant disposition.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(“ASC”) 205-20 - Discontinued Operations. See additional discussion at Note 6.</w:t>
      </w:r>
    </w:p>
    <w:p>
      <w:pPr>
        <w:spacing w:after="0" w:line="180"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Following the closing of the Cell Ready Purchase Agreement, the Company no longer operates a cGMP manufacturing facility and instead relies on third parties for the clinical and, once approved, commercial manufacture of our product candidates. As such, on February 22, 2024, the Company entered into a Master Services Agreement for Product Supply (the “MSA”) with Cell Ready for the provision of various products and services by Cell Ready pursuant to work orders that may be entered into from time to time. Cell Ready is a contract development and manufacturing organization (CDMO). The MSA contains customary representations, warranties and indemnification provision. The initial term of the MSA is three years and may be extended upon the mutual written agreement of the parties. Either party may terminate the MSA (a) for material breach by the other party if such breach has not been cured within 30 days following notice of termination or (b) if the other party is the subject of an insolvency event.</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Additionally, the Baylor College of Medicine (“BCM”) continues to supply the Company with products and the Company is working with both of its existing qualified contract manufacturers as it continues its clinical trials. Furthermore, in anticipation of the commencement of the Company’s larger pivotal trial for Lymphoma in 2026, as well as the eventual need for commercial scale production, the Company intends to evaluate and qualify additional potential third-party manufacturing partners to provide potential multiple sources of clinical and commercial supply.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the Company will or has properly estimated its required manufacturing capacities or that the third parties on which it relies to manufacture products will be able or willing to perform on proposed timelines or to meet the Company’s manufacturing demands, if at all. If any third-party vendors experience disruptions or otherwise cease or substantially reduce the amount of products they are willing to supply, the Company’s business and operations could be adversely affected.</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ectPr>
          <w:pgSz w:w="12240" w:h="15840" w:orient="portrait"/>
          <w:cols w:equalWidth="0" w:num="1">
            <w:col w:w="9920"/>
          </w:cols>
          <w:pgMar w:left="1160" w:top="428" w:right="116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Changes</w:t>
      </w:r>
    </w:p>
    <w:p>
      <w:pPr>
        <w:spacing w:after="0" w:line="230" w:lineRule="exact"/>
        <w:rPr>
          <w:sz w:val="20"/>
          <w:szCs w:val="20"/>
          <w:color w:val="auto"/>
        </w:rPr>
      </w:pPr>
    </w:p>
    <w:p>
      <w:pPr>
        <w:jc w:val="both"/>
        <w:ind w:firstLine="1"/>
        <w:spacing w:after="0" w:line="256" w:lineRule="auto"/>
        <w:rPr>
          <w:sz w:val="20"/>
          <w:szCs w:val="20"/>
          <w:color w:val="auto"/>
        </w:rPr>
      </w:pPr>
      <w:r>
        <w:rPr>
          <w:rFonts w:ascii="Times New Roman" w:cs="Times New Roman" w:eastAsia="Times New Roman" w:hAnsi="Times New Roman"/>
          <w:sz w:val="18"/>
          <w:szCs w:val="18"/>
          <w:color w:val="auto"/>
        </w:rPr>
        <w:t>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spacing w:after="0" w:line="18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On November 17, 2023, Mr. Lurier ceased serving as the Company’s Interim Chief Financial Officer and Dr. Vera was appointed as the Company’s Principal Financial and Accounting Officer.</w:t>
      </w:r>
    </w:p>
    <w:p>
      <w:pPr>
        <w:spacing w:after="0" w:line="1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FINANCIAL CONDITION, GOING CONCERN AND MANAGEMENT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of approximately $19.2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debt financings and grants.</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August 2021, the Company entered into a Controlled Equity Offering</w:t>
      </w:r>
      <w:r>
        <w:rPr>
          <w:rFonts w:ascii="Times New Roman" w:cs="Times New Roman" w:eastAsia="Times New Roman" w:hAnsi="Times New Roman"/>
          <w:sz w:val="27"/>
          <w:szCs w:val="27"/>
          <w:color w:val="auto"/>
          <w:vertAlign w:val="superscript"/>
        </w:rPr>
        <w:t>SM</w:t>
      </w:r>
      <w:r>
        <w:rPr>
          <w:rFonts w:ascii="Times New Roman" w:cs="Times New Roman" w:eastAsia="Times New Roman" w:hAnsi="Times New Roman"/>
          <w:sz w:val="18"/>
          <w:szCs w:val="18"/>
          <w:color w:val="auto"/>
        </w:rPr>
        <w:t xml:space="preserve"> Sales Agreement (the “ATM Agreement”) with Cantor Fitzgerald &amp; Co. and RBC Capital Markets, LLC (the “Sales Agents”), pursuant to which the Company could offer and sell, from time to time at its sole discretion through the Sales Agents, shares of its common stock having an aggregate offering price of up to $75.0 million. Any shares of its common stock sold were issued pursuant to the Company’s shelf registration statement on Form S-3 (File No. 333-258687), which the SEC declared effective on August 19, 2021. However, our use of the shelf registration statement on Form S-3 was limited for so long as we were subject to General Instruction I.B.6 of Form S-3, which limited the amounts that we could sell under the registration statement and in accordance with the ATM agreement. The Sales Agents were entitled to compensation under the Sales Agreement at a commission rate equal to 3.0% of the gross sales price per share sold under the ATM Agreement, and we provided each of the Sales Agents with indemnification and contribution rights. During the year ended December 31, 2024, the Company sold 8,178 shares of its common stock under the ATM Agreement for proceeds of $0.04 million. On June 10, 2024, the Company provided notice of its termination of the ATM Agreement with Cantor Fitzgerald &amp; Co. and RBC Capital Markets, LLC. The Company is not subject to any termination penalties related to the termination of the ATM Agreement.</w:t>
      </w:r>
    </w:p>
    <w:p>
      <w:pPr>
        <w:spacing w:after="0" w:line="197" w:lineRule="exact"/>
        <w:rPr>
          <w:sz w:val="20"/>
          <w:szCs w:val="20"/>
          <w:color w:val="auto"/>
        </w:rPr>
      </w:pPr>
    </w:p>
    <w:p>
      <w:pPr>
        <w:jc w:val="both"/>
        <w:ind w:right="20" w:firstLine="1"/>
        <w:spacing w:after="0" w:line="254" w:lineRule="auto"/>
        <w:rPr>
          <w:sz w:val="20"/>
          <w:szCs w:val="20"/>
          <w:color w:val="auto"/>
        </w:rPr>
      </w:pPr>
      <w:r>
        <w:rPr>
          <w:rFonts w:ascii="Times New Roman" w:cs="Times New Roman" w:eastAsia="Times New Roman" w:hAnsi="Times New Roman"/>
          <w:sz w:val="18"/>
          <w:szCs w:val="18"/>
          <w:color w:val="auto"/>
        </w:rPr>
        <w:t>In November 2024, the Company entered into an At The Market Offering Agreement, or the Sales Agreement, with H.C. Wainwright &amp; Co. LLC, relating to the sale of shares of its common stock having an agreement offering price of up to $11,431,713 from time to time through H.C. Wainwright &amp; Co. LLC. Any shares of common stock sold will be issued pursuant to the Company’s shelf registration statement on Form S-3 (File No. 333-283512), which the SEC declared effective on December 6, 2024. However, the Company’s use of the shelf registration statement on Form S-3 will be limited for so long as it is subject to General Instruction I.B.6 of Form S-3, which limits the amounts that the Company may sell under the registration statement and in accordance with the ATM agreement. H.C. Wainwright &amp; Co. LLC will be entitled to compensation under the Sales Agreement at a commission rate equal to 3.0% of the gross sales price per share sold under the ATM Agreement, and the Company’ has provided H.C. Wainwright &amp; Co. LLC with indemnification and contribution rights.</w:t>
      </w:r>
    </w:p>
    <w:p>
      <w:pPr>
        <w:spacing w:after="0" w:line="18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CPRIT to support the Company’s clinical investigation of MT-401. Through the date of this filing, the Company has received $9.7</w:t>
      </w:r>
    </w:p>
    <w:p>
      <w:pPr>
        <w:sectPr>
          <w:pgSz w:w="12240" w:h="15840" w:orient="portrait"/>
          <w:cols w:equalWidth="0" w:num="1">
            <w:col w:w="9920"/>
          </w:cols>
          <w:pgMar w:left="1160" w:top="42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ectPr>
          <w:pgSz w:w="12240" w:h="15840" w:orient="portrait"/>
          <w:cols w:equalWidth="0" w:num="1">
            <w:col w:w="9920"/>
          </w:cols>
          <w:pgMar w:left="1160" w:top="426" w:right="1160" w:bottom="0" w:gutter="0" w:footer="0" w:header="0"/>
          <w:type w:val="continuous"/>
        </w:sectPr>
      </w:pPr>
    </w:p>
    <w:bookmarkStart w:id="105" w:name="page106"/>
    <w:bookmarkEnd w:id="105"/>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million of funds from the CPRIT grant. The Company recorded $4.4 million of grant income related to the CPRIT grant as revenue during the year ended December 31, 2024 and at December 31, 2024, the Company recorded $2.1 million of grant income receivable.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$1.0 million from the FDA grant. The Company recorded $0.5 million of grant income related to the FDA grant as revenue during the year ended December 31, 2024 and at December 31, 2024, the Company had no grant income receivable recorded.</w:t>
      </w:r>
    </w:p>
    <w:p>
      <w:pPr>
        <w:spacing w:after="0" w:line="18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$1.2 million from SBIR. The Company recorded $1.0 million of grant income related to the SBIR grant as revenue during the year ended December 31, 2024 and at December 31, 2024, the Company recorded $0.2 million of grant income receivable. In February 2025, the Company received $0.2 million of funds from the SBIR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ind w:right="20" w:firstLine="1"/>
        <w:spacing w:after="0" w:line="25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(“NIH”) to support control over tumor immune escape in pancreatic cancer using a dual T cell product strategy. Through the date of this filing, the Company has received approximately $6,000 from NIH for this grant. The Company recorded approximately $6,000 of grant income related to the NIH grant as revenue during the year ended December 31, 2024 and at December 31, 2024, the Company recorded approximately $6,000 of grant income receivable. In February 2025, the Company received approximately $6,000 of funds from the NIH grant.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SBIR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$0.7 million of grant income related to this grant as revenue for the year ended December 31, 2024 and at December 31, 2024, the Company had no grant income receivable recorded.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Through the date of this filing, the Company has received approximately $7,000 from NIH for this grant. The Company recorded approximately $7,000 of grant income related to the NIH grant as revenue during the year ended December 31, 2024 and at December 31, 2024, the Company recorded approximately $7,000 of grant income receivable. In February 2025, the Company received approximately $7,000 of funds from the NIH grant.</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December 2024, the Company received notice of an additional $9.5 million grant from CPRIT to support the clinical investigation of MT-601 in patients with metastatic pancreatic cancer. Through the date of this filing, the Company has not received any funds from this grant.</w:t>
      </w:r>
    </w:p>
    <w:p>
      <w:pPr>
        <w:spacing w:after="0" w:line="176" w:lineRule="exact"/>
        <w:rPr>
          <w:sz w:val="20"/>
          <w:szCs w:val="20"/>
          <w:color w:val="auto"/>
        </w:rPr>
      </w:pPr>
    </w:p>
    <w:p>
      <w:pPr>
        <w:jc w:val="both"/>
        <w:ind w:right="20" w:firstLine="1"/>
        <w:spacing w:after="0" w:line="256" w:lineRule="auto"/>
        <w:rPr>
          <w:sz w:val="20"/>
          <w:szCs w:val="20"/>
          <w:color w:val="auto"/>
        </w:rPr>
      </w:pPr>
      <w:r>
        <w:rPr>
          <w:rFonts w:ascii="Times New Roman" w:cs="Times New Roman" w:eastAsia="Times New Roman" w:hAnsi="Times New Roman"/>
          <w:sz w:val="18"/>
          <w:szCs w:val="18"/>
          <w:color w:val="auto"/>
        </w:rPr>
        <w:t>In December 2022, the Company entered into a purchase agreement, or the Purchase Agreement, with Lincoln Park Capital Fund, LLC, or Lincoln Park, which provides that, upon the terms and subject to the conditions of the agreement, the Company has the right, but not the obligation, to sell to Lincoln Park up to $25,000,000 of shares of its common stock, or the Purchase Shares, from time to time over a 24-month term. For the year ended December 31, 2024, the Company did not sell any shares of its common stock under the Purchase Agreement. In January 2023, Lincoln Park was issued 180,410 shares of stock as a commitment fee at a value of $0.5 million. On February 29, 2024, the Company terminated the Purchase Agreement with Lincoln Park effective March 1, 2024.</w:t>
      </w:r>
    </w:p>
    <w:p>
      <w:pPr>
        <w:spacing w:after="0" w:line="18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ectPr>
          <w:pgSz w:w="12240" w:h="15840" w:orient="portrait"/>
          <w:cols w:equalWidth="0" w:num="1">
            <w:col w:w="9920"/>
          </w:cols>
          <w:pgMar w:left="1160" w:top="431" w:right="1160" w:bottom="0" w:gutter="0" w:footer="0" w:header="0"/>
          <w:type w:val="continuous"/>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18"/>
          <w:szCs w:val="18"/>
          <w:color w:val="auto"/>
        </w:rPr>
        <w:t>Net proceeds from the sale of securities in the Private Placement was approximately $14.9 million, which does not include any proceeds that may be received upon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to incur substantial losses over the next several years during its development phase.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Company’s lack of recurring revenues, anticipated uses of cash and historical recurring cash losses from operating activities, and cash and cash equivalents as of December 31, 2024, the Company anticipates that it will be able to fund its operating expenses and capital expenditure requirements into the first quarter of 2026, assuming no additional grant funds are received. These factors raise substantial doubt regarding the Company’s ability to continue as a going concern.</w:t>
      </w:r>
    </w:p>
    <w:p>
      <w:pPr>
        <w:spacing w:after="0" w:line="179" w:lineRule="exact"/>
        <w:rPr>
          <w:sz w:val="20"/>
          <w:szCs w:val="20"/>
          <w:color w:val="auto"/>
        </w:rPr>
      </w:pPr>
    </w:p>
    <w:p>
      <w:pPr>
        <w:jc w:val="both"/>
        <w:ind w:right="20" w:firstLine="1"/>
        <w:spacing w:after="0" w:line="256" w:lineRule="auto"/>
        <w:rPr>
          <w:sz w:val="20"/>
          <w:szCs w:val="20"/>
          <w:color w:val="auto"/>
        </w:rPr>
      </w:pPr>
      <w:r>
        <w:rPr>
          <w:rFonts w:ascii="Times New Roman" w:cs="Times New Roman" w:eastAsia="Times New Roman" w:hAnsi="Times New Roman"/>
          <w:sz w:val="18"/>
          <w:szCs w:val="18"/>
          <w:color w:val="auto"/>
        </w:rPr>
        <w:t>Management currently plans to raise additional capital through the issuance of common shares and receipt of additional grant funds, which could enable the Company to fund its operating expenses and capital expenditure requirements beyond the first quarter of 2026,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88" w:lineRule="exact"/>
        <w:rPr>
          <w:sz w:val="20"/>
          <w:szCs w:val="20"/>
          <w:color w:val="auto"/>
        </w:rPr>
      </w:pPr>
    </w:p>
    <w:p>
      <w:pPr>
        <w:ind w:left="680" w:hanging="328"/>
        <w:spacing w:after="0"/>
        <w:tabs>
          <w:tab w:leader="none" w:pos="68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Initiates, continues, or accelerates clinical trials of its product candidates;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continues the research and development of its product candidates and seeks to discover additional product candidates;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maintains and enforces intellectual property rights;</w:t>
      </w:r>
    </w:p>
    <w:p>
      <w:pPr>
        <w:spacing w:after="0" w:line="224" w:lineRule="exact"/>
        <w:rPr>
          <w:rFonts w:ascii="Arial" w:cs="Arial" w:eastAsia="Arial" w:hAnsi="Arial"/>
          <w:sz w:val="18"/>
          <w:szCs w:val="18"/>
          <w:color w:val="auto"/>
        </w:rPr>
      </w:pPr>
    </w:p>
    <w:p>
      <w:pPr>
        <w:ind w:left="680" w:hanging="328"/>
        <w:spacing w:after="0"/>
        <w:tabs>
          <w:tab w:leader="none" w:pos="68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enters into contract manufacturing arrangements with contract manufacturing organizations for clinical manufacturing supply;</w:t>
      </w:r>
    </w:p>
    <w:p>
      <w:pPr>
        <w:spacing w:after="0" w:line="223"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establishes sales, marketing and distribution infrastructure and scale-up manufacturing capabilities to commercialize any product candidates that may receive regulatory approval;</w:t>
      </w:r>
    </w:p>
    <w:p>
      <w:pPr>
        <w:spacing w:after="0" w:line="160" w:lineRule="exact"/>
        <w:rPr>
          <w:rFonts w:ascii="Arial" w:cs="Arial" w:eastAsia="Arial" w:hAnsi="Arial"/>
          <w:sz w:val="18"/>
          <w:szCs w:val="18"/>
          <w:color w:val="auto"/>
        </w:rPr>
      </w:pPr>
    </w:p>
    <w:p>
      <w:pPr>
        <w:ind w:left="680" w:hanging="328"/>
        <w:spacing w:after="0"/>
        <w:tabs>
          <w:tab w:leader="none" w:pos="68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evaluates strategic transactions the Company may undertake; and</w:t>
      </w:r>
    </w:p>
    <w:p>
      <w:pPr>
        <w:spacing w:after="0" w:line="224" w:lineRule="exact"/>
        <w:rPr>
          <w:rFonts w:ascii="Arial" w:cs="Arial" w:eastAsia="Arial" w:hAnsi="Arial"/>
          <w:sz w:val="18"/>
          <w:szCs w:val="18"/>
          <w:color w:val="auto"/>
        </w:rPr>
      </w:pPr>
    </w:p>
    <w:p>
      <w:pPr>
        <w:ind w:left="680" w:right="20" w:hanging="328"/>
        <w:spacing w:after="0" w:line="282" w:lineRule="auto"/>
        <w:tabs>
          <w:tab w:leader="none" w:pos="68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1" w:lineRule="exact"/>
        <w:rPr>
          <w:sz w:val="20"/>
          <w:szCs w:val="20"/>
          <w:color w:val="auto"/>
        </w:rPr>
      </w:pPr>
    </w:p>
    <w:p>
      <w:pPr>
        <w:jc w:val="both"/>
        <w:ind w:firstLine="1"/>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the current macro-economic environment of decades-high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ectPr>
          <w:pgSz w:w="12240" w:h="15840" w:orient="portrait"/>
          <w:cols w:equalWidth="0" w:num="1">
            <w:col w:w="9920"/>
          </w:cols>
          <w:pgMar w:left="1160" w:top="431" w:right="1160" w:bottom="0" w:gutter="0" w:footer="0" w:header="0"/>
          <w:type w:val="continuous"/>
        </w:sectPr>
      </w:pPr>
    </w:p>
    <w:bookmarkStart w:id="107" w:name="page108"/>
    <w:bookmarkEnd w:id="107"/>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addition, a recession or market correction due to these factors could materially affect the Company’s business and the value of its common stock.</w:t>
      </w:r>
    </w:p>
    <w:p>
      <w:pPr>
        <w:spacing w:after="0" w:line="1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and pursuant to the rules and regulations of the Securities Exchange Commission (“SEC”). Any reference 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30"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Credit Risk</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highly liquid investments with a maturity of three months or less when purchased to be cash equivalents. Cash and cash equivalents at December 31, 2024 consisted of cash and certificates of deposit in institutions in the United States. Balances at certain institutions have exceeded Federal Deposit Insurance Corporation insured limits and U.S. government agency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in accounts which are in excess of the Federal Deposit Insurance Corporation (“FDIC”) insured limits of $250,000. As of December 31, 2024 and December 31, 2023, the Company had approximately $1.1 million and $1.4 million, respectively in cash at financial institutions. As of December 31, 2024, the Company had approximately $18.1 million in U.S. government agency securities.</w:t>
      </w:r>
    </w:p>
    <w:p>
      <w:pPr>
        <w:spacing w:after="0" w:line="180" w:lineRule="exact"/>
        <w:rPr>
          <w:sz w:val="20"/>
          <w:szCs w:val="20"/>
          <w:color w:val="auto"/>
        </w:rPr>
      </w:pPr>
    </w:p>
    <w:p>
      <w:pPr>
        <w:jc w:val="both"/>
        <w:ind w:right="20" w:firstLine="1"/>
        <w:spacing w:after="0" w:line="283" w:lineRule="auto"/>
        <w:rPr>
          <w:sz w:val="20"/>
          <w:szCs w:val="20"/>
          <w:color w:val="auto"/>
        </w:rPr>
      </w:pPr>
      <w:r>
        <w:rPr>
          <w:rFonts w:ascii="Times New Roman" w:cs="Times New Roman" w:eastAsia="Times New Roman" w:hAnsi="Times New Roman"/>
          <w:sz w:val="18"/>
          <w:szCs w:val="18"/>
          <w:color w:val="auto"/>
        </w:rPr>
        <w:t>In the event cash is received from grants in advance of incurring qualifying costs, it is recorded as restricted cash until it is earned and recorded to grant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6 for further information.</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ectPr>
          <w:pgSz w:w="12240" w:h="15840" w:orient="portrait"/>
          <w:cols w:equalWidth="0" w:num="1">
            <w:col w:w="9920"/>
          </w:cols>
          <w:pgMar w:left="1160" w:top="431" w:right="116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 Costs</w:t>
      </w:r>
    </w:p>
    <w:p>
      <w:pPr>
        <w:spacing w:after="0" w:line="2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181" w:lineRule="exact"/>
        <w:rPr>
          <w:sz w:val="20"/>
          <w:szCs w:val="20"/>
          <w:color w:val="auto"/>
        </w:rPr>
      </w:pPr>
    </w:p>
    <w:p>
      <w:pPr>
        <w:jc w:val="both"/>
        <w:ind w:left="640"/>
        <w:spacing w:after="0" w:line="261" w:lineRule="auto"/>
        <w:rPr>
          <w:sz w:val="20"/>
          <w:szCs w:val="20"/>
          <w:color w:val="auto"/>
        </w:rPr>
      </w:pPr>
      <w:r>
        <w:rPr>
          <w:rFonts w:ascii="Arial" w:cs="Arial" w:eastAsia="Arial" w:hAnsi="Arial"/>
          <w:sz w:val="18"/>
          <w:szCs w:val="18"/>
          <w:i w:val="1"/>
          <w:iCs w:val="1"/>
          <w:color w:val="auto"/>
        </w:rPr>
        <w:t xml:space="preserve">Expected Term </w:t>
      </w:r>
      <w:r>
        <w:rPr>
          <w:rFonts w:ascii="Times New Roman" w:cs="Times New Roman" w:eastAsia="Times New Roman" w:hAnsi="Times New Roman"/>
          <w:sz w:val="18"/>
          <w:szCs w:val="18"/>
          <w:color w:val="auto"/>
        </w:rPr>
        <w:t>— The expected life of stock options was estimated using the “simplified method,” as the Company has limited</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color w:val="auto"/>
        </w:rPr>
        <w:t>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78" w:lineRule="exact"/>
        <w:rPr>
          <w:sz w:val="20"/>
          <w:szCs w:val="20"/>
          <w:color w:val="auto"/>
        </w:rPr>
      </w:pPr>
    </w:p>
    <w:p>
      <w:pPr>
        <w:jc w:val="both"/>
        <w:ind w:left="640" w:right="20"/>
        <w:spacing w:after="0" w:line="284" w:lineRule="auto"/>
        <w:rPr>
          <w:sz w:val="20"/>
          <w:szCs w:val="20"/>
          <w:color w:val="auto"/>
        </w:rPr>
      </w:pPr>
      <w:r>
        <w:rPr>
          <w:rFonts w:ascii="Arial" w:cs="Arial" w:eastAsia="Arial" w:hAnsi="Arial"/>
          <w:sz w:val="18"/>
          <w:szCs w:val="18"/>
          <w:i w:val="1"/>
          <w:iCs w:val="1"/>
          <w:color w:val="auto"/>
        </w:rPr>
        <w:t xml:space="preserve">Expected Volatility </w:t>
      </w:r>
      <w:r>
        <w:rPr>
          <w:rFonts w:ascii="Times New Roman" w:cs="Times New Roman" w:eastAsia="Times New Roman" w:hAnsi="Times New Roman"/>
          <w:sz w:val="18"/>
          <w:szCs w:val="18"/>
          <w:color w:val="auto"/>
        </w:rPr>
        <w:t>— The Company computes stock price volatility over expected terms based on its historical common stock</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color w:val="auto"/>
        </w:rPr>
        <w:t>trading prices.</w:t>
      </w:r>
    </w:p>
    <w:p>
      <w:pPr>
        <w:spacing w:after="0" w:line="156" w:lineRule="exact"/>
        <w:rPr>
          <w:sz w:val="20"/>
          <w:szCs w:val="20"/>
          <w:color w:val="auto"/>
        </w:rPr>
      </w:pPr>
    </w:p>
    <w:p>
      <w:pPr>
        <w:jc w:val="both"/>
        <w:ind w:left="640" w:right="20"/>
        <w:spacing w:after="0" w:line="284" w:lineRule="auto"/>
        <w:rPr>
          <w:sz w:val="20"/>
          <w:szCs w:val="20"/>
          <w:color w:val="auto"/>
        </w:rPr>
      </w:pPr>
      <w:r>
        <w:rPr>
          <w:rFonts w:ascii="Arial" w:cs="Arial" w:eastAsia="Arial" w:hAnsi="Arial"/>
          <w:sz w:val="18"/>
          <w:szCs w:val="18"/>
          <w:i w:val="1"/>
          <w:iCs w:val="1"/>
          <w:color w:val="auto"/>
        </w:rPr>
        <w:t xml:space="preserve">Risk-Free Interest Rate </w:t>
      </w:r>
      <w:r>
        <w:rPr>
          <w:rFonts w:ascii="Times New Roman" w:cs="Times New Roman" w:eastAsia="Times New Roman" w:hAnsi="Times New Roman"/>
          <w:sz w:val="18"/>
          <w:szCs w:val="18"/>
          <w:color w:val="auto"/>
        </w:rPr>
        <w:t>— The Company bases the risk-free interest rate on the implied yield available on U.S. Treasury zero-coupon issues with an equivalent remaining term.</w:t>
      </w:r>
    </w:p>
    <w:p>
      <w:pPr>
        <w:spacing w:after="0" w:line="156" w:lineRule="exact"/>
        <w:rPr>
          <w:sz w:val="20"/>
          <w:szCs w:val="20"/>
          <w:color w:val="auto"/>
        </w:rPr>
      </w:pPr>
    </w:p>
    <w:p>
      <w:pPr>
        <w:jc w:val="both"/>
        <w:ind w:left="640" w:right="20"/>
        <w:spacing w:after="0" w:line="284" w:lineRule="auto"/>
        <w:rPr>
          <w:sz w:val="20"/>
          <w:szCs w:val="20"/>
          <w:color w:val="auto"/>
        </w:rPr>
      </w:pPr>
      <w:r>
        <w:rPr>
          <w:rFonts w:ascii="Arial" w:cs="Arial" w:eastAsia="Arial" w:hAnsi="Arial"/>
          <w:sz w:val="18"/>
          <w:szCs w:val="18"/>
          <w:i w:val="1"/>
          <w:iCs w:val="1"/>
          <w:color w:val="auto"/>
        </w:rPr>
        <w:t xml:space="preserve">Expected Dividend </w:t>
      </w:r>
      <w:r>
        <w:rPr>
          <w:rFonts w:ascii="Times New Roman" w:cs="Times New Roman" w:eastAsia="Times New Roman" w:hAnsi="Times New Roman"/>
          <w:sz w:val="18"/>
          <w:szCs w:val="18"/>
          <w:color w:val="auto"/>
        </w:rPr>
        <w:t>— The Company has never declared or paid any cash dividends on its common shares and does not plan to</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color w:val="auto"/>
        </w:rPr>
        <w:t>pay cash dividends in the foreseeable future, and, therefore, uses an expected dividend yield of zero in its valuation models.</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clinical trial programs.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2024 and 2023, no liability for unrecognized tax benefits was required to</w:t>
      </w:r>
    </w:p>
    <w:p>
      <w:pPr>
        <w:sectPr>
          <w:pgSz w:w="12240" w:h="15840" w:orient="portrait"/>
          <w:cols w:equalWidth="0" w:num="1">
            <w:col w:w="9920"/>
          </w:cols>
          <w:pgMar w:left="1160" w:top="4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ectPr>
          <w:pgSz w:w="12240" w:h="15840" w:orient="portrait"/>
          <w:cols w:equalWidth="0" w:num="1">
            <w:col w:w="9920"/>
          </w:cols>
          <w:pgMar w:left="1160" w:top="427" w:right="1160" w:bottom="0" w:gutter="0" w:footer="0" w:header="0"/>
          <w:type w:val="continuous"/>
        </w:sectPr>
      </w:pPr>
    </w:p>
    <w:bookmarkStart w:id="109" w:name="page110"/>
    <w:bookmarkEnd w:id="10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230" w:lineRule="exact"/>
        <w:rPr>
          <w:sz w:val="20"/>
          <w:szCs w:val="20"/>
          <w:color w:val="auto"/>
        </w:rPr>
      </w:pPr>
    </w:p>
    <w:p>
      <w:pPr>
        <w:jc w:val="both"/>
        <w:ind w:right="20" w:firstLine="1"/>
        <w:spacing w:after="0" w:line="254" w:lineRule="auto"/>
        <w:rPr>
          <w:sz w:val="20"/>
          <w:szCs w:val="20"/>
          <w:color w:val="auto"/>
        </w:rPr>
      </w:pPr>
      <w:r>
        <w:rPr>
          <w:rFonts w:ascii="Times New Roman" w:cs="Times New Roman" w:eastAsia="Times New Roman" w:hAnsi="Times New Roman"/>
          <w:sz w:val="18"/>
          <w:szCs w:val="18"/>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the Company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For grant and awards outside the scope of ASC 808, the Company applies either ASC 606 or IAS 20 by analogy depending on if the arrangement is considered an exchange or non-exchange transaction, respectively. Under both accounting frameworks, revenue is recognized when the Company incurs expenses related to the grants for the amount the Company is entitled to under the provisions of the contract. During the two years ended December 31, 2024, the Company did not participate in any collaboration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Common Share</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3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 adopted Accounting Standard Update (“ASU”) 2023-07, Segment Reporting (Topic 280) – Improvements to Reportable Segment Disclosures, as of January 1, 2024. See the section Recently Adopted Accounting Standards below for more information.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and commercialization of novel T cell-based immunotherapies for the treatment of hematological malignancies and solid tumor indications. The Company’s operations are organized and reported as a single reportable segment, which includes all activities related to the discovery, development, and commercialization of its products. The Company’s CODM, its chief executive officer, reviews operating results on an aggregate basis and manages the operations as a single operating segment.</w:t>
      </w:r>
    </w:p>
    <w:p>
      <w:pPr>
        <w:spacing w:after="0" w:line="188"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8"/>
          <w:szCs w:val="18"/>
          <w:color w:val="auto"/>
        </w:rPr>
        <w:t>The accounting policies of the Company’s single operating and reportable segment are the same as those described in the summary of significant accounting policies. The measure of segment assets is reported on the consolidated balance sheets as total assets. The CODM evaluates performance and allocates resources based on consolidated net income (loss) that also is reported on the consolidated statements of operations as net loss, and consolidated cash used in operations. The Company’s significant expenses are consistent with the expenses presented on the consolidated statement of operations. The CODM makes operating decisions based on the availability of cash and the allocation of cash to the required expenditures. Expenses are not regularly provided to the CODM on a more disaggregated basis for purposes of assessing segment performance and deciding how to allocate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ectPr>
          <w:pgSz w:w="12240" w:h="15840" w:orient="portrait"/>
          <w:cols w:equalWidth="0" w:num="1">
            <w:col w:w="9920"/>
          </w:cols>
          <w:pgMar w:left="1160" w:top="431" w:right="11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Reportable Segment Disclosures</w:t>
      </w:r>
    </w:p>
    <w:p>
      <w:pPr>
        <w:spacing w:after="0" w:line="22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Effective January 1, 2024, the Company adopted the new standard on a retrospective basis for annual periods, and interim periods beginning the first quarter of 2025. The Company does not believe the impact of the new guidance and related codification improvements had a material impact to its financial position,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2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guidance to have a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 Reporting Comprehensive Income – Expense Disaggregation Disclosures</w:t>
      </w:r>
    </w:p>
    <w:p>
      <w:pPr>
        <w:spacing w:after="0" w:line="22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spacing w:after="0" w:line="1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NET LOSS PER SHARE APPLICABLE TO COMMON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ectPr>
          <w:pgSz w:w="12240" w:h="15840" w:orient="portrait"/>
          <w:cols w:equalWidth="0" w:num="1">
            <w:col w:w="9920"/>
          </w:cols>
          <w:pgMar w:left="1160" w:top="428" w:right="116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share for the years ended December 31, 2024 and 2023, respectively:</w:t>
      </w:r>
    </w:p>
    <w:p>
      <w:pPr>
        <w:spacing w:after="0" w:line="21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000" w:type="dxa"/>
            <w:vAlign w:val="bottom"/>
            <w:tcBorders>
              <w:bottom w:val="single" w:sz="8" w:color="D2EEF5"/>
            </w:tcBorders>
          </w:tcPr>
          <w:p>
            <w:pPr>
              <w:spacing w:after="0"/>
              <w:rPr>
                <w:sz w:val="13"/>
                <w:szCs w:val="13"/>
                <w:color w:val="auto"/>
              </w:rPr>
            </w:pPr>
          </w:p>
        </w:tc>
        <w:tc>
          <w:tcPr>
            <w:tcW w:w="600" w:type="dxa"/>
            <w:vAlign w:val="bottom"/>
            <w:tcBorders>
              <w:bottom w:val="single" w:sz="8" w:color="D2EEF5"/>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D2EEF5"/>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0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96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960" w:type="dxa"/>
            <w:vAlign w:val="bottom"/>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(10,731,315)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600" w:type="dxa"/>
            <w:vAlign w:val="bottom"/>
            <w:shd w:val="clear" w:color="auto" w:fill="D2EEF5"/>
          </w:tcPr>
          <w:p>
            <w:pPr>
              <w:spacing w:after="0"/>
              <w:rPr>
                <w:sz w:val="18"/>
                <w:szCs w:val="18"/>
                <w:color w:val="auto"/>
              </w:rPr>
            </w:pPr>
          </w:p>
        </w:tc>
        <w:tc>
          <w:tcPr>
            <w:tcW w:w="120" w:type="dxa"/>
            <w:vAlign w:val="bottom"/>
            <w:tcBorders>
              <w:bottom w:val="single" w:sz="8" w:color="auto"/>
            </w:tcBorders>
            <w:shd w:val="clear" w:color="auto" w:fill="D2EEF5"/>
          </w:tcPr>
          <w:p>
            <w:pPr>
              <w:spacing w:after="0"/>
              <w:rPr>
                <w:sz w:val="18"/>
                <w:szCs w:val="18"/>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2EEF5"/>
          </w:tcPr>
          <w:p>
            <w:pPr>
              <w:spacing w:after="0"/>
              <w:rPr>
                <w:sz w:val="18"/>
                <w:szCs w:val="18"/>
                <w:color w:val="auto"/>
              </w:rPr>
            </w:pPr>
          </w:p>
        </w:tc>
        <w:tc>
          <w:tcPr>
            <w:tcW w:w="120" w:type="dxa"/>
            <w:vAlign w:val="bottom"/>
            <w:tcBorders>
              <w:bottom w:val="single" w:sz="8" w:color="auto"/>
            </w:tcBorders>
            <w:shd w:val="clear" w:color="auto" w:fill="D2EEF5"/>
          </w:tcPr>
          <w:p>
            <w:pPr>
              <w:spacing w:after="0"/>
              <w:rPr>
                <w:sz w:val="18"/>
                <w:szCs w:val="18"/>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5,809,081</w:t>
            </w:r>
          </w:p>
        </w:tc>
        <w:tc>
          <w:tcPr>
            <w:tcW w:w="0" w:type="dxa"/>
            <w:vAlign w:val="bottom"/>
          </w:tcPr>
          <w:p>
            <w:pPr>
              <w:spacing w:after="0"/>
              <w:rPr>
                <w:sz w:val="1"/>
                <w:szCs w:val="1"/>
                <w:color w:val="auto"/>
              </w:rPr>
            </w:pPr>
          </w:p>
        </w:tc>
      </w:tr>
      <w:tr>
        <w:trPr>
          <w:trHeight w:val="25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(10,731,315)</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(8,236,814)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Borders>
              <w:top w:val="single" w:sz="8" w:color="D2EEF5"/>
            </w:tcBorders>
            <w:shd w:val="clear" w:color="auto" w:fill="D2EEF5"/>
          </w:tcPr>
          <w:p>
            <w:pPr>
              <w:spacing w:after="0"/>
              <w:rPr>
                <w:sz w:val="17"/>
                <w:szCs w:val="17"/>
                <w:color w:val="auto"/>
              </w:rPr>
            </w:pPr>
          </w:p>
        </w:tc>
        <w:tc>
          <w:tcPr>
            <w:tcW w:w="600" w:type="dxa"/>
            <w:vAlign w:val="bottom"/>
            <w:tcBorders>
              <w:top w:val="single" w:sz="8" w:color="D2EEF5"/>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960" w:type="dxa"/>
            <w:vAlign w:val="bottom"/>
            <w:tcBorders>
              <w:top w:val="single" w:sz="8" w:color="auto"/>
            </w:tcBorders>
            <w:shd w:val="clear" w:color="auto" w:fill="D2EEF5"/>
          </w:tcPr>
          <w:p>
            <w:pPr>
              <w:spacing w:after="0"/>
              <w:rPr>
                <w:sz w:val="17"/>
                <w:szCs w:val="17"/>
                <w:color w:val="auto"/>
              </w:rPr>
            </w:pPr>
          </w:p>
        </w:tc>
        <w:tc>
          <w:tcPr>
            <w:tcW w:w="140" w:type="dxa"/>
            <w:vAlign w:val="bottom"/>
            <w:tcBorders>
              <w:top w:val="single" w:sz="8" w:color="D2EEF5"/>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960" w:type="dxa"/>
            <w:vAlign w:val="bottom"/>
            <w:tcBorders>
              <w:top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600" w:type="dxa"/>
            <w:vAlign w:val="bottom"/>
            <w:tcBorders>
              <w:bottom w:val="single" w:sz="8" w:color="D2EEF5"/>
            </w:tcBorders>
            <w:shd w:val="clear" w:color="auto" w:fill="D2EEF5"/>
          </w:tcPr>
          <w:p>
            <w:pPr>
              <w:spacing w:after="0"/>
              <w:rPr>
                <w:sz w:val="20"/>
                <w:szCs w:val="20"/>
                <w:color w:val="auto"/>
              </w:rPr>
            </w:pPr>
          </w:p>
        </w:tc>
        <w:tc>
          <w:tcPr>
            <w:tcW w:w="120" w:type="dxa"/>
            <w:vAlign w:val="bottom"/>
            <w:tcBorders>
              <w:bottom w:val="single" w:sz="8" w:color="auto"/>
            </w:tcBorders>
            <w:shd w:val="clear" w:color="auto" w:fill="D2EEF5"/>
          </w:tcPr>
          <w:p>
            <w:pPr>
              <w:spacing w:after="0"/>
              <w:rPr>
                <w:sz w:val="20"/>
                <w:szCs w:val="20"/>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8,980,207</w:t>
            </w:r>
          </w:p>
        </w:tc>
        <w:tc>
          <w:tcPr>
            <w:tcW w:w="140" w:type="dxa"/>
            <w:vAlign w:val="bottom"/>
            <w:tcBorders>
              <w:bottom w:val="single" w:sz="8" w:color="D2EEF5"/>
            </w:tcBorders>
            <w:shd w:val="clear" w:color="auto" w:fill="D2EEF5"/>
          </w:tcPr>
          <w:p>
            <w:pPr>
              <w:spacing w:after="0"/>
              <w:rPr>
                <w:sz w:val="20"/>
                <w:szCs w:val="20"/>
                <w:color w:val="auto"/>
              </w:rPr>
            </w:pPr>
          </w:p>
        </w:tc>
        <w:tc>
          <w:tcPr>
            <w:tcW w:w="120" w:type="dxa"/>
            <w:vAlign w:val="bottom"/>
            <w:tcBorders>
              <w:bottom w:val="single" w:sz="8" w:color="auto"/>
            </w:tcBorders>
            <w:shd w:val="clear" w:color="auto" w:fill="D2EEF5"/>
          </w:tcPr>
          <w:p>
            <w:pPr>
              <w:spacing w:after="0"/>
              <w:rPr>
                <w:sz w:val="20"/>
                <w:szCs w:val="20"/>
                <w:color w:val="auto"/>
              </w:rPr>
            </w:pPr>
          </w:p>
        </w:tc>
        <w:tc>
          <w:tcPr>
            <w:tcW w:w="96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8,809,382</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8,980,207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8,809,382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Borders>
              <w:top w:val="single" w:sz="8" w:color="D2EEF5"/>
            </w:tcBorders>
            <w:shd w:val="clear" w:color="auto" w:fill="D2EEF5"/>
          </w:tcPr>
          <w:p>
            <w:pPr>
              <w:spacing w:after="0"/>
              <w:rPr>
                <w:sz w:val="17"/>
                <w:szCs w:val="17"/>
                <w:color w:val="auto"/>
              </w:rPr>
            </w:pPr>
          </w:p>
        </w:tc>
        <w:tc>
          <w:tcPr>
            <w:tcW w:w="600" w:type="dxa"/>
            <w:vAlign w:val="bottom"/>
            <w:tcBorders>
              <w:top w:val="single" w:sz="8" w:color="D2EEF5"/>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960" w:type="dxa"/>
            <w:vAlign w:val="bottom"/>
            <w:tcBorders>
              <w:top w:val="single" w:sz="8" w:color="auto"/>
            </w:tcBorders>
            <w:shd w:val="clear" w:color="auto" w:fill="D2EEF5"/>
          </w:tcPr>
          <w:p>
            <w:pPr>
              <w:spacing w:after="0"/>
              <w:rPr>
                <w:sz w:val="17"/>
                <w:szCs w:val="17"/>
                <w:color w:val="auto"/>
              </w:rPr>
            </w:pPr>
          </w:p>
        </w:tc>
        <w:tc>
          <w:tcPr>
            <w:tcW w:w="140" w:type="dxa"/>
            <w:vAlign w:val="bottom"/>
            <w:tcBorders>
              <w:top w:val="single" w:sz="8" w:color="D2EEF5"/>
            </w:tcBorders>
            <w:shd w:val="clear" w:color="auto" w:fill="D2EEF5"/>
          </w:tcPr>
          <w:p>
            <w:pPr>
              <w:spacing w:after="0"/>
              <w:rPr>
                <w:sz w:val="17"/>
                <w:szCs w:val="17"/>
                <w:color w:val="auto"/>
              </w:rPr>
            </w:pPr>
          </w:p>
        </w:tc>
        <w:tc>
          <w:tcPr>
            <w:tcW w:w="120" w:type="dxa"/>
            <w:vAlign w:val="bottom"/>
            <w:tcBorders>
              <w:top w:val="single" w:sz="8" w:color="auto"/>
            </w:tcBorders>
            <w:shd w:val="clear" w:color="auto" w:fill="D2EEF5"/>
          </w:tcPr>
          <w:p>
            <w:pPr>
              <w:spacing w:after="0"/>
              <w:rPr>
                <w:sz w:val="17"/>
                <w:szCs w:val="17"/>
                <w:color w:val="auto"/>
              </w:rPr>
            </w:pPr>
          </w:p>
        </w:tc>
        <w:tc>
          <w:tcPr>
            <w:tcW w:w="960" w:type="dxa"/>
            <w:vAlign w:val="bottom"/>
            <w:tcBorders>
              <w:top w:val="single" w:sz="8" w:color="auto"/>
            </w:tcBorders>
            <w:shd w:val="clear" w:color="auto" w:fill="D2EEF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(loss) per share: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7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shd w:val="clear" w:color="auto" w:fill="D2EEF5"/>
          </w:tcPr>
          <w:p>
            <w:pPr>
              <w:spacing w:after="0" w:line="20" w:lineRule="exact"/>
              <w:rPr>
                <w:sz w:val="1"/>
                <w:szCs w:val="1"/>
                <w:color w:val="auto"/>
              </w:rPr>
            </w:pPr>
          </w:p>
        </w:tc>
        <w:tc>
          <w:tcPr>
            <w:tcW w:w="600" w:type="dxa"/>
            <w:vAlign w:val="bottom"/>
            <w:shd w:val="clear" w:color="auto" w:fill="D2EEF5"/>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D2EEF5"/>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discontinued operations, basic and diluted</w:t>
            </w:r>
          </w:p>
        </w:tc>
        <w:tc>
          <w:tcPr>
            <w:tcW w:w="6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8"/>
                <w:szCs w:val="18"/>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D2EEF5"/>
              <w:bottom w:val="single" w:sz="8" w:color="D2EEF5"/>
            </w:tcBorders>
            <w:shd w:val="clear" w:color="auto" w:fill="D2EEF5"/>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600" w:type="dxa"/>
            <w:vAlign w:val="bottom"/>
            <w:tcBorders>
              <w:top w:val="single" w:sz="8" w:color="D2EEF5"/>
              <w:bottom w:val="single" w:sz="8" w:color="D2EEF5"/>
            </w:tcBorders>
            <w:shd w:val="clear" w:color="auto" w:fill="D2EEF5"/>
          </w:tcPr>
          <w:p>
            <w:pPr>
              <w:spacing w:after="0"/>
              <w:rPr>
                <w:sz w:val="17"/>
                <w:szCs w:val="17"/>
                <w:color w:val="auto"/>
              </w:rPr>
            </w:pPr>
          </w:p>
        </w:tc>
        <w:tc>
          <w:tcPr>
            <w:tcW w:w="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D2EEF5"/>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top w:val="single" w:sz="8" w:color="D2EEF5"/>
              <w:bottom w:val="single" w:sz="8" w:color="D2EEF5"/>
            </w:tcBorders>
            <w:shd w:val="clear" w:color="auto" w:fill="D2EEF5"/>
          </w:tcPr>
          <w:p>
            <w:pPr>
              <w:spacing w:after="0"/>
              <w:rPr>
                <w:sz w:val="17"/>
                <w:szCs w:val="17"/>
                <w:color w:val="auto"/>
              </w:rPr>
            </w:pPr>
          </w:p>
        </w:tc>
        <w:tc>
          <w:tcPr>
            <w:tcW w:w="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D2EEF5"/>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following securities, rounded to the thousand, were not included in the diluted net loss per share calculation because their effect was anti-dilutive for the periods presented:</w:t>
      </w:r>
    </w:p>
    <w:p>
      <w:pPr>
        <w:spacing w:after="0" w:line="15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7280" w:type="dxa"/>
            <w:vAlign w:val="bottom"/>
            <w:tcBorders>
              <w:bottom w:val="single" w:sz="8" w:color="D2EEF5"/>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D2EEF5"/>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2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588,000</w:t>
            </w:r>
          </w:p>
        </w:tc>
        <w:tc>
          <w:tcPr>
            <w:tcW w:w="220" w:type="dxa"/>
            <w:vAlign w:val="bottom"/>
            <w:shd w:val="clear" w:color="auto" w:fill="D2EEF5"/>
          </w:tcPr>
          <w:p>
            <w:pPr>
              <w:spacing w:after="0"/>
              <w:rPr>
                <w:sz w:val="18"/>
                <w:szCs w:val="18"/>
                <w:color w:val="auto"/>
              </w:rPr>
            </w:pPr>
          </w:p>
        </w:tc>
        <w:tc>
          <w:tcPr>
            <w:tcW w:w="12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738,000</w:t>
            </w:r>
          </w:p>
        </w:tc>
      </w:tr>
      <w:tr>
        <w:trPr>
          <w:trHeight w:val="216"/>
        </w:trPr>
        <w:tc>
          <w:tcPr>
            <w:tcW w:w="7280" w:type="dxa"/>
            <w:vAlign w:val="bottom"/>
            <w:tcBorders>
              <w:bottom w:val="single" w:sz="8" w:color="D2EEF5"/>
            </w:tcBorders>
          </w:tcPr>
          <w:p>
            <w:pPr>
              <w:spacing w:after="0"/>
              <w:rPr>
                <w:sz w:val="20"/>
                <w:szCs w:val="20"/>
                <w:color w:val="auto"/>
              </w:rPr>
            </w:pPr>
            <w:r>
              <w:rPr>
                <w:rFonts w:ascii="Times New Roman" w:cs="Times New Roman" w:eastAsia="Times New Roman" w:hAnsi="Times New Roman"/>
                <w:sz w:val="18"/>
                <w:szCs w:val="18"/>
                <w:color w:val="auto"/>
              </w:rPr>
              <w:t>Common stock purchase warrants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8,279,000</w:t>
            </w:r>
          </w:p>
        </w:tc>
        <w:tc>
          <w:tcPr>
            <w:tcW w:w="220" w:type="dxa"/>
            <w:vAlign w:val="bottom"/>
            <w:tcBorders>
              <w:bottom w:val="single" w:sz="8" w:color="D2EEF5"/>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80" w:type="dxa"/>
            <w:vAlign w:val="bottom"/>
            <w:tcBorders>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2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8,867,000</w:t>
            </w:r>
          </w:p>
        </w:tc>
        <w:tc>
          <w:tcPr>
            <w:tcW w:w="220" w:type="dxa"/>
            <w:vAlign w:val="bottom"/>
            <w:tcBorders>
              <w:bottom w:val="single" w:sz="8" w:color="D2EEF5"/>
            </w:tcBorders>
            <w:shd w:val="clear" w:color="auto" w:fill="D2EEF5"/>
          </w:tcPr>
          <w:p>
            <w:pPr>
              <w:spacing w:after="0"/>
              <w:rPr>
                <w:sz w:val="18"/>
                <w:szCs w:val="18"/>
                <w:color w:val="auto"/>
              </w:rPr>
            </w:pPr>
          </w:p>
        </w:tc>
        <w:tc>
          <w:tcPr>
            <w:tcW w:w="12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738,000</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OTHER RECEIVABLE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Qualifying grant income earned in advance of cash received from grants is recognized as revenue and recorded as other receivable. The Company recorded $4.4 million of grant income related to the CPRIT grant for the year ended December 31, 2024. At December 31, 2024, the Company recorded $2.1 million of grant income receivable related to the CPRIT grant.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the Company recorded $0.5 million and $1.0 million of grant income related to the FDA and SBIR grants related to MT - 401, respectively, for the year ended December 31, 2024. At December 31, 2024, the Company recorded nil and $0.2 million of grant income receivable related to the FDA and SBIR grants,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$0.2 million of funds from SBIR in February 2025.</w:t>
      </w:r>
    </w:p>
    <w:p>
      <w:pPr>
        <w:spacing w:after="0" w:line="22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 also recorded approximately $6,000 and $7,000 of grant income related to the National Institutes of Health grants related to the advancement of MT-601 in patients with pancreatic cancer.</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 received $6,000 and $7,000, respectively, from the National Institutes of Health grants related to the advancement of MT-601 in patients with pancreatic cancer.</w:t>
      </w:r>
    </w:p>
    <w:p>
      <w:pPr>
        <w:spacing w:after="0" w:line="1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discussed in Note 1, on June 26, 2023, the Company completed the previously announced transaction with Cell Ready for cash consideration of $19.0 million, resulting in derecognition of the Purchased Assets and a gain on sale of approximately $8.7 million, net of $63,000 in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and liabilities classified in discontinued operations as of December 31, 2024 and 2023, respectively.</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ectPr>
          <w:pgSz w:w="12240" w:h="15840" w:orient="portrait"/>
          <w:cols w:equalWidth="0" w:num="1">
            <w:col w:w="9920"/>
          </w:cols>
          <w:pgMar w:left="1160" w:top="431" w:right="1160" w:bottom="0" w:gutter="0" w:footer="0" w:header="0"/>
          <w:type w:val="continuous"/>
        </w:sectPr>
      </w:pPr>
    </w:p>
    <w:bookmarkStart w:id="112" w:name="page113"/>
    <w:bookmarkEnd w:id="112"/>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 had no activity related to discontinued operations for the year ended December 31, 2024. Net loss from discontinued operations consists of the following for the year ended December 31, 2023, excluding the gain on disposal:</w:t>
      </w:r>
    </w:p>
    <w:p>
      <w:pPr>
        <w:spacing w:after="0" w:line="1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9"/>
        </w:trPr>
        <w:tc>
          <w:tcPr>
            <w:tcW w:w="4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5"/>
        </w:trPr>
        <w:tc>
          <w:tcPr>
            <w:tcW w:w="4580" w:type="dxa"/>
            <w:vAlign w:val="bottom"/>
            <w:tcBorders>
              <w:bottom w:val="single" w:sz="8" w:color="D2EEF5"/>
            </w:tcBorders>
          </w:tcPr>
          <w:p>
            <w:pPr>
              <w:spacing w:after="0"/>
              <w:rPr>
                <w:sz w:val="15"/>
                <w:szCs w:val="15"/>
                <w:color w:val="auto"/>
              </w:rPr>
            </w:pPr>
          </w:p>
        </w:tc>
        <w:tc>
          <w:tcPr>
            <w:tcW w:w="210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5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0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00" w:type="dxa"/>
            <w:vAlign w:val="bottom"/>
            <w:shd w:val="clear" w:color="auto" w:fill="D2EEF5"/>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22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816,641</w:t>
            </w:r>
          </w:p>
        </w:tc>
      </w:tr>
      <w:tr>
        <w:trPr>
          <w:trHeight w:val="216"/>
        </w:trPr>
        <w:tc>
          <w:tcPr>
            <w:tcW w:w="458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Related party service revenue</w:t>
            </w:r>
          </w:p>
        </w:tc>
        <w:tc>
          <w:tcPr>
            <w:tcW w:w="2100" w:type="dxa"/>
            <w:vAlign w:val="bottom"/>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3,500,000</w:t>
            </w: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4,316,641</w:t>
            </w:r>
          </w:p>
        </w:tc>
      </w:tr>
      <w:tr>
        <w:trPr>
          <w:trHeight w:val="216"/>
        </w:trPr>
        <w:tc>
          <w:tcPr>
            <w:tcW w:w="458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0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00" w:type="dxa"/>
            <w:vAlign w:val="bottom"/>
            <w:shd w:val="clear" w:color="auto" w:fill="D2EEF5"/>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6,561,957</w:t>
            </w:r>
          </w:p>
        </w:tc>
      </w:tr>
      <w:tr>
        <w:trPr>
          <w:trHeight w:val="216"/>
        </w:trPr>
        <w:tc>
          <w:tcPr>
            <w:tcW w:w="458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00" w:type="dxa"/>
            <w:vAlign w:val="bottom"/>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677,090</w:t>
            </w:r>
          </w:p>
        </w:tc>
      </w:tr>
      <w:tr>
        <w:trPr>
          <w:trHeight w:val="209"/>
        </w:trPr>
        <w:tc>
          <w:tcPr>
            <w:tcW w:w="4580" w:type="dxa"/>
            <w:vAlign w:val="bottom"/>
            <w:tcBorders>
              <w:bottom w:val="single" w:sz="8" w:color="D2EEF5"/>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00" w:type="dxa"/>
            <w:vAlign w:val="bottom"/>
            <w:tcBorders>
              <w:bottom w:val="single" w:sz="8" w:color="D2EE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7,239,047</w:t>
            </w:r>
          </w:p>
        </w:tc>
      </w:tr>
      <w:tr>
        <w:trPr>
          <w:trHeight w:val="210"/>
        </w:trPr>
        <w:tc>
          <w:tcPr>
            <w:tcW w:w="4580" w:type="dxa"/>
            <w:vAlign w:val="bottom"/>
            <w:tcBorders>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100" w:type="dxa"/>
            <w:vAlign w:val="bottom"/>
            <w:tcBorders>
              <w:bottom w:val="single" w:sz="8" w:color="D2EEF5"/>
            </w:tcBorders>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(2,922,406)</w:t>
            </w:r>
          </w:p>
        </w:tc>
      </w:tr>
      <w:tr>
        <w:trPr>
          <w:trHeight w:val="20"/>
        </w:trPr>
        <w:tc>
          <w:tcPr>
            <w:tcW w:w="4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related to discontinued operations for the year ended December 31, 2023:</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9"/>
        </w:trPr>
        <w:tc>
          <w:tcPr>
            <w:tcW w:w="5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5"/>
        </w:trPr>
        <w:tc>
          <w:tcPr>
            <w:tcW w:w="5940" w:type="dxa"/>
            <w:vAlign w:val="bottom"/>
            <w:tcBorders>
              <w:bottom w:val="single" w:sz="8" w:color="D2EEF5"/>
            </w:tcBorders>
          </w:tcPr>
          <w:p>
            <w:pPr>
              <w:spacing w:after="0"/>
              <w:rPr>
                <w:sz w:val="15"/>
                <w:szCs w:val="15"/>
                <w:color w:val="auto"/>
              </w:rPr>
            </w:pPr>
          </w:p>
        </w:tc>
        <w:tc>
          <w:tcPr>
            <w:tcW w:w="70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59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7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1120" w:type="dxa"/>
            <w:vAlign w:val="bottom"/>
            <w:shd w:val="clear" w:color="auto" w:fill="D2EEF5"/>
          </w:tcPr>
          <w:p>
            <w:pPr>
              <w:spacing w:after="0"/>
              <w:rPr>
                <w:sz w:val="18"/>
                <w:szCs w:val="18"/>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(6,099,000)</w:t>
            </w:r>
          </w:p>
        </w:tc>
      </w:tr>
      <w:tr>
        <w:trPr>
          <w:trHeight w:val="216"/>
        </w:trPr>
        <w:tc>
          <w:tcPr>
            <w:tcW w:w="594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7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11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18,664,000</w:t>
            </w:r>
          </w:p>
        </w:tc>
      </w:tr>
      <w:tr>
        <w:trPr>
          <w:trHeight w:val="209"/>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cash and cash equivalents from discontinued operations</w:t>
            </w:r>
          </w:p>
        </w:tc>
        <w:tc>
          <w:tcPr>
            <w:tcW w:w="720" w:type="dxa"/>
            <w:vAlign w:val="bottom"/>
            <w:gridSpan w:val="2"/>
          </w:tcPr>
          <w:p>
            <w:pPr>
              <w:spacing w:after="0"/>
              <w:rPr>
                <w:sz w:val="18"/>
                <w:szCs w:val="18"/>
                <w:color w:val="auto"/>
              </w:rPr>
            </w:pP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12,565,000</w:t>
            </w:r>
          </w:p>
        </w:tc>
      </w:tr>
      <w:tr>
        <w:trPr>
          <w:trHeight w:val="20"/>
        </w:trPr>
        <w:tc>
          <w:tcPr>
            <w:tcW w:w="5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Service Revenue</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2022, the Company entered into a binding services agreement (“Wilson Wolf Agreement”) with Wilson Wolf Manufacturing Corporation (“Wilson Wolf”). Mr. John Wilson was a member of the Company’s board of directors at the time of the agreement and is serving as the CEO of Wilson Wolf. Wilson Wolf is in the business of creating products and services intended to simplify and expedite the transition of cell therapies and gene-modified cell therapies to mainstream society (the “Wilson Wolf Mission”). Pursuant to the Wilson Wolf Agreement, Wilson Wolf made a cash payment to the Company in the amount of $8.0 million, as consideration for certain training and research services.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recognized the final $2.5 million of revenue pursuant to this $8.0 million agreement and an additional $1.0 million because the work was completed within one year from the onset of the Wilson Wolf Agreement, achieving the agreed milestone. The Wilson Wolf Agreement and related service obligations were completed upon achievement of this final milestone, and no obligations remain.</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ACCOUNTS PAYABLE, ACCRUED LIABILITIES, AND RELATED PARTY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accrued liabilities, and related party payable consist of the following as of December 31, 2024 and 2023, respectively:</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5"/>
        </w:trPr>
        <w:tc>
          <w:tcPr>
            <w:tcW w:w="4600" w:type="dxa"/>
            <w:vAlign w:val="bottom"/>
          </w:tcPr>
          <w:p>
            <w:pPr>
              <w:spacing w:after="0"/>
              <w:rPr>
                <w:sz w:val="15"/>
                <w:szCs w:val="15"/>
                <w:color w:val="auto"/>
              </w:rPr>
            </w:pPr>
          </w:p>
        </w:tc>
        <w:tc>
          <w:tcPr>
            <w:tcW w:w="224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60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tcBorders>
              <w:top w:val="single" w:sz="8" w:color="D2EEF5"/>
            </w:tcBorders>
            <w:shd w:val="clear" w:color="auto" w:fill="D2EEF5"/>
          </w:tcPr>
          <w:p>
            <w:pPr>
              <w:spacing w:after="0"/>
              <w:rPr>
                <w:sz w:val="18"/>
                <w:szCs w:val="18"/>
                <w:color w:val="auto"/>
              </w:rPr>
            </w:pPr>
          </w:p>
        </w:tc>
        <w:tc>
          <w:tcPr>
            <w:tcW w:w="9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8"/>
              </w:rPr>
              <w:t>$ 1,066,000</w:t>
            </w:r>
          </w:p>
        </w:tc>
        <w:tc>
          <w:tcPr>
            <w:tcW w:w="160" w:type="dxa"/>
            <w:vAlign w:val="bottom"/>
            <w:tcBorders>
              <w:top w:val="single" w:sz="8" w:color="D2EEF5"/>
            </w:tcBorders>
            <w:shd w:val="clear" w:color="auto" w:fill="D2EEF5"/>
          </w:tcPr>
          <w:p>
            <w:pPr>
              <w:spacing w:after="0"/>
              <w:rPr>
                <w:sz w:val="18"/>
                <w:szCs w:val="18"/>
                <w:color w:val="auto"/>
              </w:rPr>
            </w:pPr>
          </w:p>
        </w:tc>
        <w:tc>
          <w:tcPr>
            <w:tcW w:w="9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   961,000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57,000</w:t>
            </w:r>
          </w:p>
        </w:tc>
      </w:tr>
      <w:tr>
        <w:trPr>
          <w:trHeight w:val="216"/>
        </w:trPr>
        <w:tc>
          <w:tcPr>
            <w:tcW w:w="46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4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293,000</w:t>
            </w:r>
          </w:p>
        </w:tc>
        <w:tc>
          <w:tcPr>
            <w:tcW w:w="10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303,000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1,330,000</w:t>
            </w:r>
          </w:p>
        </w:tc>
      </w:tr>
      <w:tr>
        <w:trPr>
          <w:trHeight w:val="216"/>
        </w:trPr>
        <w:tc>
          <w:tcPr>
            <w:tcW w:w="460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Tax fees</w:t>
            </w:r>
          </w:p>
        </w:tc>
        <w:tc>
          <w:tcPr>
            <w:tcW w:w="224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104,000</w:t>
            </w:r>
          </w:p>
        </w:tc>
        <w:tc>
          <w:tcPr>
            <w:tcW w:w="108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219,000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205,000</w:t>
            </w:r>
          </w:p>
        </w:tc>
      </w:tr>
      <w:tr>
        <w:trPr>
          <w:trHeight w:val="210"/>
        </w:trPr>
        <w:tc>
          <w:tcPr>
            <w:tcW w:w="4600" w:type="dxa"/>
            <w:vAlign w:val="bottom"/>
            <w:tcBorders>
              <w:top w:val="single" w:sz="8" w:color="D2EEF5"/>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320" w:type="dxa"/>
            <w:vAlign w:val="bottom"/>
            <w:tcBorders>
              <w:top w:val="single" w:sz="8" w:color="D2EEF5"/>
              <w:bottom w:val="single" w:sz="8" w:color="D2EEF5"/>
            </w:tcBorders>
            <w:shd w:val="clear" w:color="auto" w:fill="D2EEF5"/>
          </w:tcPr>
          <w:p>
            <w:pPr>
              <w:spacing w:after="0"/>
              <w:rPr>
                <w:sz w:val="18"/>
                <w:szCs w:val="18"/>
                <w:color w:val="auto"/>
              </w:rPr>
            </w:pPr>
          </w:p>
        </w:tc>
        <w:tc>
          <w:tcPr>
            <w:tcW w:w="9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3,464,000</w:t>
            </w:r>
          </w:p>
        </w:tc>
        <w:tc>
          <w:tcPr>
            <w:tcW w:w="160" w:type="dxa"/>
            <w:vAlign w:val="bottom"/>
            <w:tcBorders>
              <w:top w:val="single" w:sz="8" w:color="D2EEF5"/>
              <w:bottom w:val="single" w:sz="8" w:color="D2EEF5"/>
            </w:tcBorders>
            <w:shd w:val="clear" w:color="auto" w:fill="D2EEF5"/>
          </w:tcPr>
          <w:p>
            <w:pPr>
              <w:spacing w:after="0"/>
              <w:rPr>
                <w:sz w:val="18"/>
                <w:szCs w:val="18"/>
                <w:color w:val="auto"/>
              </w:rPr>
            </w:pPr>
          </w:p>
        </w:tc>
        <w:tc>
          <w:tcPr>
            <w:tcW w:w="9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3,075,000</w:t>
            </w:r>
          </w:p>
        </w:tc>
      </w:tr>
      <w:tr>
        <w:trPr>
          <w:trHeight w:val="20"/>
        </w:trPr>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ectPr>
          <w:pgSz w:w="12240" w:h="15840" w:orient="portrait"/>
          <w:cols w:equalWidth="0" w:num="1">
            <w:col w:w="9920"/>
          </w:cols>
          <w:pgMar w:left="1160" w:top="431" w:right="1160" w:bottom="0" w:gutter="0" w:footer="0" w:header="0"/>
          <w:type w:val="continuous"/>
        </w:sectPr>
      </w:pPr>
    </w:p>
    <w:bookmarkStart w:id="113" w:name="page114"/>
    <w:bookmarkEnd w:id="113"/>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$1.7 million related-party payable reflects amounts payable to Cell Ready for outsourced product development and manufacturing services. This amount was paid during January 2025. See Note 12 for additional information.</w:t>
      </w:r>
    </w:p>
    <w:p>
      <w:pPr>
        <w:spacing w:after="0" w:line="1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right="20" w:firstLine="1"/>
        <w:spacing w:after="0" w:line="258" w:lineRule="auto"/>
        <w:rPr>
          <w:sz w:val="20"/>
          <w:szCs w:val="20"/>
          <w:color w:val="auto"/>
        </w:rPr>
      </w:pPr>
      <w:r>
        <w:rPr>
          <w:rFonts w:ascii="Times New Roman" w:cs="Times New Roman" w:eastAsia="Times New Roman" w:hAnsi="Times New Roman"/>
          <w:sz w:val="18"/>
          <w:szCs w:val="18"/>
          <w:color w:val="auto"/>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3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up to 30,000,000 shares of common stock, $0.001 par value per share, for issuance. Significant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common stock transactions were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Common Stock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Net proceeds from the sale of securities in the Private Placement was approximately $14.9 million, which does not include any proceeds that may be received upon the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Stock Pursuant to ATM Agreement</w:t>
      </w:r>
    </w:p>
    <w:p>
      <w:pPr>
        <w:spacing w:after="0" w:line="228" w:lineRule="exact"/>
        <w:rPr>
          <w:sz w:val="20"/>
          <w:szCs w:val="20"/>
          <w:color w:val="auto"/>
        </w:rPr>
      </w:pPr>
    </w:p>
    <w:p>
      <w:pPr>
        <w:jc w:val="both"/>
        <w:ind w:firstLine="1"/>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2024, the Company sold 8,178 shares of its common stock under the ATM Agreement for gross proceeds of $37,000. On June 10, 2024, the Company provided notice of its termination of the ATM Agreement with Cantor Fitzgerald</w:t>
      </w:r>
    </w:p>
    <w:p>
      <w:pPr>
        <w:spacing w:after="0" w:line="1" w:lineRule="exact"/>
        <w:rPr>
          <w:sz w:val="20"/>
          <w:szCs w:val="20"/>
          <w:color w:val="auto"/>
        </w:rPr>
      </w:pPr>
    </w:p>
    <w:p>
      <w:pPr>
        <w:ind w:right="20"/>
        <w:spacing w:after="0" w:line="283" w:lineRule="auto"/>
        <w:tabs>
          <w:tab w:leader="none" w:pos="1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RBC Capital Markets, LLC. In November 2024, the Company entered into an ATM Agreement with H.C. Wainwright &amp; Co., LLC.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During the year ended December 31, 2024, certain outstanding options were exercised for 25,602 shares of common stock providing aggregate proceeds to the Company of approximately $62,000.</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ectPr>
          <w:pgSz w:w="12240" w:h="15840" w:orient="portrait"/>
          <w:cols w:equalWidth="0" w:num="1">
            <w:col w:w="9920"/>
          </w:cols>
          <w:pgMar w:left="1160" w:top="431" w:right="116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2023 Common Stock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Stock Pursuant to ATM Agreement</w:t>
      </w:r>
    </w:p>
    <w:p>
      <w:pPr>
        <w:spacing w:after="0" w:line="228" w:lineRule="exact"/>
        <w:rPr>
          <w:sz w:val="20"/>
          <w:szCs w:val="20"/>
          <w:color w:val="auto"/>
        </w:rPr>
      </w:pPr>
    </w:p>
    <w:p>
      <w:pPr>
        <w:jc w:val="both"/>
        <w:ind w:right="20" w:firstLine="1"/>
        <w:spacing w:after="0" w:line="283" w:lineRule="auto"/>
        <w:rPr>
          <w:sz w:val="20"/>
          <w:szCs w:val="20"/>
          <w:color w:val="auto"/>
        </w:rPr>
      </w:pPr>
      <w:r>
        <w:rPr>
          <w:rFonts w:ascii="Times New Roman" w:cs="Times New Roman" w:eastAsia="Times New Roman" w:hAnsi="Times New Roman"/>
          <w:sz w:val="18"/>
          <w:szCs w:val="18"/>
          <w:color w:val="auto"/>
        </w:rPr>
        <w:t>During the year ended December 31, 2023, the Company sold 265,334 shares of its common stock under the ATM Agreement for net proceeds of $1.0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Purchase Agreement with Lincoln Park</w:t>
      </w:r>
    </w:p>
    <w:p>
      <w:pPr>
        <w:spacing w:after="0" w:line="228"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 xml:space="preserve">In December 2022, the Company entered into a purchase agreement (the “Purchase Agreement”) with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w:t>
      </w:r>
      <w:r>
        <w:rPr>
          <w:rFonts w:ascii="Arial" w:cs="Arial" w:eastAsia="Arial" w:hAnsi="Arial"/>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Instead, the purchase agreement is indexed to the Company’s own stock under ASC Subtopic 815-40, </w:t>
      </w:r>
      <w:r>
        <w:rPr>
          <w:rFonts w:ascii="Arial" w:cs="Arial" w:eastAsia="Arial" w:hAnsi="Arial"/>
          <w:sz w:val="18"/>
          <w:szCs w:val="18"/>
          <w:i w:val="1"/>
          <w:iCs w:val="1"/>
          <w:color w:val="auto"/>
        </w:rPr>
        <w:t>Contracts in Entity’s Own Equity</w:t>
      </w:r>
      <w:r>
        <w:rPr>
          <w:rFonts w:ascii="Times New Roman" w:cs="Times New Roman" w:eastAsia="Times New Roman" w:hAnsi="Times New Roman"/>
          <w:sz w:val="18"/>
          <w:szCs w:val="18"/>
          <w:color w:val="auto"/>
        </w:rPr>
        <w:t>, and classified as equity. In January 2023, Lincoln Park was issued 180,410 shares of stock as a commitment fee at a value of $0.5 million. During the year ended December 31, 2023, the Company sold 12,500 shares of its common stock under the Purchase Agreement for proceeds of approximately $33,000. The Company terminated the Purchase Agreement with Lincoln Park on February 29, 2024 effective March 1,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During the year ended December 31, 2023, certain outstanding options were exercised for 27,518 shares of common stock providing aggregate proceeds to the Company of approximately $0.1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Summary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warrants outstanding at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New</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2"/>
            <w:vMerge w:val="continue"/>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74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19"/>
        </w:trPr>
        <w:tc>
          <w:tcPr>
            <w:tcW w:w="3560" w:type="dxa"/>
            <w:vAlign w:val="bottom"/>
            <w:tcBorders>
              <w:top w:val="single" w:sz="8" w:color="D2EEF5"/>
            </w:tcBorders>
            <w:shd w:val="clear" w:color="auto" w:fill="D2EEF5"/>
          </w:tcPr>
          <w:p>
            <w:pPr>
              <w:spacing w:after="0" w:line="119" w:lineRule="exact"/>
              <w:rPr>
                <w:sz w:val="20"/>
                <w:szCs w:val="20"/>
                <w:color w:val="auto"/>
              </w:rPr>
            </w:pPr>
            <w:r>
              <w:rPr>
                <w:rFonts w:ascii="Times New Roman" w:cs="Times New Roman" w:eastAsia="Times New Roman" w:hAnsi="Times New Roman"/>
                <w:sz w:val="13"/>
                <w:szCs w:val="13"/>
                <w:color w:val="auto"/>
              </w:rPr>
              <w:t>Private placement warrants</w:t>
            </w:r>
          </w:p>
        </w:tc>
        <w:tc>
          <w:tcPr>
            <w:tcW w:w="940" w:type="dxa"/>
            <w:vAlign w:val="bottom"/>
            <w:tcBorders>
              <w:top w:val="single" w:sz="8" w:color="auto"/>
            </w:tcBorders>
            <w:shd w:val="clear" w:color="auto" w:fill="D2EEF5"/>
          </w:tcPr>
          <w:p>
            <w:pPr>
              <w:spacing w:after="0"/>
              <w:rPr>
                <w:sz w:val="10"/>
                <w:szCs w:val="10"/>
                <w:color w:val="auto"/>
              </w:rPr>
            </w:pPr>
          </w:p>
        </w:tc>
        <w:tc>
          <w:tcPr>
            <w:tcW w:w="140" w:type="dxa"/>
            <w:vAlign w:val="bottom"/>
            <w:tcBorders>
              <w:top w:val="single" w:sz="8" w:color="D2EEF5"/>
            </w:tcBorders>
            <w:shd w:val="clear" w:color="auto" w:fill="D2EEF5"/>
          </w:tcPr>
          <w:p>
            <w:pPr>
              <w:spacing w:after="0"/>
              <w:rPr>
                <w:sz w:val="10"/>
                <w:szCs w:val="10"/>
                <w:color w:val="auto"/>
              </w:rPr>
            </w:pPr>
          </w:p>
        </w:tc>
        <w:tc>
          <w:tcPr>
            <w:tcW w:w="120" w:type="dxa"/>
            <w:vAlign w:val="bottom"/>
            <w:tcBorders>
              <w:top w:val="single" w:sz="8" w:color="auto"/>
            </w:tcBorders>
            <w:shd w:val="clear" w:color="auto" w:fill="D2EEF5"/>
          </w:tcPr>
          <w:p>
            <w:pPr>
              <w:spacing w:after="0"/>
              <w:rPr>
                <w:sz w:val="10"/>
                <w:szCs w:val="10"/>
                <w:color w:val="auto"/>
              </w:rPr>
            </w:pPr>
          </w:p>
        </w:tc>
        <w:tc>
          <w:tcPr>
            <w:tcW w:w="520" w:type="dxa"/>
            <w:vAlign w:val="bottom"/>
            <w:tcBorders>
              <w:top w:val="single" w:sz="8" w:color="auto"/>
            </w:tcBorders>
            <w:shd w:val="clear" w:color="auto" w:fill="D2EEF5"/>
          </w:tcPr>
          <w:p>
            <w:pPr>
              <w:spacing w:after="0"/>
              <w:rPr>
                <w:sz w:val="10"/>
                <w:szCs w:val="10"/>
                <w:color w:val="auto"/>
              </w:rPr>
            </w:pPr>
          </w:p>
        </w:tc>
        <w:tc>
          <w:tcPr>
            <w:tcW w:w="140" w:type="dxa"/>
            <w:vAlign w:val="bottom"/>
            <w:tcBorders>
              <w:top w:val="single" w:sz="8" w:color="D2EEF5"/>
            </w:tcBorders>
            <w:shd w:val="clear" w:color="auto" w:fill="D2EEF5"/>
          </w:tcPr>
          <w:p>
            <w:pPr>
              <w:spacing w:after="0"/>
              <w:rPr>
                <w:sz w:val="10"/>
                <w:szCs w:val="10"/>
                <w:color w:val="auto"/>
              </w:rPr>
            </w:pPr>
          </w:p>
        </w:tc>
        <w:tc>
          <w:tcPr>
            <w:tcW w:w="900" w:type="dxa"/>
            <w:vAlign w:val="bottom"/>
            <w:tcBorders>
              <w:top w:val="single" w:sz="8" w:color="auto"/>
            </w:tcBorders>
            <w:shd w:val="clear" w:color="auto" w:fill="D2EEF5"/>
          </w:tcPr>
          <w:p>
            <w:pPr>
              <w:jc w:val="center"/>
              <w:spacing w:after="0" w:line="119" w:lineRule="exact"/>
              <w:rPr>
                <w:sz w:val="20"/>
                <w:szCs w:val="20"/>
                <w:color w:val="auto"/>
              </w:rPr>
            </w:pPr>
            <w:r>
              <w:rPr>
                <w:rFonts w:ascii="Times New Roman" w:cs="Times New Roman" w:eastAsia="Times New Roman" w:hAnsi="Times New Roman"/>
                <w:sz w:val="13"/>
                <w:szCs w:val="13"/>
                <w:color w:val="auto"/>
              </w:rPr>
              <w:t>5 years from</w:t>
            </w:r>
          </w:p>
        </w:tc>
        <w:tc>
          <w:tcPr>
            <w:tcW w:w="140" w:type="dxa"/>
            <w:vAlign w:val="bottom"/>
            <w:tcBorders>
              <w:top w:val="single" w:sz="8" w:color="D2EEF5"/>
            </w:tcBorders>
            <w:shd w:val="clear" w:color="auto" w:fill="D2EEF5"/>
          </w:tcPr>
          <w:p>
            <w:pPr>
              <w:spacing w:after="0"/>
              <w:rPr>
                <w:sz w:val="10"/>
                <w:szCs w:val="10"/>
                <w:color w:val="auto"/>
              </w:rPr>
            </w:pPr>
          </w:p>
        </w:tc>
        <w:tc>
          <w:tcPr>
            <w:tcW w:w="860" w:type="dxa"/>
            <w:vAlign w:val="bottom"/>
            <w:tcBorders>
              <w:top w:val="single" w:sz="8" w:color="auto"/>
            </w:tcBorders>
            <w:shd w:val="clear" w:color="auto" w:fill="D2EEF5"/>
          </w:tcPr>
          <w:p>
            <w:pPr>
              <w:spacing w:after="0"/>
              <w:rPr>
                <w:sz w:val="10"/>
                <w:szCs w:val="10"/>
                <w:color w:val="auto"/>
              </w:rPr>
            </w:pPr>
          </w:p>
        </w:tc>
        <w:tc>
          <w:tcPr>
            <w:tcW w:w="140" w:type="dxa"/>
            <w:vAlign w:val="bottom"/>
            <w:tcBorders>
              <w:top w:val="single" w:sz="8" w:color="D2EEF5"/>
            </w:tcBorders>
            <w:shd w:val="clear" w:color="auto" w:fill="D2EEF5"/>
          </w:tcPr>
          <w:p>
            <w:pPr>
              <w:spacing w:after="0"/>
              <w:rPr>
                <w:sz w:val="10"/>
                <w:szCs w:val="10"/>
                <w:color w:val="auto"/>
              </w:rPr>
            </w:pPr>
          </w:p>
        </w:tc>
        <w:tc>
          <w:tcPr>
            <w:tcW w:w="680" w:type="dxa"/>
            <w:vAlign w:val="bottom"/>
            <w:tcBorders>
              <w:top w:val="single" w:sz="8" w:color="auto"/>
            </w:tcBorders>
            <w:shd w:val="clear" w:color="auto" w:fill="D2EEF5"/>
          </w:tcPr>
          <w:p>
            <w:pPr>
              <w:spacing w:after="0"/>
              <w:rPr>
                <w:sz w:val="10"/>
                <w:szCs w:val="10"/>
                <w:color w:val="auto"/>
              </w:rPr>
            </w:pPr>
          </w:p>
        </w:tc>
        <w:tc>
          <w:tcPr>
            <w:tcW w:w="160" w:type="dxa"/>
            <w:vAlign w:val="bottom"/>
            <w:tcBorders>
              <w:top w:val="single" w:sz="8" w:color="D2EEF5"/>
            </w:tcBorders>
            <w:shd w:val="clear" w:color="auto" w:fill="D2EEF5"/>
          </w:tcPr>
          <w:p>
            <w:pPr>
              <w:spacing w:after="0"/>
              <w:rPr>
                <w:sz w:val="10"/>
                <w:szCs w:val="10"/>
                <w:color w:val="auto"/>
              </w:rPr>
            </w:pPr>
          </w:p>
        </w:tc>
        <w:tc>
          <w:tcPr>
            <w:tcW w:w="600" w:type="dxa"/>
            <w:vAlign w:val="bottom"/>
            <w:tcBorders>
              <w:top w:val="single" w:sz="8" w:color="auto"/>
            </w:tcBorders>
            <w:shd w:val="clear" w:color="auto" w:fill="D2EEF5"/>
          </w:tcPr>
          <w:p>
            <w:pPr>
              <w:spacing w:after="0"/>
              <w:rPr>
                <w:sz w:val="10"/>
                <w:szCs w:val="10"/>
                <w:color w:val="auto"/>
              </w:rPr>
            </w:pPr>
          </w:p>
        </w:tc>
        <w:tc>
          <w:tcPr>
            <w:tcW w:w="140" w:type="dxa"/>
            <w:vAlign w:val="bottom"/>
            <w:tcBorders>
              <w:top w:val="single" w:sz="8" w:color="D2EEF5"/>
            </w:tcBorders>
            <w:shd w:val="clear" w:color="auto" w:fill="D2EEF5"/>
          </w:tcPr>
          <w:p>
            <w:pPr>
              <w:spacing w:after="0"/>
              <w:rPr>
                <w:sz w:val="10"/>
                <w:szCs w:val="10"/>
                <w:color w:val="auto"/>
              </w:rPr>
            </w:pPr>
          </w:p>
        </w:tc>
        <w:tc>
          <w:tcPr>
            <w:tcW w:w="880" w:type="dxa"/>
            <w:vAlign w:val="bottom"/>
            <w:tcBorders>
              <w:top w:val="single" w:sz="8" w:color="auto"/>
            </w:tcBorders>
            <w:shd w:val="clear" w:color="auto" w:fill="D2EEF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D2EEF5"/>
          </w:tcPr>
          <w:p>
            <w:pPr>
              <w:spacing w:after="0"/>
              <w:rPr>
                <w:sz w:val="12"/>
                <w:szCs w:val="12"/>
                <w:color w:val="auto"/>
              </w:rPr>
            </w:pPr>
          </w:p>
        </w:tc>
        <w:tc>
          <w:tcPr>
            <w:tcW w:w="1080" w:type="dxa"/>
            <w:vAlign w:val="bottom"/>
            <w:gridSpan w:val="2"/>
            <w:vMerge w:val="restart"/>
            <w:shd w:val="clear" w:color="auto" w:fill="D2EEF5"/>
          </w:tcPr>
          <w:p>
            <w:pPr>
              <w:jc w:val="center"/>
              <w:ind w:right="140"/>
              <w:spacing w:after="0"/>
              <w:rPr>
                <w:sz w:val="20"/>
                <w:szCs w:val="20"/>
                <w:color w:val="auto"/>
              </w:rPr>
            </w:pPr>
            <w:r>
              <w:rPr>
                <w:rFonts w:ascii="Times New Roman" w:cs="Times New Roman" w:eastAsia="Times New Roman" w:hAnsi="Times New Roman"/>
                <w:sz w:val="14"/>
                <w:szCs w:val="14"/>
                <w:color w:val="auto"/>
              </w:rPr>
              <w:t>December 2024</w:t>
            </w:r>
          </w:p>
        </w:tc>
        <w:tc>
          <w:tcPr>
            <w:tcW w:w="12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shd w:val="clear" w:color="auto" w:fill="D2EEF5"/>
          </w:tcPr>
          <w:p>
            <w:pPr>
              <w:spacing w:after="0"/>
              <w:rPr>
                <w:sz w:val="12"/>
                <w:szCs w:val="12"/>
                <w:color w:val="auto"/>
              </w:rPr>
            </w:pPr>
          </w:p>
        </w:tc>
        <w:tc>
          <w:tcPr>
            <w:tcW w:w="1040" w:type="dxa"/>
            <w:vAlign w:val="bottom"/>
            <w:gridSpan w:val="2"/>
            <w:shd w:val="clear" w:color="auto" w:fill="D2EEF5"/>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shareholder</w:t>
            </w:r>
          </w:p>
        </w:tc>
        <w:tc>
          <w:tcPr>
            <w:tcW w:w="1000" w:type="dxa"/>
            <w:vAlign w:val="bottom"/>
            <w:gridSpan w:val="2"/>
            <w:vMerge w:val="restart"/>
            <w:shd w:val="clear" w:color="auto" w:fill="D2EEF5"/>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D2EEF5"/>
          </w:tcPr>
          <w:p>
            <w:pPr>
              <w:jc w:val="center"/>
              <w:spacing w:after="0"/>
              <w:rPr>
                <w:sz w:val="20"/>
                <w:szCs w:val="20"/>
                <w:color w:val="auto"/>
              </w:rPr>
            </w:pPr>
            <w:r>
              <w:rPr>
                <w:rFonts w:ascii="Times New Roman" w:cs="Times New Roman" w:eastAsia="Times New Roman" w:hAnsi="Times New Roman"/>
                <w:sz w:val="14"/>
                <w:szCs w:val="14"/>
                <w:color w:val="auto"/>
                <w:w w:val="99"/>
              </w:rPr>
              <w:t>5,031,250</w:t>
            </w:r>
          </w:p>
        </w:tc>
        <w:tc>
          <w:tcPr>
            <w:tcW w:w="160" w:type="dxa"/>
            <w:vAlign w:val="bottom"/>
            <w:shd w:val="clear" w:color="auto" w:fill="D2EEF5"/>
          </w:tcPr>
          <w:p>
            <w:pPr>
              <w:spacing w:after="0"/>
              <w:rPr>
                <w:sz w:val="12"/>
                <w:szCs w:val="12"/>
                <w:color w:val="auto"/>
              </w:rPr>
            </w:pPr>
          </w:p>
        </w:tc>
        <w:tc>
          <w:tcPr>
            <w:tcW w:w="740" w:type="dxa"/>
            <w:vAlign w:val="bottom"/>
            <w:gridSpan w:val="2"/>
            <w:vMerge w:val="restart"/>
            <w:shd w:val="clear" w:color="auto" w:fill="D2EEF5"/>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4"/>
                <w:szCs w:val="14"/>
                <w:color w:val="auto"/>
              </w:rPr>
              <w:t>5,031,250</w:t>
            </w:r>
          </w:p>
        </w:tc>
        <w:tc>
          <w:tcPr>
            <w:tcW w:w="0" w:type="dxa"/>
            <w:vAlign w:val="bottom"/>
          </w:tcPr>
          <w:p>
            <w:pPr>
              <w:spacing w:after="0"/>
              <w:rPr>
                <w:sz w:val="1"/>
                <w:szCs w:val="1"/>
                <w:color w:val="auto"/>
              </w:rPr>
            </w:pPr>
          </w:p>
        </w:tc>
      </w:tr>
      <w:tr>
        <w:trPr>
          <w:trHeight w:val="172"/>
        </w:trPr>
        <w:tc>
          <w:tcPr>
            <w:tcW w:w="3560" w:type="dxa"/>
            <w:vAlign w:val="bottom"/>
            <w:shd w:val="clear" w:color="auto" w:fill="D2EEF5"/>
          </w:tcPr>
          <w:p>
            <w:pPr>
              <w:spacing w:after="0"/>
              <w:rPr>
                <w:sz w:val="14"/>
                <w:szCs w:val="14"/>
                <w:color w:val="auto"/>
              </w:rPr>
            </w:pPr>
          </w:p>
        </w:tc>
        <w:tc>
          <w:tcPr>
            <w:tcW w:w="1080" w:type="dxa"/>
            <w:vAlign w:val="bottom"/>
            <w:gridSpan w:val="2"/>
            <w:vMerge w:val="continue"/>
            <w:shd w:val="clear" w:color="auto" w:fill="D2EEF5"/>
          </w:tcPr>
          <w:p>
            <w:pPr>
              <w:spacing w:after="0"/>
              <w:rPr>
                <w:sz w:val="14"/>
                <w:szCs w:val="14"/>
                <w:color w:val="auto"/>
              </w:rPr>
            </w:pPr>
          </w:p>
        </w:tc>
        <w:tc>
          <w:tcPr>
            <w:tcW w:w="120" w:type="dxa"/>
            <w:vAlign w:val="bottom"/>
            <w:vMerge w:val="continue"/>
            <w:shd w:val="clear" w:color="auto" w:fill="D2EEF5"/>
          </w:tcPr>
          <w:p>
            <w:pPr>
              <w:spacing w:after="0"/>
              <w:rPr>
                <w:sz w:val="14"/>
                <w:szCs w:val="14"/>
                <w:color w:val="auto"/>
              </w:rPr>
            </w:pPr>
          </w:p>
        </w:tc>
        <w:tc>
          <w:tcPr>
            <w:tcW w:w="520" w:type="dxa"/>
            <w:vAlign w:val="bottom"/>
            <w:vMerge w:val="continue"/>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1040" w:type="dxa"/>
            <w:vAlign w:val="bottom"/>
            <w:gridSpan w:val="2"/>
            <w:shd w:val="clear" w:color="auto" w:fill="D2EEF5"/>
          </w:tcPr>
          <w:p>
            <w:pPr>
              <w:jc w:val="center"/>
              <w:ind w:right="140"/>
              <w:spacing w:after="0"/>
              <w:rPr>
                <w:sz w:val="20"/>
                <w:szCs w:val="20"/>
                <w:color w:val="auto"/>
              </w:rPr>
            </w:pPr>
            <w:r>
              <w:rPr>
                <w:rFonts w:ascii="Times New Roman" w:cs="Times New Roman" w:eastAsia="Times New Roman" w:hAnsi="Times New Roman"/>
                <w:sz w:val="14"/>
                <w:szCs w:val="14"/>
                <w:color w:val="auto"/>
              </w:rPr>
              <w:t>approval</w:t>
            </w:r>
          </w:p>
        </w:tc>
        <w:tc>
          <w:tcPr>
            <w:tcW w:w="1000" w:type="dxa"/>
            <w:vAlign w:val="bottom"/>
            <w:gridSpan w:val="2"/>
            <w:vMerge w:val="continue"/>
            <w:shd w:val="clear" w:color="auto" w:fill="D2EEF5"/>
          </w:tcPr>
          <w:p>
            <w:pPr>
              <w:spacing w:after="0"/>
              <w:rPr>
                <w:sz w:val="14"/>
                <w:szCs w:val="14"/>
                <w:color w:val="auto"/>
              </w:rPr>
            </w:pPr>
          </w:p>
        </w:tc>
        <w:tc>
          <w:tcPr>
            <w:tcW w:w="680" w:type="dxa"/>
            <w:vAlign w:val="bottom"/>
            <w:vMerge w:val="continue"/>
            <w:shd w:val="clear" w:color="auto" w:fill="D2EEF5"/>
          </w:tcPr>
          <w:p>
            <w:pPr>
              <w:spacing w:after="0"/>
              <w:rPr>
                <w:sz w:val="14"/>
                <w:szCs w:val="14"/>
                <w:color w:val="auto"/>
              </w:rPr>
            </w:pPr>
          </w:p>
        </w:tc>
        <w:tc>
          <w:tcPr>
            <w:tcW w:w="160" w:type="dxa"/>
            <w:vAlign w:val="bottom"/>
            <w:shd w:val="clear" w:color="auto" w:fill="D2EEF5"/>
          </w:tcPr>
          <w:p>
            <w:pPr>
              <w:spacing w:after="0"/>
              <w:rPr>
                <w:sz w:val="14"/>
                <w:szCs w:val="14"/>
                <w:color w:val="auto"/>
              </w:rPr>
            </w:pPr>
          </w:p>
        </w:tc>
        <w:tc>
          <w:tcPr>
            <w:tcW w:w="740" w:type="dxa"/>
            <w:vAlign w:val="bottom"/>
            <w:gridSpan w:val="2"/>
            <w:vMerge w:val="continue"/>
            <w:shd w:val="clear" w:color="auto" w:fill="D2EEF5"/>
          </w:tcPr>
          <w:p>
            <w:pPr>
              <w:spacing w:after="0"/>
              <w:rPr>
                <w:sz w:val="14"/>
                <w:szCs w:val="14"/>
                <w:color w:val="auto"/>
              </w:rPr>
            </w:pPr>
          </w:p>
        </w:tc>
        <w:tc>
          <w:tcPr>
            <w:tcW w:w="880" w:type="dxa"/>
            <w:vAlign w:val="bottom"/>
            <w:vMerge w:val="continue"/>
            <w:shd w:val="clear" w:color="auto" w:fill="D2EEF5"/>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color w:val="auto"/>
              </w:rPr>
              <w:t>Pre-funded warrants</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color w:val="auto"/>
              </w:rPr>
              <w:t>5 years from</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December 2024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0.001</w:t>
            </w:r>
          </w:p>
        </w:tc>
        <w:tc>
          <w:tcPr>
            <w:tcW w:w="1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shareholder</w:t>
            </w:r>
          </w:p>
        </w:tc>
        <w:tc>
          <w:tcPr>
            <w:tcW w:w="1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3,247,445</w:t>
            </w:r>
          </w:p>
        </w:tc>
        <w:tc>
          <w:tcPr>
            <w:tcW w:w="160" w:type="dxa"/>
            <w:vAlign w:val="bottom"/>
          </w:tcPr>
          <w:p>
            <w:pPr>
              <w:spacing w:after="0"/>
              <w:rPr>
                <w:sz w:val="12"/>
                <w:szCs w:val="12"/>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3,247,445</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approval</w:t>
            </w:r>
          </w:p>
        </w:tc>
        <w:tc>
          <w:tcPr>
            <w:tcW w:w="10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Borders>
              <w:top w:val="single" w:sz="8" w:color="D2EEF5"/>
              <w:bottom w:val="single" w:sz="8" w:color="D2EEF5"/>
            </w:tcBorders>
            <w:shd w:val="clear" w:color="auto" w:fill="D2EEF5"/>
          </w:tcPr>
          <w:p>
            <w:pPr>
              <w:spacing w:after="0"/>
              <w:rPr>
                <w:sz w:val="12"/>
                <w:szCs w:val="12"/>
                <w:color w:val="auto"/>
              </w:rPr>
            </w:pPr>
          </w:p>
        </w:tc>
        <w:tc>
          <w:tcPr>
            <w:tcW w:w="940" w:type="dxa"/>
            <w:vAlign w:val="bottom"/>
            <w:tcBorders>
              <w:top w:val="single" w:sz="8" w:color="D2EEF5"/>
              <w:bottom w:val="single" w:sz="8" w:color="D2EEF5"/>
            </w:tcBorders>
            <w:shd w:val="clear" w:color="auto" w:fill="D2EEF5"/>
          </w:tcPr>
          <w:p>
            <w:pPr>
              <w:spacing w:after="0"/>
              <w:rPr>
                <w:sz w:val="12"/>
                <w:szCs w:val="12"/>
                <w:color w:val="auto"/>
              </w:rPr>
            </w:pPr>
          </w:p>
        </w:tc>
        <w:tc>
          <w:tcPr>
            <w:tcW w:w="140" w:type="dxa"/>
            <w:vAlign w:val="bottom"/>
            <w:tcBorders>
              <w:top w:val="single" w:sz="8" w:color="D2EEF5"/>
              <w:bottom w:val="single" w:sz="8" w:color="D2EEF5"/>
            </w:tcBorders>
            <w:shd w:val="clear" w:color="auto" w:fill="D2EEF5"/>
          </w:tcPr>
          <w:p>
            <w:pPr>
              <w:spacing w:after="0"/>
              <w:rPr>
                <w:sz w:val="12"/>
                <w:szCs w:val="12"/>
                <w:color w:val="auto"/>
              </w:rPr>
            </w:pPr>
          </w:p>
        </w:tc>
        <w:tc>
          <w:tcPr>
            <w:tcW w:w="120" w:type="dxa"/>
            <w:vAlign w:val="bottom"/>
            <w:tcBorders>
              <w:top w:val="single" w:sz="8" w:color="D2EEF5"/>
              <w:bottom w:val="single" w:sz="8" w:color="D2EEF5"/>
            </w:tcBorders>
            <w:shd w:val="clear" w:color="auto" w:fill="D2EEF5"/>
          </w:tcPr>
          <w:p>
            <w:pPr>
              <w:spacing w:after="0"/>
              <w:rPr>
                <w:sz w:val="12"/>
                <w:szCs w:val="12"/>
                <w:color w:val="auto"/>
              </w:rPr>
            </w:pPr>
          </w:p>
        </w:tc>
        <w:tc>
          <w:tcPr>
            <w:tcW w:w="520" w:type="dxa"/>
            <w:vAlign w:val="bottom"/>
            <w:tcBorders>
              <w:top w:val="single" w:sz="8" w:color="D2EEF5"/>
              <w:bottom w:val="single" w:sz="8" w:color="D2EEF5"/>
            </w:tcBorders>
            <w:shd w:val="clear" w:color="auto" w:fill="D2EEF5"/>
          </w:tcPr>
          <w:p>
            <w:pPr>
              <w:spacing w:after="0"/>
              <w:rPr>
                <w:sz w:val="12"/>
                <w:szCs w:val="12"/>
                <w:color w:val="auto"/>
              </w:rPr>
            </w:pPr>
          </w:p>
        </w:tc>
        <w:tc>
          <w:tcPr>
            <w:tcW w:w="140" w:type="dxa"/>
            <w:vAlign w:val="bottom"/>
            <w:tcBorders>
              <w:top w:val="single" w:sz="8" w:color="D2EEF5"/>
              <w:bottom w:val="single" w:sz="8" w:color="D2EEF5"/>
            </w:tcBorders>
            <w:shd w:val="clear" w:color="auto" w:fill="D2EEF5"/>
          </w:tcPr>
          <w:p>
            <w:pPr>
              <w:spacing w:after="0"/>
              <w:rPr>
                <w:sz w:val="12"/>
                <w:szCs w:val="12"/>
                <w:color w:val="auto"/>
              </w:rPr>
            </w:pPr>
          </w:p>
        </w:tc>
        <w:tc>
          <w:tcPr>
            <w:tcW w:w="900" w:type="dxa"/>
            <w:vAlign w:val="bottom"/>
            <w:tcBorders>
              <w:top w:val="single" w:sz="8" w:color="D2EEF5"/>
              <w:bottom w:val="single" w:sz="8" w:color="D2EEF5"/>
            </w:tcBorders>
            <w:shd w:val="clear" w:color="auto" w:fill="D2EEF5"/>
          </w:tcPr>
          <w:p>
            <w:pPr>
              <w:spacing w:after="0"/>
              <w:rPr>
                <w:sz w:val="12"/>
                <w:szCs w:val="12"/>
                <w:color w:val="auto"/>
              </w:rPr>
            </w:pPr>
          </w:p>
        </w:tc>
        <w:tc>
          <w:tcPr>
            <w:tcW w:w="140" w:type="dxa"/>
            <w:vAlign w:val="bottom"/>
            <w:tcBorders>
              <w:top w:val="single" w:sz="8" w:color="D2EEF5"/>
              <w:bottom w:val="single" w:sz="8" w:color="D2EEF5"/>
            </w:tcBorders>
            <w:shd w:val="clear" w:color="auto" w:fill="D2EEF5"/>
          </w:tcPr>
          <w:p>
            <w:pPr>
              <w:spacing w:after="0"/>
              <w:rPr>
                <w:sz w:val="12"/>
                <w:szCs w:val="12"/>
                <w:color w:val="auto"/>
              </w:rPr>
            </w:pPr>
          </w:p>
        </w:tc>
        <w:tc>
          <w:tcPr>
            <w:tcW w:w="860" w:type="dxa"/>
            <w:vAlign w:val="bottom"/>
            <w:tcBorders>
              <w:top w:val="single" w:sz="8" w:color="auto"/>
              <w:bottom w:val="single" w:sz="8" w:color="auto"/>
            </w:tcBorders>
            <w:shd w:val="clear" w:color="auto" w:fill="D2EEF5"/>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D2EEF5"/>
              <w:bottom w:val="single" w:sz="8" w:color="D2EEF5"/>
            </w:tcBorders>
            <w:shd w:val="clear" w:color="auto" w:fill="D2EEF5"/>
          </w:tcPr>
          <w:p>
            <w:pPr>
              <w:spacing w:after="0"/>
              <w:rPr>
                <w:sz w:val="12"/>
                <w:szCs w:val="12"/>
                <w:color w:val="auto"/>
              </w:rPr>
            </w:pPr>
          </w:p>
        </w:tc>
        <w:tc>
          <w:tcPr>
            <w:tcW w:w="680" w:type="dxa"/>
            <w:vAlign w:val="bottom"/>
            <w:tcBorders>
              <w:top w:val="single" w:sz="8" w:color="auto"/>
              <w:bottom w:val="single" w:sz="8" w:color="auto"/>
            </w:tcBorders>
            <w:shd w:val="clear" w:color="auto" w:fill="D2EEF5"/>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8,278,695</w:t>
            </w:r>
          </w:p>
        </w:tc>
        <w:tc>
          <w:tcPr>
            <w:tcW w:w="160" w:type="dxa"/>
            <w:vAlign w:val="bottom"/>
            <w:tcBorders>
              <w:top w:val="single" w:sz="8" w:color="D2EEF5"/>
              <w:bottom w:val="single" w:sz="8" w:color="D2EEF5"/>
            </w:tcBorders>
            <w:shd w:val="clear" w:color="auto" w:fill="D2EEF5"/>
          </w:tcPr>
          <w:p>
            <w:pPr>
              <w:spacing w:after="0"/>
              <w:rPr>
                <w:sz w:val="12"/>
                <w:szCs w:val="12"/>
                <w:color w:val="auto"/>
              </w:rPr>
            </w:pPr>
          </w:p>
        </w:tc>
        <w:tc>
          <w:tcPr>
            <w:tcW w:w="600" w:type="dxa"/>
            <w:vAlign w:val="bottom"/>
            <w:tcBorders>
              <w:top w:val="single" w:sz="8" w:color="auto"/>
              <w:bottom w:val="single" w:sz="8" w:color="auto"/>
            </w:tcBorders>
            <w:shd w:val="clear" w:color="auto" w:fill="D2EEF5"/>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D2EEF5"/>
              <w:bottom w:val="single" w:sz="8" w:color="D2EEF5"/>
            </w:tcBorders>
            <w:shd w:val="clear" w:color="auto" w:fill="D2EEF5"/>
          </w:tcPr>
          <w:p>
            <w:pPr>
              <w:spacing w:after="0"/>
              <w:rPr>
                <w:sz w:val="12"/>
                <w:szCs w:val="12"/>
                <w:color w:val="auto"/>
              </w:rPr>
            </w:pPr>
          </w:p>
        </w:tc>
        <w:tc>
          <w:tcPr>
            <w:tcW w:w="880" w:type="dxa"/>
            <w:vAlign w:val="bottom"/>
            <w:tcBorders>
              <w:top w:val="single" w:sz="8" w:color="auto"/>
              <w:bottom w:val="single" w:sz="8" w:color="auto"/>
            </w:tcBorders>
            <w:shd w:val="clear" w:color="auto" w:fill="D2EEF5"/>
          </w:tcPr>
          <w:p>
            <w:pPr>
              <w:jc w:val="right"/>
              <w:spacing w:after="0" w:line="142" w:lineRule="exact"/>
              <w:rPr>
                <w:sz w:val="20"/>
                <w:szCs w:val="20"/>
                <w:color w:val="auto"/>
              </w:rPr>
            </w:pPr>
            <w:r>
              <w:rPr>
                <w:rFonts w:ascii="Times New Roman" w:cs="Times New Roman" w:eastAsia="Times New Roman" w:hAnsi="Times New Roman"/>
                <w:sz w:val="14"/>
                <w:szCs w:val="14"/>
                <w:color w:val="auto"/>
              </w:rPr>
              <w:t>8,278,695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 BASED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1"/>
        <w:spacing w:after="0" w:line="254" w:lineRule="auto"/>
        <w:rPr>
          <w:sz w:val="20"/>
          <w:szCs w:val="20"/>
          <w:color w:val="auto"/>
        </w:rPr>
      </w:pPr>
      <w:r>
        <w:rPr>
          <w:rFonts w:ascii="Times New Roman" w:cs="Times New Roman" w:eastAsia="Times New Roman" w:hAnsi="Times New Roman"/>
          <w:sz w:val="18"/>
          <w:szCs w:val="18"/>
          <w:color w:val="auto"/>
        </w:rPr>
        <w:t>On May 19, 2020, the Board adopted the 2020 Equity Incentive Plan (“2020 Equity Incentive Plan”) which replaced the 2014 Omnibus Stock Option Plan. The 2020 Plan was further amended effective May 2022 to increase the number of shares of common stock authorized for issuance under the plan by 850,000 shares. The 2020 Plan allows for grants of stock options, restricted shares, stock bonuses and other equity-based awards to employees and non-employee directors of the Company. Awards under the 2020 Plan may be at prices and for terms as determined by the Company’s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Nasdaq Stock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2020 Plan have a maximum term of ten years from the date of grant and generally vest over four years.</w:t>
      </w:r>
    </w:p>
    <w:p>
      <w:pPr>
        <w:sectPr>
          <w:pgSz w:w="12240" w:h="15840" w:orient="portrait"/>
          <w:cols w:equalWidth="0" w:num="1">
            <w:col w:w="9920"/>
          </w:cols>
          <w:pgMar w:left="1160" w:top="4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ectPr>
          <w:pgSz w:w="12240" w:h="15840" w:orient="portrait"/>
          <w:cols w:equalWidth="0" w:num="1">
            <w:col w:w="9920"/>
          </w:cols>
          <w:pgMar w:left="1160" w:top="427" w:right="116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auto"/>
        </w:rPr>
        <w:t>2024 Equity Incentive Awards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12, 2025, pursuant to the Company’s 2020 Equity Incentive Plan, the compensation committee of the Company’s board of directors approved 50,000 options to purchase the Company’s common stock as equity-based incentive awards to the Company’s Chief Executive Officer and President, Dr. Juan Vera and 30,000 options to purchase the Company’s common stock as equity-based incentive awards to each Non-Employee Director. Each option award was granted with an exercise price of $1.59 per share, the closing price of the Company’s common stock on the Nasdaq Capital Market on February 12, 2025, with the option award vesting in three annual installments, subject to such Optionee’s continued service on the applicable vesting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Equity Incentive Awards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27, 2023, pursuant to the Company’s 2020 Equity Incentive Plan, the compensation committee of the Company’s board of directors approved a total of 316,855 options to purchase the Company’s common stock as equity-based incentive awards to the Company’s executive officers and management team. Each option award was granted with an exercise price of $2.14 per share, the closing price of the Company’s common stock on the Nasdaq Capital Market on February 27, 2023, with the option award vesting in 48 equal monthly installments over a four-year period, subject to such executive officer’s continued service on the applicable vesting date. Additionally, on February 27, 2023, the compensation committee of the Company’s board of directors approved a total of 87,677 options to purchase the Company’s common stock to non-executive employees and management team of the Company as equity-based incentive awards. Each option award was granted with an exercise price of $2.14 per share, the closing price of the Company’s common stock on the Nasdaq Capital Market on February 27, 2023, with the option award vesting in 48 equal monthly installments over a four-year period, subject to such employee’s continued service on the applicable vesting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above awards were in addition to 7,000 stock option awards issued during the three months ended March 31, 2023 to new employees upon their commencement of employment with the Company. Each option award was granted with an exercise price of $2.769 per share, the closing price of the Company’s common stock on the Nasdaq Capital Market on January 3, 2023, with 25% of the option award vesting in one year and the remaining 75% vesting in 36 equal monthly installments thereafter over a three-year period, subject to such employee’s continued service on the applicable vesting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10, 2023, the Company’s board of directors approved a one-time share option grant of 100,000 shares of common stock to Dr. Vera for his appointment as the Company’s Chief Executive Officer. The option has a term of ten years and will vest in equal annual installments on May 10, 2024, May 10, 2025, May 10, 2026, and May 10, 2027, subject to Mr. Vera’s continued service to the Company as of the applicable vesting date. Each option award was granted with an exercise price of $1.42 per share, the closing price of the Company’s common stock on the Nasdaq Capital Market on May 10, 2023.</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6, 2023, pursuant to the Company’s Non-Employee Director Compensation Policy, which had previously been approved by the Company’s board of directors, a total of 32,000 stock option awards were issued to independent members of the board of directors of the Company. Each option award was granted with an exercise price of $1.72 per share, the closing price of the Company’s common stock on the Nasdaq Capital Market on June 6, 2023. Each Option award will vest in one year subject to the director’s continuance of service through June 6,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recorded incremental stock-based compensation expense of approximately $0.3 million pertaining to the modification of stock options in connection with the termination of certain employees that were hired by Cell Ready or transitioned as independent consultants. The modification provided for an acceleration of unvested options, resulting in a change in compensation expense that was immediately recognized. $0.2 million is reflected in loss from discontinued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approximately 1.2 million shares of common stock are available to be issued under the 2020 Plan.</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ectPr>
          <w:pgSz w:w="12240" w:h="15840" w:orient="portrait"/>
          <w:cols w:equalWidth="0" w:num="1">
            <w:col w:w="9920"/>
          </w:cols>
          <w:pgMar w:left="1160" w:top="431" w:right="116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years ended December 31, 2024 and December 31, 2023, is as follows:</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Intrinsic Value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266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1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886,173</w:t>
            </w:r>
          </w:p>
        </w:tc>
        <w:tc>
          <w:tcPr>
            <w:tcW w:w="140" w:type="dxa"/>
            <w:vAlign w:val="bottom"/>
            <w:tcBorders>
              <w:top w:val="single" w:sz="8" w:color="D2EEF5"/>
            </w:tcBorders>
            <w:shd w:val="clear" w:color="auto" w:fill="D2EEF5"/>
          </w:tcPr>
          <w:p>
            <w:pPr>
              <w:spacing w:after="0"/>
              <w:rPr>
                <w:sz w:val="18"/>
                <w:szCs w:val="18"/>
                <w:color w:val="auto"/>
              </w:rPr>
            </w:pPr>
          </w:p>
        </w:tc>
        <w:tc>
          <w:tcPr>
            <w:tcW w:w="120" w:type="dxa"/>
            <w:vAlign w:val="bottom"/>
            <w:tcBorders>
              <w:top w:val="single" w:sz="8" w:color="auto"/>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Borders>
              <w:top w:val="single" w:sz="8" w:color="D2EEF5"/>
            </w:tcBorders>
            <w:shd w:val="clear" w:color="auto" w:fill="D2EEF5"/>
          </w:tcPr>
          <w:p>
            <w:pPr>
              <w:spacing w:after="0"/>
              <w:rPr>
                <w:sz w:val="18"/>
                <w:szCs w:val="18"/>
                <w:color w:val="auto"/>
              </w:rPr>
            </w:pPr>
          </w:p>
        </w:tc>
        <w:tc>
          <w:tcPr>
            <w:tcW w:w="300" w:type="dxa"/>
            <w:vAlign w:val="bottom"/>
            <w:tcBorders>
              <w:top w:val="single" w:sz="8" w:color="auto"/>
            </w:tcBorders>
            <w:shd w:val="clear" w:color="auto" w:fill="D2EEF5"/>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D2EEF5"/>
            </w:tcBorders>
            <w:shd w:val="clear" w:color="auto" w:fill="D2EEF5"/>
          </w:tcPr>
          <w:p>
            <w:pPr>
              <w:spacing w:after="0"/>
              <w:rPr>
                <w:sz w:val="18"/>
                <w:szCs w:val="18"/>
                <w:color w:val="auto"/>
              </w:rPr>
            </w:pPr>
          </w:p>
        </w:tc>
        <w:tc>
          <w:tcPr>
            <w:tcW w:w="118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66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14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D2EEF5"/>
          </w:tcPr>
          <w:p>
            <w:pPr>
              <w:spacing w:after="0"/>
              <w:rPr>
                <w:sz w:val="18"/>
                <w:szCs w:val="18"/>
                <w:color w:val="auto"/>
              </w:rPr>
            </w:pPr>
          </w:p>
        </w:tc>
        <w:tc>
          <w:tcPr>
            <w:tcW w:w="300" w:type="dxa"/>
            <w:vAlign w:val="bottom"/>
            <w:shd w:val="clear" w:color="auto" w:fill="D2EEF5"/>
          </w:tcPr>
          <w:p>
            <w:pPr>
              <w:spacing w:after="0"/>
              <w:rPr>
                <w:sz w:val="18"/>
                <w:szCs w:val="18"/>
                <w:color w:val="auto"/>
              </w:rPr>
            </w:pPr>
          </w:p>
        </w:tc>
        <w:tc>
          <w:tcPr>
            <w:tcW w:w="1000" w:type="dxa"/>
            <w:vAlign w:val="bottom"/>
            <w:shd w:val="clear" w:color="auto" w:fill="D2EEF5"/>
          </w:tcPr>
          <w:p>
            <w:pPr>
              <w:spacing w:after="0"/>
              <w:rPr>
                <w:sz w:val="18"/>
                <w:szCs w:val="18"/>
                <w:color w:val="auto"/>
              </w:rPr>
            </w:pPr>
          </w:p>
        </w:tc>
        <w:tc>
          <w:tcPr>
            <w:tcW w:w="160" w:type="dxa"/>
            <w:vAlign w:val="bottom"/>
            <w:shd w:val="clear" w:color="auto" w:fill="D2EEF5"/>
          </w:tcPr>
          <w:p>
            <w:pPr>
              <w:spacing w:after="0"/>
              <w:rPr>
                <w:sz w:val="18"/>
                <w:szCs w:val="18"/>
                <w:color w:val="auto"/>
              </w:rPr>
            </w:pPr>
          </w:p>
        </w:tc>
        <w:tc>
          <w:tcPr>
            <w:tcW w:w="1180" w:type="dxa"/>
            <w:vAlign w:val="bottom"/>
            <w:shd w:val="clear" w:color="auto" w:fill="D2EE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Canceled/Expired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2660" w:type="dxa"/>
            <w:vAlign w:val="bottom"/>
            <w:tcBorders>
              <w:top w:val="single" w:sz="8" w:color="D2EEF5"/>
            </w:tcBorders>
            <w:shd w:val="clear" w:color="auto" w:fill="D2EEF5"/>
          </w:tcPr>
          <w:p>
            <w:pPr>
              <w:spacing w:after="0" w:line="176" w:lineRule="exact"/>
              <w:rPr>
                <w:sz w:val="20"/>
                <w:szCs w:val="20"/>
                <w:color w:val="auto"/>
              </w:rPr>
            </w:pPr>
            <w:r>
              <w:rPr>
                <w:rFonts w:ascii="Times New Roman" w:cs="Times New Roman" w:eastAsia="Times New Roman" w:hAnsi="Times New Roman"/>
                <w:sz w:val="18"/>
                <w:szCs w:val="18"/>
                <w:color w:val="auto"/>
              </w:rPr>
              <w:t>Outstanding as of</w:t>
            </w:r>
          </w:p>
        </w:tc>
        <w:tc>
          <w:tcPr>
            <w:tcW w:w="1140" w:type="dxa"/>
            <w:vAlign w:val="bottom"/>
            <w:tcBorders>
              <w:top w:val="single" w:sz="8" w:color="auto"/>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1080" w:type="dxa"/>
            <w:vAlign w:val="bottom"/>
            <w:tcBorders>
              <w:top w:val="single" w:sz="8" w:color="auto"/>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spacing w:after="0"/>
              <w:rPr>
                <w:sz w:val="15"/>
                <w:szCs w:val="15"/>
                <w:color w:val="auto"/>
              </w:rPr>
            </w:pPr>
          </w:p>
        </w:tc>
        <w:tc>
          <w:tcPr>
            <w:tcW w:w="300" w:type="dxa"/>
            <w:vAlign w:val="bottom"/>
            <w:tcBorders>
              <w:top w:val="single" w:sz="8" w:color="auto"/>
            </w:tcBorders>
            <w:shd w:val="clear" w:color="auto" w:fill="D2EEF5"/>
          </w:tcPr>
          <w:p>
            <w:pPr>
              <w:spacing w:after="0"/>
              <w:rPr>
                <w:sz w:val="15"/>
                <w:szCs w:val="15"/>
                <w:color w:val="auto"/>
              </w:rPr>
            </w:pPr>
          </w:p>
        </w:tc>
        <w:tc>
          <w:tcPr>
            <w:tcW w:w="100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spacing w:after="0"/>
              <w:rPr>
                <w:sz w:val="15"/>
                <w:szCs w:val="15"/>
                <w:color w:val="auto"/>
              </w:rPr>
            </w:pPr>
          </w:p>
        </w:tc>
        <w:tc>
          <w:tcPr>
            <w:tcW w:w="1180" w:type="dxa"/>
            <w:vAlign w:val="bottom"/>
            <w:tcBorders>
              <w:top w:val="single" w:sz="8" w:color="auto"/>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737,895</w:t>
            </w:r>
          </w:p>
        </w:tc>
        <w:tc>
          <w:tcPr>
            <w:tcW w:w="140" w:type="dxa"/>
            <w:vAlign w:val="bottom"/>
            <w:shd w:val="clear" w:color="auto" w:fill="D2EEF5"/>
          </w:tcPr>
          <w:p>
            <w:pPr>
              <w:spacing w:after="0"/>
              <w:rPr>
                <w:sz w:val="20"/>
                <w:szCs w:val="20"/>
                <w:color w:val="auto"/>
              </w:rPr>
            </w:pPr>
          </w:p>
        </w:tc>
        <w:tc>
          <w:tcPr>
            <w:tcW w:w="120" w:type="dxa"/>
            <w:vAlign w:val="bottom"/>
            <w:shd w:val="clear" w:color="auto" w:fill="D2EEF5"/>
          </w:tcPr>
          <w:p>
            <w:pPr>
              <w:spacing w:after="0"/>
              <w:rPr>
                <w:sz w:val="20"/>
                <w:szCs w:val="20"/>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440" w:type="dxa"/>
            <w:vAlign w:val="bottom"/>
            <w:gridSpan w:val="2"/>
            <w:shd w:val="clear" w:color="auto" w:fill="D2EEF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1,317,000</w:t>
            </w:r>
          </w:p>
        </w:tc>
        <w:tc>
          <w:tcPr>
            <w:tcW w:w="160" w:type="dxa"/>
            <w:vAlign w:val="bottom"/>
            <w:shd w:val="clear" w:color="auto" w:fill="D2EEF5"/>
          </w:tcPr>
          <w:p>
            <w:pPr>
              <w:spacing w:after="0"/>
              <w:rPr>
                <w:sz w:val="20"/>
                <w:szCs w:val="20"/>
                <w:color w:val="auto"/>
              </w:rPr>
            </w:pPr>
          </w:p>
        </w:tc>
        <w:tc>
          <w:tcPr>
            <w:tcW w:w="1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4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10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D2EEF5"/>
          </w:tcPr>
          <w:p>
            <w:pPr>
              <w:spacing w:after="0"/>
              <w:rPr>
                <w:sz w:val="18"/>
                <w:szCs w:val="18"/>
                <w:color w:val="auto"/>
              </w:rPr>
            </w:pPr>
          </w:p>
        </w:tc>
        <w:tc>
          <w:tcPr>
            <w:tcW w:w="300" w:type="dxa"/>
            <w:vAlign w:val="bottom"/>
            <w:shd w:val="clear" w:color="auto" w:fill="D2EEF5"/>
          </w:tcPr>
          <w:p>
            <w:pPr>
              <w:spacing w:after="0"/>
              <w:rPr>
                <w:sz w:val="18"/>
                <w:szCs w:val="18"/>
                <w:color w:val="auto"/>
              </w:rPr>
            </w:pPr>
          </w:p>
        </w:tc>
        <w:tc>
          <w:tcPr>
            <w:tcW w:w="1160" w:type="dxa"/>
            <w:vAlign w:val="bottom"/>
            <w:gridSpan w:val="2"/>
            <w:shd w:val="clear" w:color="auto" w:fill="D2EEF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D2EEF5"/>
            </w:tcBorders>
          </w:tcPr>
          <w:p>
            <w:pPr>
              <w:ind w:left="100"/>
              <w:spacing w:after="0"/>
              <w:rPr>
                <w:sz w:val="20"/>
                <w:szCs w:val="20"/>
                <w:color w:val="auto"/>
              </w:rPr>
            </w:pPr>
            <w:r>
              <w:rPr>
                <w:rFonts w:ascii="Times New Roman" w:cs="Times New Roman" w:eastAsia="Times New Roman" w:hAnsi="Times New Roman"/>
                <w:sz w:val="18"/>
                <w:szCs w:val="18"/>
                <w:color w:val="auto"/>
              </w:rPr>
              <w:t>Canceled/Expired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(124,589)</w:t>
            </w:r>
          </w:p>
        </w:tc>
        <w:tc>
          <w:tcPr>
            <w:tcW w:w="140" w:type="dxa"/>
            <w:vAlign w:val="bottom"/>
            <w:tcBorders>
              <w:bottom w:val="single" w:sz="8" w:color="D2EEF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40" w:type="dxa"/>
            <w:vAlign w:val="bottom"/>
            <w:tcBorders>
              <w:bottom w:val="single" w:sz="8" w:color="D2EEF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2EEF5"/>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2660" w:type="dxa"/>
            <w:vAlign w:val="bottom"/>
            <w:shd w:val="clear" w:color="auto" w:fill="D2EEF5"/>
          </w:tcPr>
          <w:p>
            <w:pPr>
              <w:spacing w:after="0" w:line="176" w:lineRule="exact"/>
              <w:rPr>
                <w:sz w:val="20"/>
                <w:szCs w:val="20"/>
                <w:color w:val="auto"/>
              </w:rPr>
            </w:pPr>
            <w:r>
              <w:rPr>
                <w:rFonts w:ascii="Times New Roman" w:cs="Times New Roman" w:eastAsia="Times New Roman" w:hAnsi="Times New Roman"/>
                <w:sz w:val="18"/>
                <w:szCs w:val="18"/>
                <w:color w:val="auto"/>
              </w:rPr>
              <w:t>Outstanding as of</w:t>
            </w:r>
          </w:p>
        </w:tc>
        <w:tc>
          <w:tcPr>
            <w:tcW w:w="114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587,704</w:t>
            </w:r>
          </w:p>
        </w:tc>
        <w:tc>
          <w:tcPr>
            <w:tcW w:w="260" w:type="dxa"/>
            <w:vAlign w:val="bottom"/>
            <w:gridSpan w:val="2"/>
            <w:vMerge w:val="restart"/>
            <w:shd w:val="clear" w:color="auto" w:fill="D2EEF5"/>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440" w:type="dxa"/>
            <w:vAlign w:val="bottom"/>
            <w:gridSpan w:val="2"/>
            <w:vMerge w:val="restart"/>
            <w:shd w:val="clear" w:color="auto" w:fill="D2EEF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60" w:type="dxa"/>
            <w:vAlign w:val="bottom"/>
            <w:shd w:val="clear" w:color="auto" w:fill="D2EEF5"/>
          </w:tcPr>
          <w:p>
            <w:pPr>
              <w:spacing w:after="0"/>
              <w:rPr>
                <w:sz w:val="15"/>
                <w:szCs w:val="15"/>
                <w:color w:val="auto"/>
              </w:rPr>
            </w:pPr>
          </w:p>
        </w:tc>
        <w:tc>
          <w:tcPr>
            <w:tcW w:w="1180" w:type="dxa"/>
            <w:vAlign w:val="bottom"/>
            <w:vMerge w:val="restart"/>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2"/>
        </w:trPr>
        <w:tc>
          <w:tcPr>
            <w:tcW w:w="266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1140" w:type="dxa"/>
            <w:vAlign w:val="bottom"/>
            <w:vMerge w:val="continue"/>
            <w:shd w:val="clear" w:color="auto" w:fill="D2EEF5"/>
          </w:tcPr>
          <w:p>
            <w:pPr>
              <w:spacing w:after="0"/>
              <w:rPr>
                <w:sz w:val="21"/>
                <w:szCs w:val="21"/>
                <w:color w:val="auto"/>
              </w:rPr>
            </w:pPr>
          </w:p>
        </w:tc>
        <w:tc>
          <w:tcPr>
            <w:tcW w:w="260" w:type="dxa"/>
            <w:vAlign w:val="bottom"/>
            <w:gridSpan w:val="2"/>
            <w:vMerge w:val="continue"/>
            <w:shd w:val="clear" w:color="auto" w:fill="D2EEF5"/>
          </w:tcPr>
          <w:p>
            <w:pPr>
              <w:spacing w:after="0"/>
              <w:rPr>
                <w:sz w:val="21"/>
                <w:szCs w:val="21"/>
                <w:color w:val="auto"/>
              </w:rPr>
            </w:pPr>
          </w:p>
        </w:tc>
        <w:tc>
          <w:tcPr>
            <w:tcW w:w="1080" w:type="dxa"/>
            <w:vAlign w:val="bottom"/>
            <w:vMerge w:val="continue"/>
            <w:shd w:val="clear" w:color="auto" w:fill="D2EEF5"/>
          </w:tcPr>
          <w:p>
            <w:pPr>
              <w:spacing w:after="0"/>
              <w:rPr>
                <w:sz w:val="21"/>
                <w:szCs w:val="21"/>
                <w:color w:val="auto"/>
              </w:rPr>
            </w:pPr>
          </w:p>
        </w:tc>
        <w:tc>
          <w:tcPr>
            <w:tcW w:w="440" w:type="dxa"/>
            <w:vAlign w:val="bottom"/>
            <w:gridSpan w:val="2"/>
            <w:vMerge w:val="continue"/>
            <w:shd w:val="clear" w:color="auto" w:fill="D2EEF5"/>
          </w:tcPr>
          <w:p>
            <w:pPr>
              <w:spacing w:after="0"/>
              <w:rPr>
                <w:sz w:val="21"/>
                <w:szCs w:val="21"/>
                <w:color w:val="auto"/>
              </w:rPr>
            </w:pPr>
          </w:p>
        </w:tc>
        <w:tc>
          <w:tcPr>
            <w:tcW w:w="1000" w:type="dxa"/>
            <w:vAlign w:val="bottom"/>
            <w:vMerge w:val="continue"/>
            <w:shd w:val="clear" w:color="auto" w:fill="D2EEF5"/>
          </w:tcPr>
          <w:p>
            <w:pPr>
              <w:spacing w:after="0"/>
              <w:rPr>
                <w:sz w:val="21"/>
                <w:szCs w:val="21"/>
                <w:color w:val="auto"/>
              </w:rPr>
            </w:pPr>
          </w:p>
        </w:tc>
        <w:tc>
          <w:tcPr>
            <w:tcW w:w="160" w:type="dxa"/>
            <w:vAlign w:val="bottom"/>
            <w:shd w:val="clear" w:color="auto" w:fill="D2EEF5"/>
          </w:tcPr>
          <w:p>
            <w:pPr>
              <w:spacing w:after="0"/>
              <w:rPr>
                <w:sz w:val="21"/>
                <w:szCs w:val="21"/>
                <w:color w:val="auto"/>
              </w:rPr>
            </w:pPr>
          </w:p>
        </w:tc>
        <w:tc>
          <w:tcPr>
            <w:tcW w:w="1180" w:type="dxa"/>
            <w:vAlign w:val="bottom"/>
            <w:vMerge w:val="continue"/>
            <w:shd w:val="clear" w:color="auto" w:fill="D2EEF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D2EEF5"/>
              <w:bottom w:val="single" w:sz="8" w:color="D2EEF5"/>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2EEF5"/>
              <w:bottom w:val="single" w:sz="8" w:color="D2EEF5"/>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2EEF5"/>
              <w:bottom w:val="single" w:sz="8" w:color="D2EEF5"/>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2EEF5"/>
              <w:bottom w:val="single" w:sz="8" w:color="D2EEF5"/>
            </w:tcBorders>
            <w:vMerge w:val="restart"/>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vMerge w:val="continue"/>
          </w:tcPr>
          <w:p>
            <w:pPr>
              <w:spacing w:after="0"/>
              <w:rPr>
                <w:sz w:val="17"/>
                <w:szCs w:val="17"/>
                <w:color w:val="auto"/>
              </w:rPr>
            </w:pPr>
          </w:p>
        </w:tc>
        <w:tc>
          <w:tcPr>
            <w:tcW w:w="1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395,492</w:t>
            </w:r>
          </w:p>
        </w:tc>
        <w:tc>
          <w:tcPr>
            <w:tcW w:w="140" w:type="dxa"/>
            <w:vAlign w:val="bottom"/>
            <w:vMerge w:val="continue"/>
          </w:tcPr>
          <w:p>
            <w:pPr>
              <w:spacing w:after="0"/>
              <w:rPr>
                <w:sz w:val="17"/>
                <w:szCs w:val="17"/>
                <w:color w:val="auto"/>
              </w:rPr>
            </w:pPr>
          </w:p>
        </w:tc>
        <w:tc>
          <w:tcPr>
            <w:tcW w:w="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32.86</w:t>
            </w:r>
          </w:p>
        </w:tc>
        <w:tc>
          <w:tcPr>
            <w:tcW w:w="140" w:type="dxa"/>
            <w:vAlign w:val="bottom"/>
            <w:vMerge w:val="continue"/>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152,000</w:t>
            </w:r>
          </w:p>
        </w:tc>
        <w:tc>
          <w:tcPr>
            <w:tcW w:w="160" w:type="dxa"/>
            <w:vAlign w:val="bottom"/>
            <w:vMerge w:val="continue"/>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2024 and 2023, respectively, were as follows:</w:t>
      </w:r>
    </w:p>
    <w:p>
      <w:pPr>
        <w:spacing w:after="0" w:line="17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56"/>
        </w:trPr>
        <w:tc>
          <w:tcPr>
            <w:tcW w:w="3960" w:type="dxa"/>
            <w:vAlign w:val="bottom"/>
            <w:tcBorders>
              <w:bottom w:val="single" w:sz="8" w:color="D2EEF5"/>
            </w:tcBorders>
          </w:tcPr>
          <w:p>
            <w:pPr>
              <w:spacing w:after="0"/>
              <w:rPr>
                <w:sz w:val="13"/>
                <w:szCs w:val="13"/>
                <w:color w:val="auto"/>
              </w:rPr>
            </w:pPr>
          </w:p>
        </w:tc>
        <w:tc>
          <w:tcPr>
            <w:tcW w:w="1760" w:type="dxa"/>
            <w:vAlign w:val="bottom"/>
            <w:tcBorders>
              <w:bottom w:val="single" w:sz="8" w:color="D2EEF5"/>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D2EEF5"/>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D2EEF5"/>
            </w:tcBorders>
          </w:tcPr>
          <w:p>
            <w:pPr>
              <w:spacing w:after="0"/>
              <w:rPr>
                <w:sz w:val="13"/>
                <w:szCs w:val="13"/>
                <w:color w:val="auto"/>
              </w:rPr>
            </w:pPr>
          </w:p>
        </w:tc>
      </w:tr>
      <w:tr>
        <w:trPr>
          <w:trHeight w:val="209"/>
        </w:trPr>
        <w:tc>
          <w:tcPr>
            <w:tcW w:w="396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760" w:type="dxa"/>
            <w:vAlign w:val="bottom"/>
            <w:shd w:val="clear" w:color="auto" w:fill="D2EEF5"/>
          </w:tcPr>
          <w:p>
            <w:pPr>
              <w:spacing w:after="0"/>
              <w:rPr>
                <w:sz w:val="18"/>
                <w:szCs w:val="18"/>
                <w:color w:val="auto"/>
              </w:rPr>
            </w:pPr>
          </w:p>
        </w:tc>
        <w:tc>
          <w:tcPr>
            <w:tcW w:w="620" w:type="dxa"/>
            <w:vAlign w:val="bottom"/>
            <w:shd w:val="clear" w:color="auto" w:fill="D2EEF5"/>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2EEF5"/>
          </w:tcPr>
          <w:p>
            <w:pPr>
              <w:spacing w:after="0"/>
              <w:rPr>
                <w:sz w:val="18"/>
                <w:szCs w:val="18"/>
                <w:color w:val="auto"/>
              </w:rPr>
            </w:pPr>
          </w:p>
        </w:tc>
        <w:tc>
          <w:tcPr>
            <w:tcW w:w="200" w:type="dxa"/>
            <w:vAlign w:val="bottom"/>
            <w:shd w:val="clear" w:color="auto" w:fill="D2EEF5"/>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D2EEF5"/>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r>
      <w:tr>
        <w:trPr>
          <w:trHeight w:val="216"/>
        </w:trPr>
        <w:tc>
          <w:tcPr>
            <w:tcW w:w="396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60" w:type="dxa"/>
            <w:vAlign w:val="bottom"/>
            <w:shd w:val="clear" w:color="auto" w:fill="D2EEF5"/>
          </w:tcPr>
          <w:p>
            <w:pPr>
              <w:spacing w:after="0"/>
              <w:rPr>
                <w:sz w:val="18"/>
                <w:szCs w:val="18"/>
                <w:color w:val="auto"/>
              </w:rPr>
            </w:pPr>
          </w:p>
        </w:tc>
        <w:tc>
          <w:tcPr>
            <w:tcW w:w="620" w:type="dxa"/>
            <w:vAlign w:val="bottom"/>
            <w:shd w:val="clear" w:color="auto" w:fill="D2EEF5"/>
          </w:tcPr>
          <w:p>
            <w:pPr>
              <w:spacing w:after="0"/>
              <w:rPr>
                <w:sz w:val="18"/>
                <w:szCs w:val="18"/>
                <w:color w:val="auto"/>
              </w:rPr>
            </w:pPr>
          </w:p>
        </w:tc>
        <w:tc>
          <w:tcPr>
            <w:tcW w:w="52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D2EEF5"/>
          </w:tcPr>
          <w:p>
            <w:pPr>
              <w:spacing w:after="0"/>
              <w:rPr>
                <w:sz w:val="18"/>
                <w:szCs w:val="18"/>
                <w:color w:val="auto"/>
              </w:rPr>
            </w:pPr>
          </w:p>
        </w:tc>
        <w:tc>
          <w:tcPr>
            <w:tcW w:w="860" w:type="dxa"/>
            <w:vAlign w:val="bottom"/>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396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760" w:type="dxa"/>
            <w:vAlign w:val="bottom"/>
            <w:shd w:val="clear" w:color="auto" w:fill="D2EEF5"/>
          </w:tcPr>
          <w:p>
            <w:pPr>
              <w:spacing w:after="0"/>
              <w:rPr>
                <w:sz w:val="18"/>
                <w:szCs w:val="18"/>
                <w:color w:val="auto"/>
              </w:rPr>
            </w:pPr>
          </w:p>
        </w:tc>
        <w:tc>
          <w:tcPr>
            <w:tcW w:w="620" w:type="dxa"/>
            <w:vAlign w:val="bottom"/>
            <w:shd w:val="clear" w:color="auto" w:fill="D2EEF5"/>
          </w:tcPr>
          <w:p>
            <w:pPr>
              <w:spacing w:after="0"/>
              <w:rPr>
                <w:sz w:val="18"/>
                <w:szCs w:val="18"/>
                <w:color w:val="auto"/>
              </w:rPr>
            </w:pPr>
          </w:p>
        </w:tc>
        <w:tc>
          <w:tcPr>
            <w:tcW w:w="520" w:type="dxa"/>
            <w:vAlign w:val="bottom"/>
            <w:gridSpan w:val="2"/>
            <w:shd w:val="clear" w:color="auto" w:fill="D2EEF5"/>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D2EEF5"/>
          </w:tcPr>
          <w:p>
            <w:pPr>
              <w:spacing w:after="0"/>
              <w:rPr>
                <w:sz w:val="18"/>
                <w:szCs w:val="18"/>
                <w:color w:val="auto"/>
              </w:rPr>
            </w:pPr>
          </w:p>
        </w:tc>
        <w:tc>
          <w:tcPr>
            <w:tcW w:w="860" w:type="dxa"/>
            <w:vAlign w:val="bottom"/>
            <w:gridSpan w:val="2"/>
            <w:shd w:val="clear" w:color="auto" w:fill="D2EEF5"/>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expenses recorded during the respective periods:</w:t>
      </w:r>
    </w:p>
    <w:p>
      <w:pPr>
        <w:spacing w:after="0" w:line="2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56"/>
        </w:trPr>
        <w:tc>
          <w:tcPr>
            <w:tcW w:w="4560" w:type="dxa"/>
            <w:vAlign w:val="bottom"/>
            <w:tcBorders>
              <w:bottom w:val="single" w:sz="8" w:color="D2EEF5"/>
            </w:tcBorders>
          </w:tcPr>
          <w:p>
            <w:pPr>
              <w:spacing w:after="0"/>
              <w:rPr>
                <w:sz w:val="13"/>
                <w:szCs w:val="13"/>
                <w:color w:val="auto"/>
              </w:rPr>
            </w:pPr>
          </w:p>
        </w:tc>
        <w:tc>
          <w:tcPr>
            <w:tcW w:w="1180" w:type="dxa"/>
            <w:vAlign w:val="bottom"/>
            <w:tcBorders>
              <w:bottom w:val="single" w:sz="8" w:color="D2EEF5"/>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D2EEF5"/>
            </w:tcBorders>
          </w:tcPr>
          <w:p>
            <w:pPr>
              <w:spacing w:after="0"/>
              <w:rPr>
                <w:sz w:val="13"/>
                <w:szCs w:val="13"/>
                <w:color w:val="auto"/>
              </w:rPr>
            </w:pPr>
          </w:p>
        </w:tc>
        <w:tc>
          <w:tcPr>
            <w:tcW w:w="20" w:type="dxa"/>
            <w:vAlign w:val="bottom"/>
            <w:tcBorders>
              <w:top w:val="single" w:sz="8" w:color="auto"/>
              <w:bottom w:val="single" w:sz="8" w:color="D2EEF5"/>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56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Stock Compensation expenses:</w:t>
            </w:r>
          </w:p>
        </w:tc>
        <w:tc>
          <w:tcPr>
            <w:tcW w:w="1180" w:type="dxa"/>
            <w:vAlign w:val="bottom"/>
            <w:shd w:val="clear" w:color="auto" w:fill="D2EEF5"/>
          </w:tcPr>
          <w:p>
            <w:pPr>
              <w:spacing w:after="0"/>
              <w:rPr>
                <w:sz w:val="18"/>
                <w:szCs w:val="18"/>
                <w:color w:val="auto"/>
              </w:rPr>
            </w:pPr>
          </w:p>
        </w:tc>
        <w:tc>
          <w:tcPr>
            <w:tcW w:w="220" w:type="dxa"/>
            <w:vAlign w:val="bottom"/>
            <w:shd w:val="clear" w:color="auto" w:fill="D2EEF5"/>
          </w:tcPr>
          <w:p>
            <w:pPr>
              <w:spacing w:after="0"/>
              <w:rPr>
                <w:sz w:val="18"/>
                <w:szCs w:val="18"/>
                <w:color w:val="auto"/>
              </w:rPr>
            </w:pPr>
          </w:p>
        </w:tc>
        <w:tc>
          <w:tcPr>
            <w:tcW w:w="780" w:type="dxa"/>
            <w:vAlign w:val="bottom"/>
            <w:shd w:val="clear" w:color="auto" w:fill="D2EEF5"/>
          </w:tcPr>
          <w:p>
            <w:pPr>
              <w:spacing w:after="0"/>
              <w:rPr>
                <w:sz w:val="18"/>
                <w:szCs w:val="18"/>
                <w:color w:val="auto"/>
              </w:rPr>
            </w:pPr>
          </w:p>
        </w:tc>
        <w:tc>
          <w:tcPr>
            <w:tcW w:w="18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840" w:type="dxa"/>
            <w:vAlign w:val="bottom"/>
            <w:shd w:val="clear" w:color="auto" w:fill="D2EEF5"/>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338,000</w:t>
            </w:r>
          </w:p>
        </w:tc>
      </w:tr>
      <w:tr>
        <w:trPr>
          <w:trHeight w:val="216"/>
        </w:trPr>
        <w:tc>
          <w:tcPr>
            <w:tcW w:w="456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D2EEF5"/>
          </w:tcPr>
          <w:p>
            <w:pPr>
              <w:spacing w:after="0"/>
              <w:rPr>
                <w:sz w:val="18"/>
                <w:szCs w:val="18"/>
                <w:color w:val="auto"/>
              </w:rPr>
            </w:pPr>
          </w:p>
        </w:tc>
        <w:tc>
          <w:tcPr>
            <w:tcW w:w="220" w:type="dxa"/>
            <w:vAlign w:val="bottom"/>
            <w:tcBorders>
              <w:bottom w:val="single" w:sz="8" w:color="auto"/>
            </w:tcBorders>
            <w:shd w:val="clear" w:color="auto" w:fill="D2EEF5"/>
          </w:tcPr>
          <w:p>
            <w:pPr>
              <w:spacing w:after="0"/>
              <w:rPr>
                <w:sz w:val="18"/>
                <w:szCs w:val="18"/>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18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520,000</w:t>
            </w:r>
          </w:p>
        </w:tc>
      </w:tr>
      <w:tr>
        <w:trPr>
          <w:trHeight w:val="210"/>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 in continuing operations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858,000</w:t>
            </w:r>
          </w:p>
        </w:tc>
      </w:tr>
      <w:tr>
        <w:trPr>
          <w:trHeight w:val="216"/>
        </w:trPr>
        <w:tc>
          <w:tcPr>
            <w:tcW w:w="456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Stock compensation in discontinued operations</w:t>
            </w:r>
          </w:p>
        </w:tc>
        <w:tc>
          <w:tcPr>
            <w:tcW w:w="1180" w:type="dxa"/>
            <w:vAlign w:val="bottom"/>
            <w:shd w:val="clear" w:color="auto" w:fill="D2EEF5"/>
          </w:tcPr>
          <w:p>
            <w:pPr>
              <w:spacing w:after="0"/>
              <w:rPr>
                <w:sz w:val="18"/>
                <w:szCs w:val="18"/>
                <w:color w:val="auto"/>
              </w:rPr>
            </w:pPr>
          </w:p>
        </w:tc>
        <w:tc>
          <w:tcPr>
            <w:tcW w:w="220" w:type="dxa"/>
            <w:vAlign w:val="bottom"/>
            <w:tcBorders>
              <w:bottom w:val="single" w:sz="8" w:color="auto"/>
            </w:tcBorders>
            <w:shd w:val="clear" w:color="auto" w:fill="D2EEF5"/>
          </w:tcPr>
          <w:p>
            <w:pPr>
              <w:spacing w:after="0"/>
              <w:rPr>
                <w:sz w:val="18"/>
                <w:szCs w:val="18"/>
                <w:color w:val="auto"/>
              </w:rPr>
            </w:pPr>
          </w:p>
        </w:tc>
        <w:tc>
          <w:tcPr>
            <w:tcW w:w="78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40" w:type="dxa"/>
            <w:vAlign w:val="bottom"/>
            <w:tcBorders>
              <w:bottom w:val="single" w:sz="8" w:color="auto"/>
            </w:tcBorders>
            <w:shd w:val="clear" w:color="auto" w:fill="D2EEF5"/>
          </w:tcPr>
          <w:p>
            <w:pPr>
              <w:spacing w:after="0"/>
              <w:rPr>
                <w:sz w:val="18"/>
                <w:szCs w:val="18"/>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725,000</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 compensation expenses</w:t>
            </w:r>
          </w:p>
        </w:tc>
        <w:tc>
          <w:tcPr>
            <w:tcW w:w="11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1,583,000</w:t>
            </w: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total stock-based compensation cost related to unvested awards not yet recognized was $0.2 million. The expected weighted average period compensation costs to be recognized was 1.9 years. Future option grants will impact the compensation expense recognized.</w:t>
      </w:r>
    </w:p>
    <w:p>
      <w:pPr>
        <w:sectPr>
          <w:pgSz w:w="12240" w:h="15840" w:orient="portrait"/>
          <w:cols w:equalWidth="0" w:num="1">
            <w:col w:w="9900"/>
          </w:cols>
          <w:pgMar w:left="1160" w:top="427"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F-20</w:t>
      </w:r>
    </w:p>
    <w:p>
      <w:pPr>
        <w:sectPr>
          <w:pgSz w:w="12240" w:h="15840" w:orient="portrait"/>
          <w:cols w:equalWidth="0" w:num="1">
            <w:col w:w="9900"/>
          </w:cols>
          <w:pgMar w:left="1160" w:top="427" w:right="118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NOTE 10: GRANT INCOME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CPRIT</w:t>
      </w:r>
    </w:p>
    <w:p>
      <w:pPr>
        <w:spacing w:after="0" w:line="230"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restricted cash received from grants in advance of incurring qualifying costs, it is recorded as deferred revenue and recognized as revenue when qualifying costs are incurred. There was no restricted cash recorded as of December 31, 2024 and December 31, 2023. If qualifying grant income is earned in advance of cash received from grants, it is recognized as revenue and recorded as other receivable.</w:t>
      </w:r>
    </w:p>
    <w:p>
      <w:pPr>
        <w:spacing w:after="0" w:line="176"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The Company recorded $4.4 million and $2.7 million of grant income related to the CPRIT grant as revenue for the years ended December 31, 2024 and 2023, respectively. At December 31, 2024, the Company had recorded $2.1 million as other receivable, which represented grant income earned in advance of the next tranche of funds to be received from CPRIT.</w:t>
      </w:r>
    </w:p>
    <w:p>
      <w:pPr>
        <w:spacing w:after="0" w:line="176" w:lineRule="exact"/>
        <w:rPr>
          <w:sz w:val="20"/>
          <w:szCs w:val="20"/>
          <w:color w:val="auto"/>
        </w:rPr>
      </w:pPr>
    </w:p>
    <w:p>
      <w:pPr>
        <w:jc w:val="both"/>
        <w:ind w:right="20" w:firstLine="1"/>
        <w:spacing w:after="0" w:line="266" w:lineRule="auto"/>
        <w:rPr>
          <w:sz w:val="20"/>
          <w:szCs w:val="20"/>
          <w:color w:val="auto"/>
        </w:rPr>
      </w:pPr>
      <w:r>
        <w:rPr>
          <w:rFonts w:ascii="Times New Roman" w:cs="Times New Roman" w:eastAsia="Times New Roman" w:hAnsi="Times New Roman"/>
          <w:sz w:val="18"/>
          <w:szCs w:val="18"/>
          <w:color w:val="auto"/>
        </w:rPr>
        <w:t>In December 2024, the Company received notice an additional $9.5 million grant from CPRIT to support the clinical investigation of MT-601 in patients with metastatic pancreatic cancer. The Company did not record any grant income related to this grant for the year ended December 31, 2024.</w:t>
      </w:r>
    </w:p>
    <w:p>
      <w:pPr>
        <w:spacing w:after="0" w:line="176" w:lineRule="exact"/>
        <w:rPr>
          <w:sz w:val="20"/>
          <w:szCs w:val="20"/>
          <w:color w:val="auto"/>
        </w:rPr>
      </w:pPr>
    </w:p>
    <w:p>
      <w:pPr>
        <w:ind w:right="1660"/>
        <w:spacing w:after="0" w:line="500" w:lineRule="auto"/>
        <w:rPr>
          <w:sz w:val="20"/>
          <w:szCs w:val="20"/>
          <w:color w:val="auto"/>
        </w:rPr>
      </w:pPr>
      <w:r>
        <w:rPr>
          <w:rFonts w:ascii="Times New Roman" w:cs="Times New Roman" w:eastAsia="Times New Roman" w:hAnsi="Times New Roman"/>
          <w:sz w:val="18"/>
          <w:szCs w:val="18"/>
          <w:color w:val="auto"/>
        </w:rPr>
        <w:t xml:space="preserve">Both CPRIT grants are subject to certain revenue-sharing arrangements, as per the grant agreements (see Note 11). </w:t>
      </w:r>
      <w:r>
        <w:rPr>
          <w:rFonts w:ascii="Times New Roman" w:cs="Times New Roman" w:eastAsia="Times New Roman" w:hAnsi="Times New Roman"/>
          <w:sz w:val="18"/>
          <w:szCs w:val="18"/>
          <w:b w:val="1"/>
          <w:bCs w:val="1"/>
          <w:i w:val="1"/>
          <w:iCs w:val="1"/>
          <w:color w:val="auto"/>
        </w:rPr>
        <w:t>FDA</w:t>
      </w:r>
    </w:p>
    <w:p>
      <w:pPr>
        <w:spacing w:after="0" w:line="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Company’s Phase 2 clinical trial of MT-401 for the treatment of post-transplant AML. The Company recorded $0.5 million and $0.4 million of grant income related to the FDA grant as revenue for the years ended December 31, 2024 and December 31, 2023, respectively. As of December 31, 2024, the Company had no other receivable recorded with respect to the FDA grant.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SBIR</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it had received a $2.0 million grant from the National Institutes of Health Small Business Innovation Research program to support the development and investigation of MT-401 for the treatment of AML patients following standard-of-care therapy with hypomethylating agents. The Company recorded $1.0 million and $0.2 million of grant income related to the SBIR grant as revenue for the years ended December 31, 2024 and December 31, 2023, respectively. As of December 31, 2024, the Company recorded $0.2 million as other receivable, which represented grant income earned in advance of funds to be received from the SBIR. In February 2025, the Company received $0.2 million of funds from the SBIR grant.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 following anti-CD19 chimeric antigen receptor (CAR) T cell therapy. The Company recorded $0.7 million of grant income related to this grant as revenue for the year ended December 31, 2024. As of December 31, 2024, the Company had no other receivable recorded related to this grant.</w:t>
      </w:r>
    </w:p>
    <w:p>
      <w:pPr>
        <w:spacing w:after="0" w:line="183"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In August 2024, received notice of another $2.0 million grant from the National Institutes of Health Small Business Innovation Research Program to support the clinical investigation of MT-601 in patients with pancreatic cancer. The Company recorded approximately $7,000 of grant income for the year ended December 31, 2024 and recorded the same amount in other receivables as of December 31, 2024.</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ectPr>
          <w:pgSz w:w="12240" w:h="15840" w:orient="portrait"/>
          <w:cols w:equalWidth="0" w:num="1">
            <w:col w:w="9920"/>
          </w:cols>
          <w:pgMar w:left="1160" w:top="428" w:right="116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NIH – National Cancer Institute</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to support control over tumor immune escape in pancreatic cancer using a dual T cell product strategy. The Company recorded approximately $6,000 of grant income for the year ended December 31, 2024 and recorded the same amount in other receivables as of December 31, 2024.</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Cancer Prevention and Research Institute of Texas</w:t>
      </w:r>
    </w:p>
    <w:p>
      <w:pPr>
        <w:spacing w:after="0" w:line="230" w:lineRule="exact"/>
        <w:rPr>
          <w:sz w:val="20"/>
          <w:szCs w:val="20"/>
          <w:color w:val="auto"/>
        </w:rPr>
      </w:pPr>
    </w:p>
    <w:p>
      <w:pPr>
        <w:jc w:val="both"/>
        <w:ind w:firstLine="1"/>
        <w:spacing w:after="0" w:line="261"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the Company’s clinical investigation of MT-401. In December 2024, the Company received notice of an additional $9.5 million grant from CPRIT to support the clinical investigation of MT-601 in patients with pancreatic cancer. Both CPRIT grants contain identical terms surrounding intellectual property and revenue sharing.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Baylor College of Medicine</w:t>
      </w:r>
    </w:p>
    <w:p>
      <w:pPr>
        <w:spacing w:after="0" w:line="230"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8"/>
          <w:szCs w:val="18"/>
          <w:color w:val="auto"/>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clinical trials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sectPr>
          <w:pgSz w:w="12240" w:h="15840" w:orient="portrait"/>
          <w:cols w:equalWidth="0" w:num="1">
            <w:col w:w="9920"/>
          </w:cols>
          <w:pgMar w:left="1160" w:top="4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ectPr>
          <w:pgSz w:w="12240" w:h="15840" w:orient="portrait"/>
          <w:cols w:equalWidth="0" w:num="1">
            <w:col w:w="9920"/>
          </w:cols>
          <w:pgMar w:left="1160" w:top="427" w:right="1160" w:bottom="0" w:gutter="0" w:footer="0" w:header="0"/>
          <w:type w:val="continuous"/>
        </w:sectPr>
      </w:pPr>
    </w:p>
    <w:bookmarkStart w:id="119" w:name="page120"/>
    <w:bookmarkEnd w:id="11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related party transaction expenses recorded for the years ended December 31, 2024 and 2023, respectively.</w:t>
      </w:r>
    </w:p>
    <w:p>
      <w:pPr>
        <w:spacing w:after="0" w:line="2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4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56"/>
        </w:trPr>
        <w:tc>
          <w:tcPr>
            <w:tcW w:w="5820" w:type="dxa"/>
            <w:vAlign w:val="bottom"/>
            <w:tcBorders>
              <w:bottom w:val="single" w:sz="8" w:color="D2EEF5"/>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4"/>
              <w:spacing w:after="0" w:line="156"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D2EEF5"/>
            </w:tcBorders>
          </w:tcPr>
          <w:p>
            <w:pPr>
              <w:spacing w:after="0"/>
              <w:rPr>
                <w:sz w:val="13"/>
                <w:szCs w:val="13"/>
                <w:color w:val="auto"/>
              </w:rPr>
            </w:pPr>
          </w:p>
        </w:tc>
        <w:tc>
          <w:tcPr>
            <w:tcW w:w="20" w:type="dxa"/>
            <w:vAlign w:val="bottom"/>
            <w:tcBorders>
              <w:top w:val="single" w:sz="8" w:color="auto"/>
              <w:bottom w:val="single" w:sz="8" w:color="D2EEF5"/>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4"/>
              <w:spacing w:after="0" w:line="156"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82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Baylor College of Medicine</w:t>
            </w: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gridSpan w:val="2"/>
            <w:shd w:val="clear" w:color="auto" w:fill="D2EEF5"/>
          </w:tcPr>
          <w:p>
            <w:pPr>
              <w:spacing w:after="0"/>
              <w:rPr>
                <w:sz w:val="18"/>
                <w:szCs w:val="18"/>
                <w:color w:val="auto"/>
              </w:rPr>
            </w:pPr>
          </w:p>
        </w:tc>
        <w:tc>
          <w:tcPr>
            <w:tcW w:w="1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Cell Ready</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1,330,000</w:t>
            </w:r>
          </w:p>
        </w:tc>
      </w:tr>
      <w:tr>
        <w:trPr>
          <w:trHeight w:val="216"/>
        </w:trPr>
        <w:tc>
          <w:tcPr>
            <w:tcW w:w="582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Wilson Wolf Manufacturing Corporation</w:t>
            </w:r>
          </w:p>
        </w:tc>
        <w:tc>
          <w:tcPr>
            <w:tcW w:w="120" w:type="dxa"/>
            <w:vAlign w:val="bottom"/>
            <w:tcBorders>
              <w:bottom w:val="single" w:sz="8" w:color="auto"/>
            </w:tcBorders>
            <w:shd w:val="clear" w:color="auto" w:fill="D2EEF5"/>
          </w:tcPr>
          <w:p>
            <w:pPr>
              <w:spacing w:after="0"/>
              <w:rPr>
                <w:sz w:val="18"/>
                <w:szCs w:val="18"/>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120" w:type="dxa"/>
            <w:vAlign w:val="bottom"/>
            <w:tcBorders>
              <w:bottom w:val="single" w:sz="8" w:color="auto"/>
            </w:tcBorders>
            <w:shd w:val="clear" w:color="auto" w:fill="D2EEF5"/>
          </w:tcPr>
          <w:p>
            <w:pPr>
              <w:spacing w:after="0"/>
              <w:rPr>
                <w:sz w:val="18"/>
                <w:szCs w:val="18"/>
                <w:color w:val="auto"/>
              </w:rPr>
            </w:pPr>
          </w:p>
        </w:tc>
        <w:tc>
          <w:tcPr>
            <w:tcW w:w="82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277,000</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5,853,000</w:t>
            </w:r>
          </w:p>
        </w:tc>
        <w:tc>
          <w:tcPr>
            <w:tcW w:w="2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1,620,000</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As of December 31, 2024 and 2023, $1.7 million and $1.3 million, respectively, of related party transactions are included in accounts payable and accrued liabilities. See Note 7 for additional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r>
        <w:rPr>
          <w:rFonts w:ascii="Arial" w:cs="Arial" w:eastAsia="Arial" w:hAnsi="Arial"/>
          <w:sz w:val="18"/>
          <w:szCs w:val="18"/>
          <w:i w:val="1"/>
          <w:iCs w:val="1"/>
          <w:color w:val="auto"/>
        </w:rPr>
        <w:t>.</w:t>
      </w:r>
    </w:p>
    <w:p>
      <w:pPr>
        <w:spacing w:after="0" w:line="22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September 2019, May 2020 and July 2021, the Company entered into Clinical Supply Agreements with BCM, which provided for BCM to provide to the Company multi tumor antigen specific products.</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August 2020, the Company entered in a Clinical Trial Agreement with BCM, which provided for BCM to provide to the Company investigator-initiated research studies.</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 has also entered into a Clinical Site Agreement with BCM, which provided for BCM to conduct clinical trials for the Company and is a part of continuing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BCM is also a shareholder of the Company’s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Wilson Wolf</w:t>
      </w:r>
      <w:r>
        <w:rPr>
          <w:rFonts w:ascii="Arial" w:cs="Arial" w:eastAsia="Arial" w:hAnsi="Arial"/>
          <w:sz w:val="18"/>
          <w:szCs w:val="18"/>
          <w:i w:val="1"/>
          <w:iCs w:val="1"/>
          <w:color w:val="auto"/>
        </w:rPr>
        <w:t>.</w:t>
      </w:r>
    </w:p>
    <w:p>
      <w:pPr>
        <w:spacing w:after="0" w:line="22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In 2023, the Company utilized Wilson Wolf for the purchases of cell culture devices. Mr. John Wilson was a member of the Company’s board of directors and is serving as the CEO of Wilson Wolf Manufacturing Corporation.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Cell Ready, LLC.</w:t>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utilized Cell Ready, LLC for clinical manufacturing supply and product development. On February 22, 2024, we entered into a 3-year Master Services Agreement for Product Supply (the “MSA”) with Cell Ready. Cell Ready, which is owned by a former director and current shareholder, Mr. John Wilson, is a contract development and manufacturing organization (CDMO).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entered into Work Order #1 under the MSA, pursuant to which Cell Ready agreed to provide the Company with GMP drug product for Marker MT-401 and/or MT-601. The services include the delivery of final drug product and quality control testing. The Company also requested Cell Ready to provide general support services in connection therewith. During the year ended December 31, 2024, the Company incurred $5.8 million in expenses related to the services and manufacturing costs and paid $5.5 million for invoices received.</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ectPr>
          <w:pgSz w:w="12240" w:h="15840" w:orient="portrait"/>
          <w:cols w:equalWidth="0" w:num="1">
            <w:col w:w="9920"/>
          </w:cols>
          <w:pgMar w:left="1160" w:top="428" w:right="1160" w:bottom="0" w:gutter="0" w:footer="0" w:header="0"/>
          <w:type w:val="continuous"/>
        </w:sectPr>
      </w:pPr>
    </w:p>
    <w:bookmarkStart w:id="120" w:name="page121"/>
    <w:bookmarkEnd w:id="12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federal income tax expense due to operating losses incurred and utilized for the years ended December 31, 2024, and 2023, respectively. The Company recognized $50,000 and $4,000 in state tax expense for the years ended December 31, 2024 and 2023, respectively.</w:t>
      </w:r>
    </w:p>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effects of temporary differences that give rise to significant portions of the deferred tax assets as of December 31, 2024 and 2023 are as follows:</w:t>
      </w:r>
    </w:p>
    <w:p>
      <w:pPr>
        <w:spacing w:after="0" w:line="15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56"/>
        </w:trPr>
        <w:tc>
          <w:tcPr>
            <w:tcW w:w="4240" w:type="dxa"/>
            <w:vAlign w:val="bottom"/>
            <w:tcBorders>
              <w:bottom w:val="single" w:sz="8" w:color="D2EEF5"/>
            </w:tcBorders>
          </w:tcPr>
          <w:p>
            <w:pPr>
              <w:spacing w:after="0"/>
              <w:rPr>
                <w:sz w:val="13"/>
                <w:szCs w:val="13"/>
                <w:color w:val="auto"/>
              </w:rPr>
            </w:pPr>
          </w:p>
        </w:tc>
        <w:tc>
          <w:tcPr>
            <w:tcW w:w="1460" w:type="dxa"/>
            <w:vAlign w:val="bottom"/>
            <w:tcBorders>
              <w:bottom w:val="single" w:sz="8" w:color="D2EEF5"/>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D2EEF5"/>
            </w:tcBorders>
          </w:tcPr>
          <w:p>
            <w:pPr>
              <w:spacing w:after="0"/>
              <w:rPr>
                <w:sz w:val="13"/>
                <w:szCs w:val="13"/>
                <w:color w:val="auto"/>
              </w:rPr>
            </w:pPr>
          </w:p>
        </w:tc>
        <w:tc>
          <w:tcPr>
            <w:tcW w:w="20" w:type="dxa"/>
            <w:vAlign w:val="bottom"/>
            <w:tcBorders>
              <w:top w:val="single" w:sz="8" w:color="auto"/>
              <w:bottom w:val="single" w:sz="8" w:color="D2EEF5"/>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2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940" w:type="dxa"/>
            <w:vAlign w:val="bottom"/>
            <w:shd w:val="clear" w:color="auto" w:fill="D2EEF5"/>
          </w:tcPr>
          <w:p>
            <w:pPr>
              <w:spacing w:after="0"/>
              <w:rPr>
                <w:sz w:val="18"/>
                <w:szCs w:val="18"/>
                <w:color w:val="auto"/>
              </w:rPr>
            </w:pPr>
          </w:p>
        </w:tc>
        <w:tc>
          <w:tcPr>
            <w:tcW w:w="14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80" w:type="dxa"/>
            <w:vAlign w:val="bottom"/>
            <w:shd w:val="clear" w:color="auto" w:fill="D2EEF5"/>
          </w:tcPr>
          <w:p>
            <w:pPr>
              <w:spacing w:after="0"/>
              <w:rPr>
                <w:sz w:val="18"/>
                <w:szCs w:val="18"/>
                <w:color w:val="auto"/>
              </w:rPr>
            </w:pPr>
          </w:p>
        </w:tc>
        <w:tc>
          <w:tcPr>
            <w:tcW w:w="940" w:type="dxa"/>
            <w:vAlign w:val="bottom"/>
            <w:shd w:val="clear" w:color="auto" w:fill="D2EEF5"/>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29,352,000</w:t>
            </w:r>
          </w:p>
        </w:tc>
      </w:tr>
      <w:tr>
        <w:trPr>
          <w:trHeight w:val="216"/>
        </w:trPr>
        <w:tc>
          <w:tcPr>
            <w:tcW w:w="424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1460" w:type="dxa"/>
            <w:vAlign w:val="bottom"/>
            <w:shd w:val="clear" w:color="auto" w:fill="D2EEF5"/>
          </w:tcPr>
          <w:p>
            <w:pPr>
              <w:spacing w:after="0"/>
              <w:rPr>
                <w:sz w:val="18"/>
                <w:szCs w:val="18"/>
                <w:color w:val="auto"/>
              </w:rPr>
            </w:pPr>
          </w:p>
        </w:tc>
        <w:tc>
          <w:tcPr>
            <w:tcW w:w="100" w:type="dxa"/>
            <w:vAlign w:val="bottom"/>
            <w:shd w:val="clear" w:color="auto" w:fill="D2EEF5"/>
          </w:tcPr>
          <w:p>
            <w:pPr>
              <w:spacing w:after="0"/>
              <w:rPr>
                <w:sz w:val="18"/>
                <w:szCs w:val="18"/>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1,670,000</w:t>
            </w:r>
          </w:p>
        </w:tc>
        <w:tc>
          <w:tcPr>
            <w:tcW w:w="14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80" w:type="dxa"/>
            <w:vAlign w:val="bottom"/>
            <w:shd w:val="clear" w:color="auto" w:fill="D2EEF5"/>
          </w:tcPr>
          <w:p>
            <w:pPr>
              <w:spacing w:after="0"/>
              <w:rPr>
                <w:sz w:val="18"/>
                <w:szCs w:val="18"/>
                <w:color w:val="auto"/>
              </w:rPr>
            </w:pPr>
          </w:p>
        </w:tc>
        <w:tc>
          <w:tcPr>
            <w:tcW w:w="94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2,598,000</w:t>
            </w: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R&amp;E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7,026,000</w:t>
            </w:r>
          </w:p>
        </w:tc>
      </w:tr>
      <w:tr>
        <w:trPr>
          <w:trHeight w:val="216"/>
        </w:trPr>
        <w:tc>
          <w:tcPr>
            <w:tcW w:w="4240" w:type="dxa"/>
            <w:vAlign w:val="bottom"/>
            <w:shd w:val="clear" w:color="auto" w:fill="D2EEF5"/>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D2EEF5"/>
          </w:tcPr>
          <w:p>
            <w:pPr>
              <w:spacing w:after="0"/>
              <w:rPr>
                <w:sz w:val="18"/>
                <w:szCs w:val="18"/>
                <w:color w:val="auto"/>
              </w:rPr>
            </w:pPr>
          </w:p>
        </w:tc>
        <w:tc>
          <w:tcPr>
            <w:tcW w:w="100" w:type="dxa"/>
            <w:vAlign w:val="bottom"/>
            <w:tcBorders>
              <w:bottom w:val="single" w:sz="8" w:color="auto"/>
            </w:tcBorders>
            <w:shd w:val="clear" w:color="auto" w:fill="D2EEF5"/>
          </w:tcPr>
          <w:p>
            <w:pPr>
              <w:spacing w:after="0"/>
              <w:rPr>
                <w:sz w:val="18"/>
                <w:szCs w:val="18"/>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733,000</w:t>
            </w:r>
          </w:p>
        </w:tc>
        <w:tc>
          <w:tcPr>
            <w:tcW w:w="14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80" w:type="dxa"/>
            <w:vAlign w:val="bottom"/>
            <w:tcBorders>
              <w:bottom w:val="single" w:sz="8" w:color="auto"/>
            </w:tcBorders>
            <w:shd w:val="clear" w:color="auto" w:fill="D2EEF5"/>
          </w:tcPr>
          <w:p>
            <w:pPr>
              <w:spacing w:after="0"/>
              <w:rPr>
                <w:sz w:val="18"/>
                <w:szCs w:val="18"/>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733,000</w:t>
            </w:r>
          </w:p>
        </w:tc>
      </w:tr>
      <w:tr>
        <w:trPr>
          <w:trHeight w:val="209"/>
        </w:trPr>
        <w:tc>
          <w:tcPr>
            <w:tcW w:w="4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40,997,000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39,709,000</w:t>
            </w:r>
          </w:p>
        </w:tc>
      </w:tr>
      <w:tr>
        <w:trPr>
          <w:trHeight w:val="216"/>
        </w:trPr>
        <w:tc>
          <w:tcPr>
            <w:tcW w:w="424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60" w:type="dxa"/>
            <w:vAlign w:val="bottom"/>
            <w:shd w:val="clear" w:color="auto" w:fill="D2EEF5"/>
          </w:tcPr>
          <w:p>
            <w:pPr>
              <w:spacing w:after="0"/>
              <w:rPr>
                <w:sz w:val="18"/>
                <w:szCs w:val="18"/>
                <w:color w:val="auto"/>
              </w:rPr>
            </w:pPr>
          </w:p>
        </w:tc>
        <w:tc>
          <w:tcPr>
            <w:tcW w:w="100" w:type="dxa"/>
            <w:vAlign w:val="bottom"/>
            <w:tcBorders>
              <w:bottom w:val="single" w:sz="8" w:color="auto"/>
            </w:tcBorders>
            <w:shd w:val="clear" w:color="auto" w:fill="D2EEF5"/>
          </w:tcPr>
          <w:p>
            <w:pPr>
              <w:spacing w:after="0"/>
              <w:rPr>
                <w:sz w:val="18"/>
                <w:szCs w:val="18"/>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8"/>
              </w:rPr>
              <w:t>(40,997,000)</w:t>
            </w:r>
          </w:p>
        </w:tc>
        <w:tc>
          <w:tcPr>
            <w:tcW w:w="140" w:type="dxa"/>
            <w:vAlign w:val="bottom"/>
            <w:shd w:val="clear" w:color="auto" w:fill="D2EEF5"/>
          </w:tcPr>
          <w:p>
            <w:pPr>
              <w:spacing w:after="0"/>
              <w:rPr>
                <w:sz w:val="18"/>
                <w:szCs w:val="18"/>
                <w:color w:val="auto"/>
              </w:rPr>
            </w:pPr>
          </w:p>
        </w:tc>
        <w:tc>
          <w:tcPr>
            <w:tcW w:w="20" w:type="dxa"/>
            <w:vAlign w:val="bottom"/>
            <w:shd w:val="clear" w:color="auto" w:fill="D2EEF5"/>
          </w:tcPr>
          <w:p>
            <w:pPr>
              <w:spacing w:after="0"/>
              <w:rPr>
                <w:sz w:val="18"/>
                <w:szCs w:val="18"/>
                <w:color w:val="auto"/>
              </w:rPr>
            </w:pPr>
          </w:p>
        </w:tc>
        <w:tc>
          <w:tcPr>
            <w:tcW w:w="80" w:type="dxa"/>
            <w:vAlign w:val="bottom"/>
            <w:tcBorders>
              <w:bottom w:val="single" w:sz="8" w:color="auto"/>
            </w:tcBorders>
            <w:shd w:val="clear" w:color="auto" w:fill="D2EEF5"/>
          </w:tcPr>
          <w:p>
            <w:pPr>
              <w:spacing w:after="0"/>
              <w:rPr>
                <w:sz w:val="18"/>
                <w:szCs w:val="18"/>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8"/>
              </w:rPr>
              <w:t>(39,709,000)</w:t>
            </w:r>
          </w:p>
        </w:tc>
      </w:tr>
      <w:tr>
        <w:trPr>
          <w:trHeight w:val="250"/>
        </w:trPr>
        <w:tc>
          <w:tcPr>
            <w:tcW w:w="4240" w:type="dxa"/>
            <w:vAlign w:val="bottom"/>
            <w:tcBorders>
              <w:bottom w:val="single" w:sz="8" w:color="D2EEF5"/>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60" w:type="dxa"/>
            <w:vAlign w:val="bottom"/>
            <w:tcBorders>
              <w:bottom w:val="single" w:sz="8" w:color="D2EEF5"/>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2EEF5"/>
            </w:tcBorders>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240" w:type="dxa"/>
            <w:vAlign w:val="bottom"/>
            <w:shd w:val="clear" w:color="auto" w:fill="D2EEF5"/>
          </w:tcPr>
          <w:p>
            <w:pPr>
              <w:spacing w:after="0"/>
              <w:rPr>
                <w:sz w:val="17"/>
                <w:szCs w:val="17"/>
                <w:color w:val="auto"/>
              </w:rPr>
            </w:pPr>
          </w:p>
        </w:tc>
        <w:tc>
          <w:tcPr>
            <w:tcW w:w="1460" w:type="dxa"/>
            <w:vAlign w:val="bottom"/>
            <w:shd w:val="clear" w:color="auto" w:fill="D2EEF5"/>
          </w:tcPr>
          <w:p>
            <w:pPr>
              <w:spacing w:after="0"/>
              <w:rPr>
                <w:sz w:val="17"/>
                <w:szCs w:val="17"/>
                <w:color w:val="auto"/>
              </w:rPr>
            </w:pPr>
          </w:p>
        </w:tc>
        <w:tc>
          <w:tcPr>
            <w:tcW w:w="100" w:type="dxa"/>
            <w:vAlign w:val="bottom"/>
            <w:tcBorders>
              <w:bottom w:val="single" w:sz="8" w:color="auto"/>
            </w:tcBorders>
            <w:shd w:val="clear" w:color="auto" w:fill="D2EEF5"/>
          </w:tcPr>
          <w:p>
            <w:pPr>
              <w:spacing w:after="0"/>
              <w:rPr>
                <w:sz w:val="17"/>
                <w:szCs w:val="17"/>
                <w:color w:val="auto"/>
              </w:rPr>
            </w:pPr>
          </w:p>
        </w:tc>
        <w:tc>
          <w:tcPr>
            <w:tcW w:w="940" w:type="dxa"/>
            <w:vAlign w:val="bottom"/>
            <w:tcBorders>
              <w:bottom w:val="single" w:sz="8" w:color="auto"/>
            </w:tcBorders>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80" w:type="dxa"/>
            <w:vAlign w:val="bottom"/>
            <w:tcBorders>
              <w:bottom w:val="single" w:sz="8" w:color="auto"/>
            </w:tcBorders>
            <w:shd w:val="clear" w:color="auto" w:fill="D2EEF5"/>
          </w:tcPr>
          <w:p>
            <w:pPr>
              <w:spacing w:after="0"/>
              <w:rPr>
                <w:sz w:val="17"/>
                <w:szCs w:val="17"/>
                <w:color w:val="auto"/>
              </w:rPr>
            </w:pPr>
          </w:p>
        </w:tc>
        <w:tc>
          <w:tcPr>
            <w:tcW w:w="940" w:type="dxa"/>
            <w:vAlign w:val="bottom"/>
            <w:tcBorders>
              <w:bottom w:val="single" w:sz="8" w:color="auto"/>
            </w:tcBorders>
            <w:shd w:val="clear" w:color="auto" w:fill="D2EEF5"/>
          </w:tcPr>
          <w:p>
            <w:pPr>
              <w:spacing w:after="0"/>
              <w:rPr>
                <w:sz w:val="17"/>
                <w:szCs w:val="17"/>
                <w:color w:val="auto"/>
              </w:rPr>
            </w:pPr>
          </w:p>
        </w:tc>
      </w:tr>
      <w:tr>
        <w:trPr>
          <w:trHeight w:val="249"/>
        </w:trPr>
        <w:tc>
          <w:tcPr>
            <w:tcW w:w="4240" w:type="dxa"/>
            <w:vAlign w:val="bottom"/>
            <w:tcBorders>
              <w:bottom w:val="single" w:sz="8" w:color="D2EEF5"/>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60" w:type="dxa"/>
            <w:vAlign w:val="bottom"/>
            <w:tcBorders>
              <w:bottom w:val="single" w:sz="8" w:color="D2EEF5"/>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2EEF5"/>
            </w:tcBorders>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240" w:type="dxa"/>
            <w:vAlign w:val="bottom"/>
            <w:shd w:val="clear" w:color="auto" w:fill="D2EEF5"/>
          </w:tcPr>
          <w:p>
            <w:pPr>
              <w:spacing w:after="0"/>
              <w:rPr>
                <w:sz w:val="17"/>
                <w:szCs w:val="17"/>
                <w:color w:val="auto"/>
              </w:rPr>
            </w:pPr>
          </w:p>
        </w:tc>
        <w:tc>
          <w:tcPr>
            <w:tcW w:w="1460" w:type="dxa"/>
            <w:vAlign w:val="bottom"/>
            <w:shd w:val="clear" w:color="auto" w:fill="D2EEF5"/>
          </w:tcPr>
          <w:p>
            <w:pPr>
              <w:spacing w:after="0"/>
              <w:rPr>
                <w:sz w:val="17"/>
                <w:szCs w:val="17"/>
                <w:color w:val="auto"/>
              </w:rPr>
            </w:pPr>
          </w:p>
        </w:tc>
        <w:tc>
          <w:tcPr>
            <w:tcW w:w="100" w:type="dxa"/>
            <w:vAlign w:val="bottom"/>
            <w:tcBorders>
              <w:bottom w:val="single" w:sz="8" w:color="auto"/>
            </w:tcBorders>
            <w:shd w:val="clear" w:color="auto" w:fill="D2EEF5"/>
          </w:tcPr>
          <w:p>
            <w:pPr>
              <w:spacing w:after="0"/>
              <w:rPr>
                <w:sz w:val="17"/>
                <w:szCs w:val="17"/>
                <w:color w:val="auto"/>
              </w:rPr>
            </w:pPr>
          </w:p>
        </w:tc>
        <w:tc>
          <w:tcPr>
            <w:tcW w:w="940" w:type="dxa"/>
            <w:vAlign w:val="bottom"/>
            <w:tcBorders>
              <w:bottom w:val="single" w:sz="8" w:color="auto"/>
            </w:tcBorders>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80" w:type="dxa"/>
            <w:vAlign w:val="bottom"/>
            <w:tcBorders>
              <w:bottom w:val="single" w:sz="8" w:color="auto"/>
            </w:tcBorders>
            <w:shd w:val="clear" w:color="auto" w:fill="D2EEF5"/>
          </w:tcPr>
          <w:p>
            <w:pPr>
              <w:spacing w:after="0"/>
              <w:rPr>
                <w:sz w:val="17"/>
                <w:szCs w:val="17"/>
                <w:color w:val="auto"/>
              </w:rPr>
            </w:pPr>
          </w:p>
        </w:tc>
        <w:tc>
          <w:tcPr>
            <w:tcW w:w="940" w:type="dxa"/>
            <w:vAlign w:val="bottom"/>
            <w:tcBorders>
              <w:bottom w:val="single" w:sz="8" w:color="auto"/>
            </w:tcBorders>
            <w:shd w:val="clear" w:color="auto" w:fill="D2EEF5"/>
          </w:tcPr>
          <w:p>
            <w:pPr>
              <w:spacing w:after="0"/>
              <w:rPr>
                <w:sz w:val="17"/>
                <w:szCs w:val="17"/>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Assets/(Liabilities)</w:t>
            </w: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2024 and 2023.</w:t>
      </w:r>
    </w:p>
    <w:p>
      <w:pPr>
        <w:spacing w:after="0" w:line="135" w:lineRule="exact"/>
        <w:rPr>
          <w:sz w:val="20"/>
          <w:szCs w:val="20"/>
          <w:color w:val="auto"/>
        </w:rPr>
      </w:pPr>
    </w:p>
    <w:p>
      <w:pPr>
        <w:jc w:val="both"/>
        <w:ind w:right="20" w:firstLine="1"/>
        <w:spacing w:after="0" w:line="256" w:lineRule="auto"/>
        <w:rPr>
          <w:sz w:val="20"/>
          <w:szCs w:val="20"/>
          <w:color w:val="auto"/>
        </w:rPr>
      </w:pPr>
      <w:r>
        <w:rPr>
          <w:rFonts w:ascii="Times New Roman" w:cs="Times New Roman" w:eastAsia="Times New Roman" w:hAnsi="Times New Roman"/>
          <w:sz w:val="18"/>
          <w:szCs w:val="18"/>
          <w:color w:val="auto"/>
        </w:rPr>
        <w:t>The Company has approximately $138.3 million of federal and $38.8 million of state Net Operating Losses (“NOL”s) that may be available to offset future taxable income, if any. The federal net operating loss carryforwards of $38.4 million, if not utilized, will expire between 2030 and 2037. The federal net operating loss carryforwards of $99.9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$16.9 million generated in 2018 and thereafter are subject to an 80% limitation on taxable income, do not expire and will carry forward indefinitely.</w:t>
      </w:r>
    </w:p>
    <w:p>
      <w:pPr>
        <w:spacing w:after="0" w:line="1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 has research and development tax credit carryforwards of $733,000 available to offset future federal income taxes. The research and development tax credit carryforwards begin to expire in 2030.</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considered under IRC Section 41 (relating to the research tax credit). For the year ended December 31, 2024, and 2023, the Company performed an analysis based on available guidance and determined that it will continue to be in a loss position even after the required capitalization and amortization of its R&amp;E expenses. The Company will continue to monitor this issue for future developments, but it does not expect R&amp;E capitalization and amortization to require it to pay cash taxes now or in the near future.</w:t>
      </w:r>
    </w:p>
    <w:p>
      <w:pPr>
        <w:sectPr>
          <w:pgSz w:w="12240" w:h="15840" w:orient="portrait"/>
          <w:cols w:equalWidth="0" w:num="1">
            <w:col w:w="9920"/>
          </w:cols>
          <w:pgMar w:left="1160" w:top="4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ectPr>
          <w:pgSz w:w="12240" w:h="15840" w:orient="portrait"/>
          <w:cols w:equalWidth="0" w:num="1">
            <w:col w:w="9920"/>
          </w:cols>
          <w:pgMar w:left="1160" w:top="428" w:right="1160" w:bottom="0" w:gutter="0" w:footer="0" w:header="0"/>
          <w:type w:val="continuous"/>
        </w:sectPr>
      </w:pPr>
    </w:p>
    <w:bookmarkStart w:id="121" w:name="page122"/>
    <w:bookmarkEnd w:id="121"/>
    <w:p>
      <w:pPr>
        <w:jc w:val="both"/>
        <w:spacing w:after="0" w:line="283" w:lineRule="auto"/>
        <w:rPr>
          <w:sz w:val="20"/>
          <w:szCs w:val="20"/>
          <w:color w:val="auto"/>
        </w:rPr>
      </w:pPr>
      <w:r>
        <w:rPr>
          <w:rFonts w:ascii="Times New Roman" w:cs="Times New Roman" w:eastAsia="Times New Roman" w:hAnsi="Times New Roman"/>
          <w:sz w:val="18"/>
          <w:szCs w:val="18"/>
          <w:color w:val="auto"/>
        </w:rPr>
        <w:t>The Company’s income tax returns for 2021 to 2023 are still open and subject to audit. In addition, net operating losses arising from prior years are also subject to examination at the time they are utilized in future years.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the expected tax expense (benefit) from continuing operations based on the U.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statutory rate is reconciled with the actual tax provision (benefit)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920" w:type="dxa"/>
            <w:vAlign w:val="bottom"/>
          </w:tcPr>
          <w:p>
            <w:pPr>
              <w:jc w:val="right"/>
              <w:ind w:right="60"/>
              <w:spacing w:after="0" w:line="116"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54"/>
              <w:spacing w:after="0" w:line="116"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Pretax Loss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Pretax Loss</w:t>
            </w:r>
          </w:p>
        </w:tc>
        <w:tc>
          <w:tcPr>
            <w:tcW w:w="0" w:type="dxa"/>
            <w:vAlign w:val="bottom"/>
          </w:tcPr>
          <w:p>
            <w:pPr>
              <w:spacing w:after="0"/>
              <w:rPr>
                <w:sz w:val="1"/>
                <w:szCs w:val="1"/>
                <w:color w:val="auto"/>
              </w:rPr>
            </w:pPr>
          </w:p>
        </w:tc>
      </w:tr>
      <w:tr>
        <w:trPr>
          <w:trHeight w:val="209"/>
        </w:trPr>
        <w:tc>
          <w:tcPr>
            <w:tcW w:w="5420" w:type="dxa"/>
            <w:vAlign w:val="bottom"/>
            <w:tcBorders>
              <w:top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(2,243,000)</w:t>
            </w:r>
          </w:p>
        </w:tc>
        <w:tc>
          <w:tcPr>
            <w:tcW w:w="60" w:type="dxa"/>
            <w:vAlign w:val="bottom"/>
            <w:tcBorders>
              <w:top w:val="single" w:sz="8" w:color="D2EEF5"/>
            </w:tcBorders>
            <w:shd w:val="clear" w:color="auto" w:fill="D2EEF5"/>
          </w:tcPr>
          <w:p>
            <w:pPr>
              <w:spacing w:after="0"/>
              <w:rPr>
                <w:sz w:val="18"/>
                <w:szCs w:val="18"/>
                <w:color w:val="auto"/>
              </w:rPr>
            </w:pPr>
          </w:p>
        </w:tc>
        <w:tc>
          <w:tcPr>
            <w:tcW w:w="80" w:type="dxa"/>
            <w:vAlign w:val="bottom"/>
            <w:tcBorders>
              <w:top w:val="single" w:sz="8" w:color="D2EEF5"/>
            </w:tcBorders>
            <w:shd w:val="clear" w:color="auto" w:fill="D2EEF5"/>
          </w:tcPr>
          <w:p>
            <w:pPr>
              <w:spacing w:after="0"/>
              <w:rPr>
                <w:sz w:val="18"/>
                <w:szCs w:val="18"/>
                <w:color w:val="auto"/>
              </w:rPr>
            </w:pPr>
          </w:p>
        </w:tc>
        <w:tc>
          <w:tcPr>
            <w:tcW w:w="9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D2EEF5"/>
            </w:tcBorders>
            <w:shd w:val="clear" w:color="auto" w:fill="D2EEF5"/>
          </w:tcPr>
          <w:p>
            <w:pPr>
              <w:spacing w:after="0"/>
              <w:rPr>
                <w:sz w:val="18"/>
                <w:szCs w:val="18"/>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9"/>
              </w:rPr>
              <w:t>(2,948,000)</w:t>
            </w:r>
          </w:p>
        </w:tc>
        <w:tc>
          <w:tcPr>
            <w:tcW w:w="160" w:type="dxa"/>
            <w:vAlign w:val="bottom"/>
            <w:tcBorders>
              <w:top w:val="single" w:sz="8" w:color="D2EEF5"/>
            </w:tcBorders>
            <w:shd w:val="clear" w:color="auto" w:fill="D2EEF5"/>
          </w:tcPr>
          <w:p>
            <w:pPr>
              <w:spacing w:after="0"/>
              <w:rPr>
                <w:sz w:val="18"/>
                <w:szCs w:val="18"/>
                <w:color w:val="auto"/>
              </w:rPr>
            </w:pPr>
          </w:p>
        </w:tc>
        <w:tc>
          <w:tcPr>
            <w:tcW w:w="60" w:type="dxa"/>
            <w:vAlign w:val="bottom"/>
            <w:tcBorders>
              <w:top w:val="single" w:sz="8" w:color="auto"/>
            </w:tcBorders>
            <w:shd w:val="clear" w:color="auto" w:fill="D2EEF5"/>
          </w:tcPr>
          <w:p>
            <w:pPr>
              <w:spacing w:after="0"/>
              <w:rPr>
                <w:sz w:val="18"/>
                <w:szCs w:val="18"/>
                <w:color w:val="auto"/>
              </w:rPr>
            </w:pPr>
          </w:p>
        </w:tc>
        <w:tc>
          <w:tcPr>
            <w:tcW w:w="840" w:type="dxa"/>
            <w:vAlign w:val="bottom"/>
            <w:tcBorders>
              <w:top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tcBorders>
              <w:top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16"/>
        </w:trPr>
        <w:tc>
          <w:tcPr>
            <w:tcW w:w="542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120" w:type="dxa"/>
            <w:vAlign w:val="bottom"/>
            <w:shd w:val="clear" w:color="auto" w:fill="D2EEF5"/>
          </w:tcPr>
          <w:p>
            <w:pPr>
              <w:spacing w:after="0"/>
              <w:rPr>
                <w:sz w:val="18"/>
                <w:szCs w:val="18"/>
                <w:color w:val="auto"/>
              </w:rPr>
            </w:pPr>
          </w:p>
        </w:tc>
        <w:tc>
          <w:tcPr>
            <w:tcW w:w="920" w:type="dxa"/>
            <w:vAlign w:val="bottom"/>
            <w:gridSpan w:val="2"/>
            <w:shd w:val="clear" w:color="auto" w:fill="D2EEF5"/>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3"/>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4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1020" w:type="dxa"/>
            <w:vAlign w:val="bottom"/>
            <w:gridSpan w:val="2"/>
            <w:shd w:val="clear" w:color="auto" w:fill="D2EEF5"/>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60" w:type="dxa"/>
            <w:vAlign w:val="bottom"/>
            <w:shd w:val="clear" w:color="auto" w:fill="D2EEF5"/>
          </w:tcPr>
          <w:p>
            <w:pPr>
              <w:spacing w:after="0"/>
              <w:rPr>
                <w:sz w:val="18"/>
                <w:szCs w:val="18"/>
                <w:color w:val="auto"/>
              </w:rPr>
            </w:pPr>
          </w:p>
        </w:tc>
        <w:tc>
          <w:tcPr>
            <w:tcW w:w="10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D2EEF5"/>
          </w:tcPr>
          <w:p>
            <w:pPr>
              <w:ind w:left="120"/>
              <w:spacing w:after="0"/>
              <w:rPr>
                <w:sz w:val="20"/>
                <w:szCs w:val="20"/>
                <w:color w:val="auto"/>
              </w:rPr>
            </w:pPr>
            <w:r>
              <w:rPr>
                <w:rFonts w:ascii="Times New Roman" w:cs="Times New Roman" w:eastAsia="Times New Roman" w:hAnsi="Times New Roman"/>
                <w:sz w:val="18"/>
                <w:szCs w:val="18"/>
                <w:color w:val="auto"/>
              </w:rPr>
              <w:t>- Other permanent differences</w:t>
            </w:r>
          </w:p>
        </w:tc>
        <w:tc>
          <w:tcPr>
            <w:tcW w:w="120" w:type="dxa"/>
            <w:vAlign w:val="bottom"/>
            <w:shd w:val="clear" w:color="auto" w:fill="D2EEF5"/>
          </w:tcPr>
          <w:p>
            <w:pPr>
              <w:spacing w:after="0"/>
              <w:rPr>
                <w:sz w:val="18"/>
                <w:szCs w:val="18"/>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60" w:type="dxa"/>
            <w:vAlign w:val="bottom"/>
            <w:shd w:val="clear" w:color="auto" w:fill="D2EEF5"/>
          </w:tcPr>
          <w:p>
            <w:pPr>
              <w:spacing w:after="0"/>
              <w:rPr>
                <w:sz w:val="18"/>
                <w:szCs w:val="18"/>
                <w:color w:val="auto"/>
              </w:rPr>
            </w:pPr>
          </w:p>
        </w:tc>
        <w:tc>
          <w:tcPr>
            <w:tcW w:w="1200" w:type="dxa"/>
            <w:vAlign w:val="bottom"/>
            <w:gridSpan w:val="3"/>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10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1,288,000</w:t>
            </w: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(1,556,000)</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11.08 %</w:t>
            </w:r>
          </w:p>
        </w:tc>
        <w:tc>
          <w:tcPr>
            <w:tcW w:w="0" w:type="dxa"/>
            <w:vAlign w:val="bottom"/>
          </w:tcPr>
          <w:p>
            <w:pPr>
              <w:spacing w:after="0"/>
              <w:rPr>
                <w:sz w:val="1"/>
                <w:szCs w:val="1"/>
                <w:color w:val="auto"/>
              </w:rPr>
            </w:pPr>
          </w:p>
        </w:tc>
      </w:tr>
      <w:tr>
        <w:trPr>
          <w:trHeight w:val="216"/>
        </w:trPr>
        <w:tc>
          <w:tcPr>
            <w:tcW w:w="5420" w:type="dxa"/>
            <w:vAlign w:val="bottom"/>
            <w:shd w:val="clear" w:color="auto" w:fill="D2EEF5"/>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120" w:type="dxa"/>
            <w:vAlign w:val="bottom"/>
            <w:shd w:val="clear" w:color="auto" w:fill="D2EEF5"/>
          </w:tcPr>
          <w:p>
            <w:pPr>
              <w:spacing w:after="0"/>
              <w:rPr>
                <w:sz w:val="18"/>
                <w:szCs w:val="18"/>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953,000</w:t>
            </w:r>
          </w:p>
        </w:tc>
        <w:tc>
          <w:tcPr>
            <w:tcW w:w="60" w:type="dxa"/>
            <w:vAlign w:val="bottom"/>
            <w:shd w:val="clear" w:color="auto" w:fill="D2EEF5"/>
          </w:tcPr>
          <w:p>
            <w:pPr>
              <w:spacing w:after="0"/>
              <w:rPr>
                <w:sz w:val="18"/>
                <w:szCs w:val="18"/>
                <w:color w:val="auto"/>
              </w:rPr>
            </w:pPr>
          </w:p>
        </w:tc>
        <w:tc>
          <w:tcPr>
            <w:tcW w:w="1200" w:type="dxa"/>
            <w:vAlign w:val="bottom"/>
            <w:gridSpan w:val="3"/>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shd w:val="clear" w:color="auto" w:fill="D2EEF5"/>
          </w:tcPr>
          <w:p>
            <w:pPr>
              <w:spacing w:after="0"/>
              <w:rPr>
                <w:sz w:val="18"/>
                <w:szCs w:val="18"/>
                <w:color w:val="auto"/>
              </w:rPr>
            </w:pPr>
          </w:p>
        </w:tc>
        <w:tc>
          <w:tcPr>
            <w:tcW w:w="120" w:type="dxa"/>
            <w:vAlign w:val="bottom"/>
            <w:shd w:val="clear" w:color="auto" w:fill="D2EEF5"/>
          </w:tcPr>
          <w:p>
            <w:pPr>
              <w:spacing w:after="0"/>
              <w:rPr>
                <w:sz w:val="18"/>
                <w:szCs w:val="18"/>
                <w:color w:val="auto"/>
              </w:rPr>
            </w:pPr>
          </w:p>
        </w:tc>
        <w:tc>
          <w:tcPr>
            <w:tcW w:w="860" w:type="dxa"/>
            <w:vAlign w:val="bottom"/>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4,512,000</w:t>
            </w:r>
          </w:p>
        </w:tc>
        <w:tc>
          <w:tcPr>
            <w:tcW w:w="160" w:type="dxa"/>
            <w:vAlign w:val="bottom"/>
            <w:shd w:val="clear" w:color="auto" w:fill="D2EEF5"/>
          </w:tcPr>
          <w:p>
            <w:pPr>
              <w:spacing w:after="0"/>
              <w:rPr>
                <w:sz w:val="18"/>
                <w:szCs w:val="18"/>
                <w:color w:val="auto"/>
              </w:rPr>
            </w:pPr>
          </w:p>
        </w:tc>
        <w:tc>
          <w:tcPr>
            <w:tcW w:w="60" w:type="dxa"/>
            <w:vAlign w:val="bottom"/>
            <w:shd w:val="clear" w:color="auto" w:fill="D2EEF5"/>
          </w:tcPr>
          <w:p>
            <w:pPr>
              <w:spacing w:after="0"/>
              <w:rPr>
                <w:sz w:val="18"/>
                <w:szCs w:val="18"/>
                <w:color w:val="auto"/>
              </w:rPr>
            </w:pPr>
          </w:p>
        </w:tc>
        <w:tc>
          <w:tcPr>
            <w:tcW w:w="1020" w:type="dxa"/>
            <w:vAlign w:val="bottom"/>
            <w:gridSpan w:val="2"/>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20" w:type="dxa"/>
            <w:vAlign w:val="bottom"/>
            <w:tcBorders>
              <w:top w:val="single" w:sz="8" w:color="D2EEF5"/>
              <w:bottom w:val="single" w:sz="8" w:color="D2EEF5"/>
            </w:tcBorders>
            <w:shd w:val="clear" w:color="auto" w:fill="D2EEF5"/>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tcBorders>
              <w:top w:val="single" w:sz="8" w:color="D2EEF5"/>
              <w:bottom w:val="single" w:sz="8" w:color="D2EEF5"/>
            </w:tcBorders>
            <w:shd w:val="clear" w:color="auto" w:fill="D2EEF5"/>
          </w:tcPr>
          <w:p>
            <w:pPr>
              <w:spacing w:after="0"/>
              <w:rPr>
                <w:sz w:val="18"/>
                <w:szCs w:val="18"/>
                <w:color w:val="auto"/>
              </w:rPr>
            </w:pPr>
          </w:p>
        </w:tc>
        <w:tc>
          <w:tcPr>
            <w:tcW w:w="80" w:type="dxa"/>
            <w:vAlign w:val="bottom"/>
            <w:tcBorders>
              <w:top w:val="single" w:sz="8" w:color="D2EEF5"/>
              <w:bottom w:val="single" w:sz="8" w:color="D2EEF5"/>
            </w:tcBorders>
            <w:shd w:val="clear" w:color="auto" w:fill="D2EEF5"/>
          </w:tcPr>
          <w:p>
            <w:pPr>
              <w:spacing w:after="0"/>
              <w:rPr>
                <w:sz w:val="18"/>
                <w:szCs w:val="18"/>
                <w:color w:val="auto"/>
              </w:rPr>
            </w:pPr>
          </w:p>
        </w:tc>
        <w:tc>
          <w:tcPr>
            <w:tcW w:w="9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D2EEF5"/>
              <w:bottom w:val="single" w:sz="8" w:color="D2EEF5"/>
            </w:tcBorders>
            <w:shd w:val="clear" w:color="auto" w:fill="D2EEF5"/>
          </w:tcPr>
          <w:p>
            <w:pPr>
              <w:spacing w:after="0"/>
              <w:rPr>
                <w:sz w:val="18"/>
                <w:szCs w:val="18"/>
                <w:color w:val="auto"/>
              </w:rPr>
            </w:pPr>
          </w:p>
        </w:tc>
        <w:tc>
          <w:tcPr>
            <w:tcW w:w="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Borders>
              <w:top w:val="single" w:sz="8" w:color="D2EEF5"/>
              <w:bottom w:val="single" w:sz="8" w:color="D2EEF5"/>
            </w:tcBorders>
            <w:shd w:val="clear" w:color="auto" w:fill="D2EEF5"/>
          </w:tcPr>
          <w:p>
            <w:pPr>
              <w:spacing w:after="0"/>
              <w:rPr>
                <w:sz w:val="18"/>
                <w:szCs w:val="18"/>
                <w:color w:val="auto"/>
              </w:rPr>
            </w:pPr>
          </w:p>
        </w:tc>
        <w:tc>
          <w:tcPr>
            <w:tcW w:w="60" w:type="dxa"/>
            <w:vAlign w:val="bottom"/>
            <w:tcBorders>
              <w:top w:val="single" w:sz="8" w:color="auto"/>
              <w:bottom w:val="single" w:sz="8" w:color="auto"/>
            </w:tcBorders>
            <w:shd w:val="clear" w:color="auto" w:fill="D2EEF5"/>
          </w:tcPr>
          <w:p>
            <w:pPr>
              <w:spacing w:after="0"/>
              <w:rPr>
                <w:sz w:val="18"/>
                <w:szCs w:val="18"/>
                <w:color w:val="auto"/>
              </w:rPr>
            </w:pPr>
          </w:p>
        </w:tc>
        <w:tc>
          <w:tcPr>
            <w:tcW w:w="8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approximately $50,000 in state tax expense for the year ended December 31, 2024.</w:t>
      </w:r>
    </w:p>
    <w:p>
      <w:pPr>
        <w:spacing w:after="0" w:line="225" w:lineRule="exact"/>
        <w:rPr>
          <w:sz w:val="20"/>
          <w:szCs w:val="20"/>
          <w:color w:val="auto"/>
        </w:rPr>
      </w:pPr>
    </w:p>
    <w:p>
      <w:pPr>
        <w:jc w:val="both"/>
        <w:ind w:right="20" w:firstLine="1"/>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2024, and 2023, there were no unrecognized tax benefits. The Company recognizes accrued interest and penalties as income tax expense. No amounts were accrued for the payment of interest and penalties at December 31, 2024 and 2023. The Company is currently not aware of any issues under review that could result in significant payments, accruals or material deviation from its position in the next year.</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14:</w:t>
        <w:tab/>
        <w:t>SUBSEQUENT EVENTS</w:t>
      </w:r>
    </w:p>
    <w:p>
      <w:pPr>
        <w:spacing w:after="0" w:line="161" w:lineRule="exact"/>
        <w:rPr>
          <w:sz w:val="20"/>
          <w:szCs w:val="20"/>
          <w:color w:val="auto"/>
        </w:rPr>
      </w:pPr>
    </w:p>
    <w:p>
      <w:pPr>
        <w:jc w:val="both"/>
        <w:ind w:right="20" w:firstLine="1"/>
        <w:spacing w:after="0" w:line="266" w:lineRule="auto"/>
        <w:rPr>
          <w:sz w:val="20"/>
          <w:szCs w:val="20"/>
          <w:color w:val="auto"/>
        </w:rPr>
      </w:pPr>
      <w:r>
        <w:rPr>
          <w:rFonts w:ascii="Times New Roman" w:cs="Times New Roman" w:eastAsia="Times New Roman" w:hAnsi="Times New Roman"/>
          <w:sz w:val="18"/>
          <w:szCs w:val="18"/>
          <w:color w:val="auto"/>
        </w:rPr>
        <w:t>On March 21, 2025, the Company held a Special Meeting of Stockholders (the “Special Meeting”) at which the stockholders approved, in accordance with Nasdaq Listing Rule 5635(d), of the issuance of the shares issuable upon exercise of (i) Series A Warrants to acquire 5,031,250 shares of Common Stock and (ii) Series B Warrants to acquire 3,247,445 shares of Common Stock.</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Marker and Cell Ready.</w:t>
      </w:r>
    </w:p>
    <w:p>
      <w:pPr>
        <w:sectPr>
          <w:pgSz w:w="12240" w:h="15840" w:orient="portrait"/>
          <w:cols w:equalWidth="0" w:num="1">
            <w:col w:w="9920"/>
          </w:cols>
          <w:pgMar w:left="1160" w:top="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ectPr>
          <w:pgSz w:w="12240" w:h="15840" w:orient="portrait"/>
          <w:cols w:equalWidth="0" w:num="1">
            <w:col w:w="9920"/>
          </w:cols>
          <w:pgMar w:left="1160" w:top="431" w:right="1160" w:bottom="0" w:gutter="0" w:footer="0" w:header="0"/>
          <w:type w:val="continuous"/>
        </w:sectPr>
      </w:pPr>
    </w:p>
    <w:bookmarkStart w:id="122" w:name="page123"/>
    <w:bookmarkEnd w:id="122"/>
    <w:p>
      <w:pPr>
        <w:spacing w:after="0" w:line="20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BOARD OF DIRECTORS</w:t>
      </w:r>
    </w:p>
    <w:p>
      <w:pPr>
        <w:spacing w:after="0" w:line="196" w:lineRule="exact"/>
        <w:rPr>
          <w:sz w:val="20"/>
          <w:szCs w:val="20"/>
          <w:color w:val="auto"/>
        </w:rPr>
      </w:pPr>
    </w:p>
    <w:p>
      <w:pPr>
        <w:jc w:val="both"/>
        <w:ind w:left="80" w:right="60"/>
        <w:spacing w:after="0" w:line="271" w:lineRule="auto"/>
        <w:rPr>
          <w:sz w:val="20"/>
          <w:szCs w:val="20"/>
          <w:color w:val="auto"/>
        </w:rPr>
      </w:pPr>
      <w:r>
        <w:rPr>
          <w:rFonts w:ascii="Arial" w:cs="Arial" w:eastAsia="Arial" w:hAnsi="Arial"/>
          <w:sz w:val="20"/>
          <w:szCs w:val="20"/>
          <w:b w:val="1"/>
          <w:bCs w:val="1"/>
          <w:color w:val="auto"/>
        </w:rPr>
        <w:t>David Eansor</w:t>
      </w:r>
      <w:r>
        <w:rPr>
          <w:rFonts w:ascii="Arial" w:cs="Arial" w:eastAsia="Arial" w:hAnsi="Arial"/>
          <w:sz w:val="20"/>
          <w:szCs w:val="20"/>
          <w:color w:val="auto"/>
        </w:rPr>
        <w:t>, Chairman of the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Former President of Protein Sciences Segment, Bio-Techne Corporation</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Steven Elms</w:t>
      </w:r>
      <w:r>
        <w:rPr>
          <w:rFonts w:ascii="Arial" w:cs="Arial" w:eastAsia="Arial" w:hAnsi="Arial"/>
          <w:sz w:val="20"/>
          <w:szCs w:val="20"/>
          <w:color w:val="auto"/>
        </w:rPr>
        <w:t>, Director</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Managing Partner, Aisling Capital</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Katharine Knobil</w:t>
      </w:r>
      <w:r>
        <w:rPr>
          <w:rFonts w:ascii="Arial" w:cs="Arial" w:eastAsia="Arial" w:hAnsi="Arial"/>
          <w:sz w:val="20"/>
          <w:szCs w:val="20"/>
          <w:color w:val="auto"/>
        </w:rPr>
        <w:t>, Director</w:t>
      </w:r>
    </w:p>
    <w:p>
      <w:pPr>
        <w:spacing w:after="0" w:line="35" w:lineRule="exact"/>
        <w:rPr>
          <w:sz w:val="20"/>
          <w:szCs w:val="20"/>
          <w:color w:val="auto"/>
        </w:rPr>
      </w:pPr>
    </w:p>
    <w:p>
      <w:pPr>
        <w:ind w:left="80"/>
        <w:spacing w:after="0" w:line="251" w:lineRule="auto"/>
        <w:rPr>
          <w:sz w:val="20"/>
          <w:szCs w:val="20"/>
          <w:color w:val="auto"/>
        </w:rPr>
      </w:pPr>
      <w:r>
        <w:rPr>
          <w:rFonts w:ascii="Arial" w:cs="Arial" w:eastAsia="Arial" w:hAnsi="Arial"/>
          <w:sz w:val="20"/>
          <w:szCs w:val="20"/>
          <w:color w:val="auto"/>
        </w:rPr>
        <w:t>Former Chief Medical Officer, Agilent Technologies Inc.</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Juan Vera</w:t>
      </w:r>
      <w:r>
        <w:rPr>
          <w:rFonts w:ascii="Arial" w:cs="Arial" w:eastAsia="Arial" w:hAnsi="Arial"/>
          <w:sz w:val="20"/>
          <w:szCs w:val="20"/>
          <w:color w:val="auto"/>
        </w:rPr>
        <w:t>, Director</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President and Chief Executive Officer, Marker</w:t>
      </w:r>
    </w:p>
    <w:p>
      <w:pPr>
        <w:spacing w:after="0" w:line="8" w:lineRule="exact"/>
        <w:rPr>
          <w:sz w:val="20"/>
          <w:szCs w:val="20"/>
          <w:color w:val="auto"/>
        </w:rPr>
      </w:pPr>
    </w:p>
    <w:p>
      <w:pPr>
        <w:ind w:left="80"/>
        <w:spacing w:after="0"/>
        <w:rPr>
          <w:sz w:val="20"/>
          <w:szCs w:val="20"/>
          <w:color w:val="auto"/>
        </w:rPr>
      </w:pPr>
      <w:r>
        <w:rPr>
          <w:rFonts w:ascii="Arial" w:cs="Arial" w:eastAsia="Arial" w:hAnsi="Arial"/>
          <w:sz w:val="20"/>
          <w:szCs w:val="20"/>
          <w:color w:val="auto"/>
        </w:rPr>
        <w:t>Therapeutics, Inc.</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John Wilson</w:t>
      </w:r>
      <w:r>
        <w:rPr>
          <w:rFonts w:ascii="Arial" w:cs="Arial" w:eastAsia="Arial" w:hAnsi="Arial"/>
          <w:sz w:val="20"/>
          <w:szCs w:val="20"/>
          <w:color w:val="auto"/>
        </w:rPr>
        <w:t>, Director</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Chief Executive Officer, Wilson Wolf</w:t>
      </w:r>
    </w:p>
    <w:p>
      <w:pPr>
        <w:spacing w:after="0" w:line="9" w:lineRule="exact"/>
        <w:rPr>
          <w:sz w:val="20"/>
          <w:szCs w:val="20"/>
          <w:color w:val="auto"/>
        </w:rPr>
      </w:pPr>
    </w:p>
    <w:p>
      <w:pPr>
        <w:ind w:left="80"/>
        <w:spacing w:after="0"/>
        <w:rPr>
          <w:sz w:val="20"/>
          <w:szCs w:val="20"/>
          <w:color w:val="auto"/>
        </w:rPr>
      </w:pPr>
      <w:r>
        <w:rPr>
          <w:rFonts w:ascii="Arial" w:cs="Arial" w:eastAsia="Arial" w:hAnsi="Arial"/>
          <w:sz w:val="20"/>
          <w:szCs w:val="20"/>
          <w:color w:val="auto"/>
        </w:rPr>
        <w:t>Manufacturing Corporation</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EXECUTIVE OFFICERS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Juan Vera</w:t>
      </w:r>
    </w:p>
    <w:p>
      <w:pPr>
        <w:spacing w:after="0" w:line="34" w:lineRule="exact"/>
        <w:rPr>
          <w:sz w:val="20"/>
          <w:szCs w:val="20"/>
          <w:color w:val="auto"/>
        </w:rPr>
      </w:pPr>
    </w:p>
    <w:p>
      <w:pPr>
        <w:ind w:left="80" w:right="360"/>
        <w:spacing w:after="0" w:line="256" w:lineRule="auto"/>
        <w:rPr>
          <w:sz w:val="20"/>
          <w:szCs w:val="20"/>
          <w:color w:val="auto"/>
        </w:rPr>
      </w:pPr>
      <w:r>
        <w:rPr>
          <w:rFonts w:ascii="Arial" w:cs="Arial" w:eastAsia="Arial" w:hAnsi="Arial"/>
          <w:sz w:val="20"/>
          <w:szCs w:val="20"/>
          <w:color w:val="auto"/>
        </w:rPr>
        <w:t>President and Chief Executive Officer, Marker Therapeutics, Inc.</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20"/>
          <w:szCs w:val="20"/>
          <w:b w:val="1"/>
          <w:bCs w:val="1"/>
          <w:color w:val="auto"/>
        </w:rPr>
        <w:t>CORPORATE HEADQUARTERS</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20"/>
          <w:szCs w:val="20"/>
          <w:color w:val="auto"/>
        </w:rPr>
        <w:t>Marker Therapeutics, Inc.</w:t>
      </w:r>
    </w:p>
    <w:p>
      <w:pPr>
        <w:spacing w:after="0" w:line="37" w:lineRule="exact"/>
        <w:rPr>
          <w:sz w:val="20"/>
          <w:szCs w:val="20"/>
          <w:color w:val="auto"/>
        </w:rPr>
      </w:pPr>
    </w:p>
    <w:p>
      <w:pPr>
        <w:ind w:left="3"/>
        <w:spacing w:after="0"/>
        <w:rPr>
          <w:sz w:val="20"/>
          <w:szCs w:val="20"/>
          <w:color w:val="auto"/>
        </w:rPr>
      </w:pPr>
      <w:r>
        <w:rPr>
          <w:rFonts w:ascii="Arial" w:cs="Arial" w:eastAsia="Arial" w:hAnsi="Arial"/>
          <w:sz w:val="20"/>
          <w:szCs w:val="20"/>
          <w:color w:val="auto"/>
        </w:rPr>
        <w:t>9350 Kirby Drive, Suite 300</w:t>
      </w:r>
    </w:p>
    <w:p>
      <w:pPr>
        <w:spacing w:after="0" w:line="10" w:lineRule="exact"/>
        <w:rPr>
          <w:sz w:val="20"/>
          <w:szCs w:val="20"/>
          <w:color w:val="auto"/>
        </w:rPr>
      </w:pPr>
    </w:p>
    <w:p>
      <w:pPr>
        <w:ind w:left="3"/>
        <w:spacing w:after="0"/>
        <w:rPr>
          <w:sz w:val="20"/>
          <w:szCs w:val="20"/>
          <w:color w:val="auto"/>
        </w:rPr>
      </w:pPr>
      <w:r>
        <w:rPr>
          <w:rFonts w:ascii="Arial" w:cs="Arial" w:eastAsia="Arial" w:hAnsi="Arial"/>
          <w:sz w:val="20"/>
          <w:szCs w:val="20"/>
          <w:color w:val="auto"/>
        </w:rPr>
        <w:t>Houston, Texas 77054</w:t>
      </w:r>
    </w:p>
    <w:p>
      <w:pPr>
        <w:spacing w:after="0" w:line="185" w:lineRule="exact"/>
        <w:rPr>
          <w:sz w:val="20"/>
          <w:szCs w:val="20"/>
          <w:color w:val="auto"/>
        </w:rPr>
      </w:pPr>
    </w:p>
    <w:p>
      <w:pPr>
        <w:ind w:left="3" w:right="2280" w:hanging="3"/>
        <w:spacing w:after="0" w:line="324" w:lineRule="auto"/>
        <w:tabs>
          <w:tab w:leader="none" w:pos="230"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(713) 400-6400 </w:t>
      </w:r>
      <w:r>
        <w:rPr>
          <w:rFonts w:ascii="Arial" w:cs="Arial" w:eastAsia="Arial" w:hAnsi="Arial"/>
          <w:sz w:val="17"/>
          <w:szCs w:val="17"/>
          <w:i w:val="1"/>
          <w:iCs w:val="1"/>
          <w:u w:val="single" w:color="auto"/>
          <w:color w:val="auto"/>
        </w:rPr>
        <w:t>www.markertherapeutics.com</w:t>
      </w:r>
    </w:p>
    <w:p>
      <w:pPr>
        <w:spacing w:after="0" w:line="92"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COMMON STOCK LISTING</w:t>
      </w:r>
    </w:p>
    <w:p>
      <w:pPr>
        <w:spacing w:after="0" w:line="207" w:lineRule="exact"/>
        <w:rPr>
          <w:sz w:val="20"/>
          <w:szCs w:val="20"/>
          <w:color w:val="auto"/>
        </w:rPr>
      </w:pPr>
    </w:p>
    <w:p>
      <w:pPr>
        <w:ind w:left="3"/>
        <w:spacing w:after="0"/>
        <w:rPr>
          <w:sz w:val="20"/>
          <w:szCs w:val="20"/>
          <w:color w:val="auto"/>
        </w:rPr>
      </w:pPr>
      <w:r>
        <w:rPr>
          <w:rFonts w:ascii="Arial" w:cs="Arial" w:eastAsia="Arial" w:hAnsi="Arial"/>
          <w:sz w:val="20"/>
          <w:szCs w:val="20"/>
          <w:color w:val="auto"/>
        </w:rPr>
        <w:t>Nasdaq Capital Market</w:t>
      </w:r>
    </w:p>
    <w:p>
      <w:pPr>
        <w:spacing w:after="0" w:line="33" w:lineRule="exact"/>
        <w:rPr>
          <w:sz w:val="20"/>
          <w:szCs w:val="20"/>
          <w:color w:val="auto"/>
        </w:rPr>
      </w:pPr>
    </w:p>
    <w:p>
      <w:pPr>
        <w:ind w:left="3"/>
        <w:spacing w:after="0"/>
        <w:rPr>
          <w:sz w:val="20"/>
          <w:szCs w:val="20"/>
          <w:color w:val="auto"/>
        </w:rPr>
      </w:pPr>
      <w:r>
        <w:rPr>
          <w:rFonts w:ascii="Arial" w:cs="Arial" w:eastAsia="Arial" w:hAnsi="Arial"/>
          <w:sz w:val="20"/>
          <w:szCs w:val="20"/>
          <w:color w:val="auto"/>
        </w:rPr>
        <w:t>Ticker Symbol: MRKR</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ANNUAL MEETING OF STOCKHOLDERS</w:t>
      </w:r>
    </w:p>
    <w:p>
      <w:pPr>
        <w:spacing w:after="0" w:line="208" w:lineRule="exact"/>
        <w:rPr>
          <w:sz w:val="20"/>
          <w:szCs w:val="20"/>
          <w:color w:val="auto"/>
        </w:rPr>
      </w:pPr>
    </w:p>
    <w:p>
      <w:pPr>
        <w:ind w:left="3" w:right="120"/>
        <w:spacing w:after="0" w:line="249" w:lineRule="exact"/>
        <w:rPr>
          <w:sz w:val="20"/>
          <w:szCs w:val="20"/>
          <w:color w:val="auto"/>
        </w:rPr>
      </w:pPr>
      <w:r>
        <w:rPr>
          <w:rFonts w:ascii="Arial" w:cs="Arial" w:eastAsia="Arial" w:hAnsi="Arial"/>
          <w:sz w:val="17"/>
          <w:szCs w:val="17"/>
          <w:color w:val="auto"/>
        </w:rPr>
        <w:t>)ULday, June 6, 202</w:t>
      </w:r>
      <w:r>
        <w:rPr>
          <w:rFonts w:ascii="PMingLiU" w:cs="PMingLiU" w:eastAsia="PMingLiU" w:hAnsi="PMingLiU"/>
          <w:sz w:val="17"/>
          <w:szCs w:val="17"/>
          <w:color w:val="auto"/>
        </w:rPr>
        <w:t/>
      </w:r>
      <w:r>
        <w:rPr>
          <w:rFonts w:ascii="Arial" w:cs="Arial" w:eastAsia="Arial" w:hAnsi="Arial"/>
          <w:sz w:val="17"/>
          <w:szCs w:val="17"/>
          <w:color w:val="auto"/>
        </w:rPr>
        <w:t xml:space="preserve">, at </w:t>
      </w:r>
      <w:r>
        <w:rPr>
          <w:rFonts w:ascii="PMingLiU" w:cs="PMingLiU" w:eastAsia="PMingLiU" w:hAnsi="PMingLiU"/>
          <w:sz w:val="17"/>
          <w:szCs w:val="17"/>
          <w:color w:val="auto"/>
        </w:rPr>
        <w:t/>
      </w:r>
      <w:r>
        <w:rPr>
          <w:rFonts w:ascii="Arial" w:cs="Arial" w:eastAsia="Arial" w:hAnsi="Arial"/>
          <w:sz w:val="17"/>
          <w:szCs w:val="17"/>
          <w:color w:val="auto"/>
        </w:rPr>
        <w:t xml:space="preserve">:00 a.m. (DVWHUQ Time at: </w:t>
      </w:r>
      <w:r>
        <w:rPr>
          <w:rFonts w:ascii="Arial" w:cs="Arial" w:eastAsia="Arial" w:hAnsi="Arial"/>
          <w:sz w:val="17"/>
          <w:szCs w:val="17"/>
          <w:b w:val="1"/>
          <w:bCs w:val="1"/>
          <w:i w:val="1"/>
          <w:iCs w:val="1"/>
          <w:u w:val="single" w:color="auto"/>
          <w:color w:val="auto"/>
        </w:rPr>
        <w:t>http://viewproxy.com/markertherapeutics/2024/htype.</w:t>
      </w:r>
      <w:r>
        <w:rPr>
          <w:rFonts w:ascii="PMingLiU" w:cs="PMingLiU" w:eastAsia="PMingLiU" w:hAnsi="PMingLiU"/>
          <w:sz w:val="17"/>
          <w:szCs w:val="17"/>
          <w:b w:val="1"/>
          <w:bCs w:val="1"/>
          <w:color w:val="auto"/>
        </w:rPr>
        <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i w:val="1"/>
          <w:iCs w:val="1"/>
          <w:u w:val="single" w:color="auto"/>
          <w:color w:val="auto"/>
        </w:rPr>
        <w:t>asp</w:t>
      </w:r>
      <w:r>
        <w:rPr>
          <w:rFonts w:ascii="Arial" w:cs="Arial" w:eastAsia="Arial" w:hAnsi="Arial"/>
          <w:sz w:val="17"/>
          <w:szCs w:val="17"/>
          <w:b w:val="1"/>
          <w:bCs w:val="1"/>
          <w:color w:val="auto"/>
        </w:rPr>
        <w:t>.</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REGISTRAR AND TRANSFER AGENT</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20"/>
          <w:szCs w:val="20"/>
          <w:color w:val="auto"/>
        </w:rPr>
        <w:t>Equiniti Trust Company, LLC</w:t>
      </w:r>
    </w:p>
    <w:p>
      <w:pPr>
        <w:spacing w:after="0" w:line="37" w:lineRule="exact"/>
        <w:rPr>
          <w:sz w:val="20"/>
          <w:szCs w:val="20"/>
          <w:color w:val="auto"/>
        </w:rPr>
      </w:pPr>
    </w:p>
    <w:p>
      <w:pPr>
        <w:ind w:left="3"/>
        <w:spacing w:after="0"/>
        <w:rPr>
          <w:sz w:val="20"/>
          <w:szCs w:val="20"/>
          <w:color w:val="auto"/>
        </w:rPr>
      </w:pPr>
      <w:r>
        <w:rPr>
          <w:rFonts w:ascii="Arial" w:cs="Arial" w:eastAsia="Arial" w:hAnsi="Arial"/>
          <w:sz w:val="20"/>
          <w:szCs w:val="20"/>
          <w:color w:val="auto"/>
        </w:rPr>
        <w:t>6201 15th Avenue</w:t>
      </w:r>
    </w:p>
    <w:p>
      <w:pPr>
        <w:spacing w:after="0" w:line="10" w:lineRule="exact"/>
        <w:rPr>
          <w:sz w:val="20"/>
          <w:szCs w:val="20"/>
          <w:color w:val="auto"/>
        </w:rPr>
      </w:pPr>
    </w:p>
    <w:p>
      <w:pPr>
        <w:ind w:left="3"/>
        <w:spacing w:after="0"/>
        <w:rPr>
          <w:sz w:val="20"/>
          <w:szCs w:val="20"/>
          <w:color w:val="auto"/>
        </w:rPr>
      </w:pPr>
      <w:r>
        <w:rPr>
          <w:rFonts w:ascii="Arial" w:cs="Arial" w:eastAsia="Arial" w:hAnsi="Arial"/>
          <w:sz w:val="20"/>
          <w:szCs w:val="20"/>
          <w:color w:val="auto"/>
        </w:rPr>
        <w:t>Brooklyn, New York 11219</w:t>
      </w:r>
    </w:p>
    <w:p>
      <w:pPr>
        <w:spacing w:after="0" w:line="10" w:lineRule="exact"/>
        <w:rPr>
          <w:sz w:val="20"/>
          <w:szCs w:val="20"/>
          <w:color w:val="auto"/>
        </w:rPr>
      </w:pPr>
    </w:p>
    <w:p>
      <w:pPr>
        <w:ind w:left="3"/>
        <w:spacing w:after="0"/>
        <w:rPr>
          <w:sz w:val="20"/>
          <w:szCs w:val="20"/>
          <w:color w:val="auto"/>
        </w:rPr>
      </w:pPr>
      <w:r>
        <w:rPr>
          <w:rFonts w:ascii="Arial" w:cs="Arial" w:eastAsia="Arial" w:hAnsi="Arial"/>
          <w:sz w:val="20"/>
          <w:szCs w:val="20"/>
          <w:color w:val="auto"/>
        </w:rPr>
        <w:t>T: (800) 937-5449</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LEGAL COUNSEL</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20"/>
          <w:szCs w:val="20"/>
          <w:color w:val="auto"/>
        </w:rPr>
        <w:t>Shumaker, Loop &amp; Kendrick, LLP</w:t>
      </w:r>
    </w:p>
    <w:p>
      <w:pPr>
        <w:spacing w:after="0" w:line="37" w:lineRule="exact"/>
        <w:rPr>
          <w:sz w:val="20"/>
          <w:szCs w:val="20"/>
          <w:color w:val="auto"/>
        </w:rPr>
      </w:pPr>
    </w:p>
    <w:p>
      <w:pPr>
        <w:ind w:left="3"/>
        <w:spacing w:after="0"/>
        <w:rPr>
          <w:sz w:val="20"/>
          <w:szCs w:val="20"/>
          <w:color w:val="auto"/>
        </w:rPr>
      </w:pPr>
      <w:r>
        <w:rPr>
          <w:rFonts w:ascii="Arial" w:cs="Arial" w:eastAsia="Arial" w:hAnsi="Arial"/>
          <w:sz w:val="20"/>
          <w:szCs w:val="20"/>
          <w:color w:val="auto"/>
        </w:rPr>
        <w:t>Tampa, Florida</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INDEPENDENT AUDITORS</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20"/>
          <w:szCs w:val="20"/>
          <w:color w:val="auto"/>
        </w:rPr>
        <w:t>Marcum LLP</w:t>
      </w:r>
    </w:p>
    <w:p>
      <w:pPr>
        <w:spacing w:after="0" w:line="34" w:lineRule="exact"/>
        <w:rPr>
          <w:sz w:val="20"/>
          <w:szCs w:val="20"/>
          <w:color w:val="auto"/>
        </w:rPr>
      </w:pPr>
    </w:p>
    <w:p>
      <w:pPr>
        <w:ind w:left="3"/>
        <w:spacing w:after="0"/>
        <w:rPr>
          <w:sz w:val="20"/>
          <w:szCs w:val="20"/>
          <w:color w:val="auto"/>
        </w:rPr>
      </w:pPr>
      <w:r>
        <w:rPr>
          <w:rFonts w:ascii="Arial" w:cs="Arial" w:eastAsia="Arial" w:hAnsi="Arial"/>
          <w:sz w:val="20"/>
          <w:szCs w:val="20"/>
          <w:color w:val="auto"/>
        </w:rPr>
        <w:t>New York, New York</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INVESTOR RELATIONS</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20"/>
          <w:szCs w:val="20"/>
          <w:color w:val="auto"/>
        </w:rPr>
        <w:t>Marker Therapeutics, Inc.</w:t>
      </w:r>
    </w:p>
    <w:p>
      <w:pPr>
        <w:spacing w:after="0" w:line="37" w:lineRule="exact"/>
        <w:rPr>
          <w:sz w:val="20"/>
          <w:szCs w:val="20"/>
          <w:color w:val="auto"/>
        </w:rPr>
      </w:pPr>
    </w:p>
    <w:p>
      <w:pPr>
        <w:ind w:left="3"/>
        <w:spacing w:after="0"/>
        <w:rPr>
          <w:sz w:val="20"/>
          <w:szCs w:val="20"/>
          <w:color w:val="auto"/>
        </w:rPr>
      </w:pPr>
      <w:r>
        <w:rPr>
          <w:rFonts w:ascii="Arial" w:cs="Arial" w:eastAsia="Arial" w:hAnsi="Arial"/>
          <w:sz w:val="20"/>
          <w:szCs w:val="20"/>
          <w:color w:val="auto"/>
        </w:rPr>
        <w:t>Investor Relations</w:t>
      </w:r>
    </w:p>
    <w:p>
      <w:pPr>
        <w:spacing w:after="0" w:line="10" w:lineRule="exact"/>
        <w:rPr>
          <w:sz w:val="20"/>
          <w:szCs w:val="20"/>
          <w:color w:val="auto"/>
        </w:rPr>
      </w:pPr>
    </w:p>
    <w:p>
      <w:pPr>
        <w:ind w:left="3"/>
        <w:spacing w:after="0"/>
        <w:rPr>
          <w:sz w:val="20"/>
          <w:szCs w:val="20"/>
          <w:color w:val="auto"/>
        </w:rPr>
      </w:pPr>
      <w:r>
        <w:rPr>
          <w:rFonts w:ascii="Arial" w:cs="Arial" w:eastAsia="Arial" w:hAnsi="Arial"/>
          <w:sz w:val="20"/>
          <w:szCs w:val="20"/>
          <w:color w:val="auto"/>
        </w:rPr>
        <w:t>9350 Kirby Drive, Suite 300</w:t>
      </w:r>
    </w:p>
    <w:p>
      <w:pPr>
        <w:spacing w:after="0" w:line="10" w:lineRule="exact"/>
        <w:rPr>
          <w:sz w:val="20"/>
          <w:szCs w:val="20"/>
          <w:color w:val="auto"/>
        </w:rPr>
      </w:pPr>
    </w:p>
    <w:p>
      <w:pPr>
        <w:ind w:left="3"/>
        <w:spacing w:after="0"/>
        <w:rPr>
          <w:sz w:val="20"/>
          <w:szCs w:val="20"/>
          <w:color w:val="auto"/>
        </w:rPr>
      </w:pPr>
      <w:r>
        <w:rPr>
          <w:rFonts w:ascii="Arial" w:cs="Arial" w:eastAsia="Arial" w:hAnsi="Arial"/>
          <w:sz w:val="20"/>
          <w:szCs w:val="20"/>
          <w:color w:val="auto"/>
        </w:rPr>
        <w:t>Houston, Texas 77054</w:t>
      </w:r>
    </w:p>
    <w:p>
      <w:pPr>
        <w:spacing w:after="0" w:line="10" w:lineRule="exact"/>
        <w:rPr>
          <w:sz w:val="20"/>
          <w:szCs w:val="20"/>
          <w:color w:val="auto"/>
        </w:rPr>
      </w:pPr>
    </w:p>
    <w:p>
      <w:pPr>
        <w:ind w:left="243" w:hanging="242"/>
        <w:spacing w:after="0"/>
        <w:tabs>
          <w:tab w:leader="none" w:pos="243"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investor.relations@markertherapeutics.com</w:t>
      </w:r>
    </w:p>
    <w:p>
      <w:pPr>
        <w:spacing w:after="0" w:line="10" w:lineRule="exact"/>
        <w:rPr>
          <w:rFonts w:ascii="Arial" w:cs="Arial" w:eastAsia="Arial" w:hAnsi="Arial"/>
          <w:sz w:val="20"/>
          <w:szCs w:val="20"/>
          <w:color w:val="auto"/>
        </w:rPr>
      </w:pPr>
    </w:p>
    <w:p>
      <w:pPr>
        <w:ind w:left="223" w:hanging="222"/>
        <w:spacing w:after="0"/>
        <w:tabs>
          <w:tab w:leader="none" w:pos="223" w:val="left"/>
        </w:tabs>
        <w:numPr>
          <w:ilvl w:val="0"/>
          <w:numId w:val="66"/>
        </w:numPr>
        <w:rPr>
          <w:rFonts w:ascii="Arial" w:cs="Arial" w:eastAsia="Arial" w:hAnsi="Arial"/>
          <w:sz w:val="20"/>
          <w:szCs w:val="20"/>
          <w:color w:val="auto"/>
        </w:rPr>
      </w:pPr>
      <w:r>
        <w:rPr>
          <w:rFonts w:ascii="Arial" w:cs="Arial" w:eastAsia="Arial" w:hAnsi="Arial"/>
          <w:sz w:val="20"/>
          <w:szCs w:val="20"/>
          <w:color w:val="auto"/>
        </w:rPr>
        <w:t>(713) 400-6400</w:t>
      </w:r>
    </w:p>
    <w:p>
      <w:pPr>
        <w:sectPr>
          <w:pgSz w:w="12240" w:h="15840" w:orient="portrait"/>
          <w:cols w:equalWidth="0" w:num="2">
            <w:col w:w="4320" w:space="477"/>
            <w:col w:w="4563"/>
          </w:cols>
          <w:pgMar w:left="1440" w:top="971" w:right="1440" w:bottom="1440" w:gutter="0" w:footer="0" w:header="0"/>
        </w:sectPr>
      </w:pPr>
    </w:p>
    <w:bookmarkStart w:id="123" w:name="page124"/>
    <w:bookmarkEnd w:id="123"/>
    <w:p>
      <w:pPr>
        <w:spacing w:after="0"/>
        <w:tabs>
          <w:tab w:leader="none" w:pos="22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2017395</wp:posOffset>
            </wp:positionH>
            <wp:positionV relativeFrom="page">
              <wp:posOffset>2798445</wp:posOffset>
            </wp:positionV>
            <wp:extent cx="3836035" cy="1012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836035" cy="101219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o"/>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lvl w:ilvl="1">
      <w:lvlJc w:val="left"/>
      <w:lvlText w:val="o"/>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59">
    <w:nsid w:val="77AE35E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0">
    <w:nsid w:val="579BE4F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amp;"/>
      <w:numFmt w:val="bullet"/>
      <w:start w:val="1"/>
    </w:lvl>
  </w:abstractNum>
  <w:abstractNum w:abstractNumId="63">
    <w:nsid w:val="2F305DEF"/>
    <w:multiLevelType w:val="hybridMultilevel"/>
    <w:lvl w:ilvl="0">
      <w:lvlJc w:val="left"/>
      <w:lvlText w:val="%1:"/>
      <w:numFmt w:val="upperLetter"/>
      <w:start w:val="20"/>
    </w:lvl>
  </w:abstractNum>
  <w:abstractNum w:abstractNumId="64">
    <w:nsid w:val="25A70BF7"/>
    <w:multiLevelType w:val="hybridMultilevel"/>
    <w:lvl w:ilvl="0">
      <w:lvlJc w:val="left"/>
      <w:lvlText w:val="%1:"/>
      <w:numFmt w:val="upperLetter"/>
      <w:start w:val="5"/>
    </w:lvl>
  </w:abstractNum>
  <w:abstractNum w:abstractNumId="65">
    <w:nsid w:val="1DBABF00"/>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2025-04-25T21:43:16Z</dcterms:created>
  <dcterms:modified xsi:type="dcterms:W3CDTF">2025-04-25T21:43:16Z</dcterms:modified>
</cp:coreProperties>
</file>