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nea16-marker_18483.htm"/>
      <w:bookmarkStart w:id="1" w:name="ksnea16marker_18483"/>
      <w:bookmarkEnd w:id="0"/>
      <w:bookmarkEnd w:id="1"/>
      <w:r>
        <w:rPr>
          <w:bdr w:val="single" w:sz="16" w:space="1" w:color="000000"/>
        </w:rPr>
        <w:t> </w:t>
      </w:r>
    </w:p>
    <w:p>
      <w:pPr>
        <w:pStyle w:val="TextBody"/>
        <w:spacing w:before="0" w:after="0"/>
        <w:jc w:val="center"/>
        <w:rPr/>
      </w:pPr>
      <w:r>
        <w:rPr/>
        <w:t> </w:t>
      </w:r>
    </w:p>
    <w:p>
      <w:pPr>
        <w:pStyle w:val="TextBody"/>
        <w:spacing w:before="0" w:after="0"/>
        <w:jc w:val="center"/>
        <w:rPr>
          <w:rFonts w:ascii="Times New Roman;Times;Serif" w:hAnsi="Times New Roman;Times;Serif"/>
          <w:b/>
          <w:sz w:val="24"/>
        </w:rPr>
      </w:pPr>
      <w:r>
        <w:rPr>
          <w:rFonts w:ascii="Times New Roman;Times;Serif" w:hAnsi="Times New Roman;Times;Serif"/>
          <w:b/>
          <w:sz w:val="24"/>
        </w:rPr>
        <w:t>UNITED STATES</w:t>
      </w:r>
    </w:p>
    <w:p>
      <w:pPr>
        <w:pStyle w:val="TextBody"/>
        <w:spacing w:before="0" w:after="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spacing w:before="0" w:after="283"/>
        <w:jc w:val="center"/>
        <w:rPr>
          <w:rFonts w:ascii="Times New Roman;Times;Serif" w:hAnsi="Times New Roman;Times;Serif"/>
          <w:b/>
          <w:sz w:val="24"/>
        </w:rPr>
      </w:pPr>
      <w:r>
        <w:rPr>
          <w:rFonts w:ascii="Times New Roman;Times;Serif" w:hAnsi="Times New Roman;Times;Serif"/>
          <w:b/>
          <w:sz w:val="24"/>
        </w:rPr>
        <w:t>Washington, D.C. 20549</w:t>
      </w:r>
    </w:p>
    <w:p>
      <w:pPr>
        <w:pStyle w:val="TextBody"/>
        <w:spacing w:before="60" w:after="60"/>
        <w:ind w:left="60" w:right="60" w:hanging="0"/>
        <w:rPr>
          <w:bdr w:val="single" w:sz="8" w:space="1" w:color="000000"/>
        </w:rPr>
      </w:pPr>
      <w:r>
        <w:rPr>
          <w:bdr w:val="single" w:sz="8" w:space="1" w:color="000000"/>
        </w:rPr>
        <w:t> </w:t>
      </w:r>
    </w:p>
    <w:p>
      <w:pPr>
        <w:pStyle w:val="TextBody"/>
        <w:jc w:val="center"/>
        <w:rPr>
          <w:rFonts w:ascii="Times New Roman;Times;Serif" w:hAnsi="Times New Roman;Times;Serif"/>
          <w:b/>
          <w:sz w:val="28"/>
        </w:rPr>
      </w:pPr>
      <w:r>
        <w:rPr>
          <w:rFonts w:ascii="Times New Roman;Times;Serif" w:hAnsi="Times New Roman;Times;Serif"/>
          <w:b/>
          <w:sz w:val="28"/>
        </w:rPr>
        <w:t>SCHEDULE 13D</w:t>
      </w:r>
    </w:p>
    <w:p>
      <w:pPr>
        <w:pStyle w:val="TextBody"/>
        <w:spacing w:before="60" w:after="60"/>
        <w:ind w:left="60" w:right="60" w:hanging="0"/>
        <w:rPr>
          <w:bdr w:val="single" w:sz="8" w:space="1" w:color="000000"/>
        </w:rPr>
      </w:pPr>
      <w:r>
        <w:rPr>
          <w:bdr w:val="single" w:sz="8" w:space="1" w:color="000000"/>
        </w:rPr>
        <w:t> </w:t>
      </w:r>
    </w:p>
    <w:p>
      <w:pPr>
        <w:pStyle w:val="TextBody"/>
        <w:spacing w:before="0" w:after="0"/>
        <w:jc w:val="center"/>
        <w:rPr/>
      </w:pPr>
      <w:r>
        <w:rPr/>
        <w:t> </w:t>
      </w:r>
    </w:p>
    <w:p>
      <w:pPr>
        <w:pStyle w:val="TextBody"/>
        <w:spacing w:before="0" w:after="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spacing w:before="0" w:after="283"/>
        <w:jc w:val="center"/>
        <w:rPr>
          <w:rFonts w:ascii="Times New Roman;Times;Serif" w:hAnsi="Times New Roman;Times;Serif"/>
          <w:b/>
          <w:sz w:val="20"/>
        </w:rPr>
      </w:pPr>
      <w:r>
        <w:rPr>
          <w:rFonts w:ascii="Times New Roman;Times;Serif" w:hAnsi="Times New Roman;Times;Serif"/>
          <w:b/>
          <w:sz w:val="20"/>
        </w:rPr>
        <w:t>(Amendment No. 1)*</w:t>
      </w:r>
    </w:p>
    <w:p>
      <w:pPr>
        <w:pStyle w:val="TextBody"/>
        <w:spacing w:before="0" w:after="283"/>
        <w:jc w:val="center"/>
        <w:rPr/>
      </w:pPr>
      <w:r>
        <w:rPr/>
        <w:t> </w:t>
      </w:r>
    </w:p>
    <w:p>
      <w:pPr>
        <w:pStyle w:val="TextBody"/>
        <w:spacing w:before="0" w:after="283"/>
        <w:jc w:val="center"/>
        <w:rPr/>
      </w:pPr>
      <w:r>
        <w:rPr/>
        <w:t> </w:t>
      </w:r>
    </w:p>
    <w:p>
      <w:pPr>
        <w:pStyle w:val="TextBody"/>
        <w:pBdr>
          <w:bottom w:val="single" w:sz="2" w:space="1" w:color="000000"/>
        </w:pBdr>
        <w:spacing w:before="0" w:after="0"/>
        <w:jc w:val="center"/>
        <w:rPr>
          <w:rFonts w:ascii="Times New Roman;Times;Serif" w:hAnsi="Times New Roman;Times;Serif"/>
          <w:b/>
          <w:sz w:val="40"/>
        </w:rPr>
      </w:pPr>
      <w:r>
        <w:rPr>
          <w:rFonts w:ascii="Times New Roman;Times;Serif" w:hAnsi="Times New Roman;Times;Serif"/>
          <w:b/>
          <w:sz w:val="40"/>
        </w:rPr>
        <w:t>Marker Therapeutics, Inc.</w:t>
      </w:r>
    </w:p>
    <w:p>
      <w:pPr>
        <w:pStyle w:val="TextBody"/>
        <w:spacing w:before="0" w:after="300"/>
        <w:jc w:val="center"/>
        <w:rPr>
          <w:rFonts w:ascii="Times New Roman;Times;Serif" w:hAnsi="Times New Roman;Times;Serif"/>
          <w:sz w:val="20"/>
        </w:rPr>
      </w:pPr>
      <w:r>
        <w:rPr>
          <w:rFonts w:ascii="Times New Roman;Times;Serif" w:hAnsi="Times New Roman;Times;Serif"/>
          <w:sz w:val="20"/>
        </w:rPr>
        <w:t>(Name of Issuer)</w:t>
      </w:r>
    </w:p>
    <w:p>
      <w:pPr>
        <w:pStyle w:val="TextBody"/>
        <w:pBdr>
          <w:bottom w:val="single" w:sz="2" w:space="1" w:color="000000"/>
        </w:pBdr>
        <w:spacing w:before="0" w:after="0"/>
        <w:jc w:val="center"/>
        <w:rPr>
          <w:rFonts w:ascii="Times New Roman;Times;Serif" w:hAnsi="Times New Roman;Times;Serif"/>
          <w:b/>
          <w:sz w:val="20"/>
        </w:rPr>
      </w:pPr>
      <w:r>
        <w:rPr>
          <w:rFonts w:ascii="Times New Roman;Times;Serif" w:hAnsi="Times New Roman;Times;Serif"/>
          <w:b/>
          <w:sz w:val="20"/>
        </w:rPr>
        <w:t>Common Stock, $0.001 par value</w:t>
      </w:r>
    </w:p>
    <w:p>
      <w:pPr>
        <w:pStyle w:val="TextBody"/>
        <w:spacing w:before="0" w:after="300"/>
        <w:jc w:val="center"/>
        <w:rPr>
          <w:rFonts w:ascii="Times New Roman;Times;Serif" w:hAnsi="Times New Roman;Times;Serif"/>
          <w:sz w:val="20"/>
        </w:rPr>
      </w:pPr>
      <w:r>
        <w:rPr>
          <w:rFonts w:ascii="Times New Roman;Times;Serif" w:hAnsi="Times New Roman;Times;Serif"/>
          <w:sz w:val="20"/>
        </w:rPr>
        <w:t>(Title of Class of Securities)</w:t>
      </w:r>
    </w:p>
    <w:p>
      <w:pPr>
        <w:pStyle w:val="TextBody"/>
        <w:pBdr>
          <w:bottom w:val="single" w:sz="2" w:space="1" w:color="000000"/>
        </w:pBdr>
        <w:spacing w:before="0" w:after="0"/>
        <w:jc w:val="center"/>
        <w:rPr>
          <w:rFonts w:ascii="Times New Roman;Times;Serif" w:hAnsi="Times New Roman;Times;Serif"/>
          <w:b/>
          <w:sz w:val="20"/>
        </w:rPr>
      </w:pPr>
      <w:r>
        <w:rPr>
          <w:rFonts w:ascii="Times New Roman;Times;Serif" w:hAnsi="Times New Roman;Times;Serif"/>
          <w:b/>
          <w:sz w:val="20"/>
        </w:rPr>
        <w:t>57055L107</w:t>
      </w:r>
    </w:p>
    <w:p>
      <w:pPr>
        <w:pStyle w:val="TextBody"/>
        <w:spacing w:before="0" w:after="300"/>
        <w:jc w:val="center"/>
        <w:rPr>
          <w:rFonts w:ascii="Times New Roman;Times;Serif" w:hAnsi="Times New Roman;Times;Serif"/>
          <w:sz w:val="20"/>
        </w:rPr>
      </w:pPr>
      <w:r>
        <w:rPr>
          <w:rFonts w:ascii="Times New Roman;Times;Serif" w:hAnsi="Times New Roman;Times;Serif"/>
          <w:sz w:val="20"/>
        </w:rPr>
        <w:t>(CUSIP Number)</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S. Citron, Esq.</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Enterprise Associates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1954 Greenspring Drive, Suite 600, Timonium, MD 21093</w:t>
      </w:r>
    </w:p>
    <w:p>
      <w:pPr>
        <w:pStyle w:val="TextBody"/>
        <w:jc w:val="center"/>
        <w:rPr>
          <w:rFonts w:ascii="Times New Roman;Times;Serif" w:hAnsi="Times New Roman;Times;Serif"/>
          <w:b/>
          <w:sz w:val="20"/>
        </w:rPr>
      </w:pPr>
      <w:r>
        <w:rPr>
          <w:rFonts w:ascii="Times New Roman;Times;Serif" w:hAnsi="Times New Roman;Times;Serif"/>
          <w:b/>
          <w:sz w:val="20"/>
        </w:rPr>
        <w:t>(410) 842-4000</w:t>
      </w:r>
    </w:p>
    <w:p>
      <w:pPr>
        <w:pStyle w:val="TextBody"/>
        <w:spacing w:before="0" w:after="0"/>
        <w:jc w:val="center"/>
        <w:rPr>
          <w:rFonts w:ascii="Times New Roman;Times;Serif" w:hAnsi="Times New Roman;Times;Serif"/>
          <w:sz w:val="20"/>
        </w:rPr>
      </w:pPr>
      <w:r>
        <w:rPr>
          <w:rFonts w:ascii="Times New Roman;Times;Serif" w:hAnsi="Times New Roman;Times;Serif"/>
          <w:sz w:val="20"/>
        </w:rPr>
        <w:t>(Name, Address and Telephone Number of Person</w:t>
      </w:r>
    </w:p>
    <w:p>
      <w:pPr>
        <w:pStyle w:val="TextBody"/>
        <w:spacing w:before="0" w:after="300"/>
        <w:jc w:val="center"/>
        <w:rPr>
          <w:rFonts w:ascii="Times New Roman;Times;Serif" w:hAnsi="Times New Roman;Times;Serif"/>
          <w:sz w:val="20"/>
        </w:rPr>
      </w:pPr>
      <w:r>
        <w:rPr>
          <w:rFonts w:ascii="Times New Roman;Times;Serif" w:hAnsi="Times New Roman;Times;Serif"/>
          <w:sz w:val="20"/>
        </w:rPr>
        <w:t>Authorized to Receive Notices and Communications)</w:t>
      </w:r>
    </w:p>
    <w:p>
      <w:pPr>
        <w:pStyle w:val="TextBody"/>
        <w:pBdr>
          <w:bottom w:val="single" w:sz="2" w:space="1" w:color="000000"/>
        </w:pBdr>
        <w:spacing w:before="0" w:after="0"/>
        <w:jc w:val="center"/>
        <w:rPr>
          <w:rFonts w:ascii="Times New Roman;Times;Serif" w:hAnsi="Times New Roman;Times;Serif"/>
          <w:b/>
          <w:sz w:val="20"/>
        </w:rPr>
      </w:pPr>
      <w:r>
        <w:rPr>
          <w:rFonts w:ascii="Times New Roman;Times;Serif" w:hAnsi="Times New Roman;Times;Serif"/>
          <w:b/>
          <w:sz w:val="20"/>
        </w:rPr>
        <w:t>March 16, 2021</w:t>
      </w:r>
    </w:p>
    <w:p>
      <w:pPr>
        <w:pStyle w:val="TextBody"/>
        <w:spacing w:before="0" w:after="300"/>
        <w:jc w:val="center"/>
        <w:rPr>
          <w:rFonts w:ascii="Times New Roman;Times;Serif" w:hAnsi="Times New Roman;Times;Serif"/>
          <w:sz w:val="20"/>
        </w:rPr>
      </w:pPr>
      <w:r>
        <w:rPr>
          <w:rFonts w:ascii="Times New Roman;Times;Serif" w:hAnsi="Times New Roman;Times;Serif"/>
          <w:sz w:val="20"/>
        </w:rPr>
        <w:t>(Date of Event which Requires Filing of this Statement)</w:t>
      </w:r>
    </w:p>
    <w:p>
      <w:pPr>
        <w:pStyle w:val="TextBody"/>
        <w:pBdr/>
        <w:rPr/>
      </w:pPr>
      <w:r>
        <w:rPr/>
        <w:t> </w:t>
      </w:r>
    </w:p>
    <w:p>
      <w:pPr>
        <w:pStyle w:val="TextBody"/>
        <w:pBdr/>
        <w:jc w:val="both"/>
        <w:rPr>
          <w:rFonts w:ascii="Times New Roman;Times;Serif" w:hAnsi="Times New Roman;Times;Serif"/>
          <w:sz w:val="20"/>
        </w:rPr>
      </w:pPr>
      <w:r>
        <w:rPr>
          <w:rFonts w:ascii="Times New Roman;Times;Serif" w:hAnsi="Times New Roman;Times;Serif"/>
          <w:sz w:val="20"/>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Times New Roman;Times;Serif" w:hAnsi="Times New Roman;Times;Serif"/>
          <w:sz w:val="20"/>
          <w:highlight w:val="lightGray"/>
        </w:rPr>
        <w:t>☐</w:t>
      </w:r>
    </w:p>
    <w:p>
      <w:pPr>
        <w:pStyle w:val="TextBody"/>
        <w:pBdr/>
        <w:jc w:val="both"/>
        <w:rPr>
          <w:rFonts w:ascii="Times New Roman;Times;Serif" w:hAnsi="Times New Roman;Times;Serif"/>
          <w:sz w:val="20"/>
        </w:rPr>
      </w:pPr>
      <w:r>
        <w:rPr>
          <w:rFonts w:ascii="Times New Roman;Times;Serif" w:hAnsi="Times New Roman;Times;Serif"/>
          <w:b/>
          <w:sz w:val="20"/>
        </w:rPr>
        <w:t>Note</w:t>
      </w:r>
      <w:r>
        <w:rPr>
          <w:rFonts w:ascii="Times New Roman;Times;Serif" w:hAnsi="Times New Roman;Times;Serif"/>
          <w:sz w:val="20"/>
        </w:rPr>
        <w:t>: Schedules filed in paper format shall include a signed original and five copies of the schedule, including all exhibits. See §240.13d-7 for other parties to whom copies are to be sent.</w:t>
      </w:r>
    </w:p>
    <w:p>
      <w:pPr>
        <w:pStyle w:val="TextBody"/>
        <w:pBdr/>
        <w:jc w:val="both"/>
        <w:rPr>
          <w:rFonts w:ascii="Times New Roman;Times;Serif" w:hAnsi="Times New Roman;Times;Serif"/>
          <w:sz w:val="20"/>
        </w:rPr>
      </w:pPr>
      <w:r>
        <w:rPr>
          <w:rFonts w:ascii="Times New Roman;Times;Serif" w:hAnsi="Times New Roman;Times;Serif"/>
          <w:position w:val="7"/>
          <w:sz w:val="16"/>
          <w:sz w:val="20"/>
        </w:rPr>
        <w:t xml:space="preserve">* </w:t>
      </w:r>
      <w:r>
        <w:rPr>
          <w:rFonts w:ascii="Times New Roman;Times;Serif" w:hAnsi="Times New Roman;Times;Serif"/>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pBdr/>
        <w:jc w:val="both"/>
        <w:rPr>
          <w:rFonts w:ascii="Times New Roman;Times;Serif" w:hAnsi="Times New Roman;Times;Serif"/>
          <w:sz w:val="20"/>
        </w:rPr>
      </w:pPr>
      <w:r>
        <w:rPr>
          <w:rFonts w:ascii="Times New Roman;Times;Serif" w:hAnsi="Times New Roman;Times;Serif"/>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60" w:after="240"/>
        <w:ind w:left="0" w:right="0" w:hanging="0"/>
        <w:rPr>
          <w:bdr w:val="single" w:sz="8" w:space="1" w:color="000000"/>
        </w:rPr>
      </w:pPr>
      <w:r>
        <w:rPr>
          <w:bdr w:val="single" w:sz="8" w:space="1" w:color="000000"/>
        </w:rPr>
        <w:t> </w:t>
      </w:r>
    </w:p>
    <w:p>
      <w:pPr>
        <w:pStyle w:val="TextBody"/>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4515" w:type="dxa"/>
        <w:jc w:val="left"/>
        <w:tblInd w:w="0" w:type="dxa"/>
        <w:tblCellMar>
          <w:top w:w="28" w:type="dxa"/>
          <w:left w:w="28" w:type="dxa"/>
          <w:bottom w:w="28" w:type="dxa"/>
          <w:right w:w="28" w:type="dxa"/>
        </w:tblCellMar>
      </w:tblPr>
      <w:tblGrid>
        <w:gridCol w:w="2060"/>
        <w:gridCol w:w="515"/>
        <w:gridCol w:w="1940"/>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2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New Enterprise Associates 16, L.P.</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WC</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Delaware Limited Partnership</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PN</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515" w:type="dxa"/>
        <w:jc w:val="left"/>
        <w:tblInd w:w="0" w:type="dxa"/>
        <w:tblCellMar>
          <w:top w:w="28" w:type="dxa"/>
          <w:left w:w="28" w:type="dxa"/>
          <w:bottom w:w="28" w:type="dxa"/>
          <w:right w:w="28" w:type="dxa"/>
        </w:tblCellMar>
      </w:tblPr>
      <w:tblGrid>
        <w:gridCol w:w="2060"/>
        <w:gridCol w:w="515"/>
        <w:gridCol w:w="1940"/>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3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NEA Partners 16, L.P.</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AF</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Limited Partnership</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PN</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575" w:type="dxa"/>
        <w:jc w:val="left"/>
        <w:tblInd w:w="0" w:type="dxa"/>
        <w:tblCellMar>
          <w:top w:w="28" w:type="dxa"/>
          <w:left w:w="28" w:type="dxa"/>
          <w:bottom w:w="28" w:type="dxa"/>
          <w:right w:w="28" w:type="dxa"/>
        </w:tblCellMar>
      </w:tblPr>
      <w:tblGrid>
        <w:gridCol w:w="2120"/>
        <w:gridCol w:w="515"/>
        <w:gridCol w:w="1940"/>
      </w:tblGrid>
      <w:tr>
        <w:trPr/>
        <w:tc>
          <w:tcPr>
            <w:tcW w:w="212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4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NEA 16 GP, LLC</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AF</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Delaware Limited Liability Company</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OO</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635" w:type="dxa"/>
        <w:jc w:val="left"/>
        <w:tblInd w:w="0" w:type="dxa"/>
        <w:tblCellMar>
          <w:top w:w="28" w:type="dxa"/>
          <w:left w:w="28" w:type="dxa"/>
          <w:bottom w:w="28" w:type="dxa"/>
          <w:right w:w="28" w:type="dxa"/>
        </w:tblCellMar>
      </w:tblPr>
      <w:tblGrid>
        <w:gridCol w:w="2180"/>
        <w:gridCol w:w="515"/>
        <w:gridCol w:w="1940"/>
      </w:tblGrid>
      <w:tr>
        <w:trPr/>
        <w:tc>
          <w:tcPr>
            <w:tcW w:w="218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5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Forest Baskett</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AF</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United States citizen</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IN</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515" w:type="dxa"/>
        <w:jc w:val="left"/>
        <w:tblInd w:w="0" w:type="dxa"/>
        <w:tblCellMar>
          <w:top w:w="28" w:type="dxa"/>
          <w:left w:w="28" w:type="dxa"/>
          <w:bottom w:w="28" w:type="dxa"/>
          <w:right w:w="28" w:type="dxa"/>
        </w:tblCellMar>
      </w:tblPr>
      <w:tblGrid>
        <w:gridCol w:w="2060"/>
        <w:gridCol w:w="515"/>
        <w:gridCol w:w="1940"/>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6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Ali Behbahani</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AF</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United States citizen</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IN</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515" w:type="dxa"/>
        <w:jc w:val="left"/>
        <w:tblInd w:w="0" w:type="dxa"/>
        <w:tblCellMar>
          <w:top w:w="28" w:type="dxa"/>
          <w:left w:w="28" w:type="dxa"/>
          <w:bottom w:w="28" w:type="dxa"/>
          <w:right w:w="28" w:type="dxa"/>
        </w:tblCellMar>
      </w:tblPr>
      <w:tblGrid>
        <w:gridCol w:w="2060"/>
        <w:gridCol w:w="515"/>
        <w:gridCol w:w="1940"/>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7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spacing w:before="40" w:after="40"/>
              <w:ind w:left="40" w:right="4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Carmen Chang</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AF</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United States citizen</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IN</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515" w:type="dxa"/>
        <w:jc w:val="left"/>
        <w:tblInd w:w="0" w:type="dxa"/>
        <w:tblCellMar>
          <w:top w:w="28" w:type="dxa"/>
          <w:left w:w="28" w:type="dxa"/>
          <w:bottom w:w="28" w:type="dxa"/>
          <w:right w:w="28" w:type="dxa"/>
        </w:tblCellMar>
      </w:tblPr>
      <w:tblGrid>
        <w:gridCol w:w="2060"/>
        <w:gridCol w:w="515"/>
        <w:gridCol w:w="1940"/>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8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Anthony A. Florence, Jr.</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AF</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United States citizen</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14,464,285 shares</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IN</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515" w:type="dxa"/>
        <w:jc w:val="left"/>
        <w:tblInd w:w="0" w:type="dxa"/>
        <w:tblCellMar>
          <w:top w:w="28" w:type="dxa"/>
          <w:left w:w="28" w:type="dxa"/>
          <w:bottom w:w="28" w:type="dxa"/>
          <w:right w:w="28" w:type="dxa"/>
        </w:tblCellMar>
      </w:tblPr>
      <w:tblGrid>
        <w:gridCol w:w="2060"/>
        <w:gridCol w:w="515"/>
        <w:gridCol w:w="1940"/>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19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9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NAMES OF REPORTING PERSONS I.R.S. IDENTIFICATION NOS. OF ABOVE PERSONS (ENTITIES ONLY)</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Mohamad H. Makhzoumi</w:t>
            </w:r>
          </w:p>
          <w:p>
            <w:pPr>
              <w:pStyle w:val="TableContents"/>
              <w:spacing w:before="0" w:after="283"/>
              <w:ind w:left="0" w:right="0" w:firstLine="200"/>
              <w:rPr/>
            </w:pPr>
            <w:r>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CHECK THE APPROPRIATE BOX IF A MEMBER OF A GROUP (see instructions)</w:t>
            </w:r>
          </w:p>
          <w:p>
            <w:pPr>
              <w:pStyle w:val="TableContents"/>
              <w:ind w:left="0" w:right="0" w:firstLine="200"/>
              <w:rPr>
                <w:highlight w:val="white"/>
              </w:rPr>
            </w:pPr>
            <w:r>
              <w:rPr>
                <w:highlight w:val="white"/>
              </w:rPr>
              <w:t> </w:t>
            </w:r>
          </w:p>
          <w:p>
            <w:pPr>
              <w:pStyle w:val="TableContents"/>
              <w:ind w:left="0" w:right="0" w:firstLine="200"/>
              <w:rPr>
                <w:highlight w:val="white"/>
              </w:rPr>
            </w:pPr>
            <w:r>
              <w:rPr>
                <w:highlight w:val="white"/>
              </w:rPr>
              <w:t> </w:t>
            </w:r>
          </w:p>
          <w:p>
            <w:pPr>
              <w:pStyle w:val="TableContents"/>
              <w:spacing w:before="0" w:after="283"/>
              <w:ind w:left="0" w:right="0" w:firstLine="200"/>
              <w:rPr>
                <w:highlight w:val="white"/>
              </w:rPr>
            </w:pPr>
            <w:r>
              <w:rPr>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sz w:val="20"/>
              </w:rPr>
            </w:pPr>
            <w:r>
              <w:rPr>
                <w:rFonts w:ascii="Times New Roman;Times;Serif" w:hAnsi="Times New Roman;Times;Serif"/>
                <w:sz w:val="20"/>
              </w:rPr>
              <w:t>SEC USE ONLY</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SOURCE OF FUNDS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AF</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DISCLOSURE OF LEGAL PROCEEDINGS IS REQUIRED PURSUANT TO ITEMS 2(d) or 2(e)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CITIZENSHIP OR PLACE OF ORGANIZATION</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United States citizen</w:t>
            </w:r>
          </w:p>
          <w:p>
            <w:pPr>
              <w:pStyle w:val="TableContents"/>
              <w:spacing w:before="0" w:after="283"/>
              <w:ind w:left="0" w:right="0" w:firstLine="200"/>
              <w:rPr/>
            </w:pPr>
            <w:r>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VOTING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VOTING POWER</w:t>
            </w:r>
          </w:p>
          <w:p>
            <w:pPr>
              <w:pStyle w:val="TableContents"/>
              <w:ind w:left="0" w:right="0" w:firstLine="200"/>
              <w:rPr/>
            </w:pPr>
            <w:r>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SOLE DISPOSITIVE POWER</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0 Shares</w:t>
            </w:r>
          </w:p>
          <w:p>
            <w:pPr>
              <w:pStyle w:val="TableContents"/>
              <w:spacing w:before="0" w:after="283"/>
              <w:ind w:left="0" w:right="0" w:firstLine="200"/>
              <w:rPr/>
            </w:pPr>
            <w:r>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SHARED DISPOSITIVE POWER</w:t>
            </w:r>
          </w:p>
          <w:p>
            <w:pPr>
              <w:pStyle w:val="TableContents"/>
              <w:ind w:left="0" w:right="0" w:firstLine="200"/>
              <w:rPr/>
            </w:pPr>
            <w:r>
              <w:rPr/>
              <w:t> </w:t>
            </w:r>
          </w:p>
          <w:p>
            <w:pPr>
              <w:pStyle w:val="TableContents"/>
              <w:ind w:left="0" w:right="0" w:firstLine="100"/>
              <w:rPr/>
            </w:pPr>
            <w:r>
              <w:rPr>
                <w:caps w:val="false"/>
                <w:smallCaps w:val="false"/>
              </w:rPr>
              <w:t>    </w:t>
            </w:r>
            <w:r>
              <w:rPr>
                <w:rFonts w:ascii="Times New Roman;Times;Serif" w:hAnsi="Times New Roman;Times;Serif"/>
                <w:b/>
                <w:i w:val="false"/>
                <w:caps w:val="false"/>
                <w:smallCaps w:val="false"/>
                <w:sz w:val="20"/>
              </w:rPr>
              <w:t>14,464,285 shares</w:t>
            </w:r>
            <w:r>
              <w:rPr/>
              <w:t xml:space="preserve"> </w:t>
            </w:r>
          </w:p>
          <w:p>
            <w:pPr>
              <w:pStyle w:val="TableContents"/>
              <w:spacing w:before="0" w:after="283"/>
              <w:ind w:left="0" w:right="0" w:firstLine="200"/>
              <w:rPr/>
            </w:pPr>
            <w:r>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AGGREGATE AMOUNT BENEFICIALLY OWNED BY EACH REPORTING PERSON</w:t>
            </w:r>
          </w:p>
          <w:p>
            <w:pPr>
              <w:pStyle w:val="TableContents"/>
              <w:ind w:left="0" w:right="0" w:firstLine="200"/>
              <w:rPr/>
            </w:pPr>
            <w:r>
              <w:rPr/>
              <w:t> </w:t>
            </w:r>
          </w:p>
          <w:p>
            <w:pPr>
              <w:pStyle w:val="TableContents"/>
              <w:ind w:left="0" w:right="0" w:firstLine="100"/>
              <w:rPr/>
            </w:pPr>
            <w:r>
              <w:rPr/>
              <w:t>    </w:t>
            </w:r>
            <w:r>
              <w:rPr>
                <w:rFonts w:ascii="Times New Roman;Times;Serif" w:hAnsi="Times New Roman;Times;Serif"/>
                <w:b/>
                <w:i w:val="false"/>
                <w:caps w:val="false"/>
                <w:smallCaps w:val="false"/>
                <w:sz w:val="20"/>
              </w:rPr>
              <w:t xml:space="preserve">14,464,285 shares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CHECK BOX IF THE AGGREGATE AMOUNT IN ROW (11) EXCLUDES CERTAIN SHARES (see instructions)    </w:t>
            </w:r>
          </w:p>
          <w:p>
            <w:pPr>
              <w:pStyle w:val="TableContents"/>
              <w:ind w:left="0" w:right="0" w:firstLine="200"/>
              <w:rPr/>
            </w:pPr>
            <w:r>
              <w:rPr/>
              <w:t> </w:t>
            </w:r>
          </w:p>
          <w:p>
            <w:pPr>
              <w:pStyle w:val="TableContents"/>
              <w:ind w:left="0" w:right="0" w:firstLine="200"/>
              <w:rPr/>
            </w:pPr>
            <w:r>
              <w:rPr/>
              <w:t> </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sz w:val="32"/>
              </w:rPr>
            </w:pPr>
            <w:r>
              <w:rPr>
                <w:rFonts w:ascii="Times New Roman;Times;Serif" w:hAnsi="Times New Roman;Times;Serif"/>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PERCENT OF CLASS REPRESENTED BY AMOUNT IN ROW (11)</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sz w:val="20"/>
              </w:rPr>
            </w:pPr>
            <w:r>
              <w:rPr>
                <w:rFonts w:ascii="Times New Roman;Times;Serif" w:hAnsi="Times New Roman;Times;Serif"/>
                <w:sz w:val="20"/>
              </w:rPr>
              <w:t>TYPE OF REPORTING PERSON (see instructions)</w:t>
            </w:r>
          </w:p>
          <w:p>
            <w:pPr>
              <w:pStyle w:val="TableContents"/>
              <w:ind w:left="0" w:right="0" w:firstLine="200"/>
              <w:rPr/>
            </w:pPr>
            <w:r>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IN</w:t>
            </w:r>
          </w:p>
          <w:p>
            <w:pPr>
              <w:pStyle w:val="TableContents"/>
              <w:spacing w:before="0" w:after="283"/>
              <w:ind w:left="0" w:right="0" w:firstLine="200"/>
              <w:rPr/>
            </w:pPr>
            <w:r>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10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I.R.S. IDENTIFICATION NOS. OF ABOVE PERSONS (ENTITIES ONLY)</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Makower</w:t>
            </w:r>
          </w:p>
          <w:p>
            <w:pPr>
              <w:pStyle w:val="TableContents"/>
              <w:spacing w:before="0" w:after="283"/>
              <w:ind w:left="0" w:right="0" w:firstLine="200"/>
              <w:rPr>
                <w:caps w:val="false"/>
                <w:smallCaps w:val="false"/>
              </w:rPr>
            </w:pPr>
            <w:r>
              <w:rPr>
                <w:caps w:val="false"/>
                <w:smallCaps w:val="false"/>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ind w:left="0" w:right="0" w:firstLine="200"/>
              <w:rPr>
                <w:caps w:val="false"/>
                <w:smallCaps w:val="false"/>
                <w:highlight w:val="white"/>
              </w:rPr>
            </w:pPr>
            <w:r>
              <w:rPr>
                <w:caps w:val="false"/>
                <w:smallCaps w:val="false"/>
                <w:highlight w:val="white"/>
              </w:rPr>
              <w:t> </w:t>
            </w:r>
          </w:p>
          <w:p>
            <w:pPr>
              <w:pStyle w:val="TableContents"/>
              <w:ind w:left="0" w:right="0" w:firstLine="200"/>
              <w:rPr>
                <w:caps w:val="false"/>
                <w:smallCaps w:val="false"/>
                <w:highlight w:val="white"/>
              </w:rPr>
            </w:pPr>
            <w:r>
              <w:rPr>
                <w:caps w:val="false"/>
                <w:smallCaps w:val="false"/>
                <w:highlight w:val="white"/>
              </w:rPr>
              <w:t> </w:t>
            </w:r>
          </w:p>
          <w:p>
            <w:pPr>
              <w:pStyle w:val="TableContents"/>
              <w:spacing w:before="0" w:after="283"/>
              <w:ind w:left="0" w:right="0" w:firstLine="200"/>
              <w:rPr>
                <w:caps w:val="false"/>
                <w:smallCaps w:val="false"/>
                <w:highlight w:val="white"/>
              </w:rPr>
            </w:pPr>
            <w:r>
              <w:rPr>
                <w:caps w:val="false"/>
                <w:smallCaps w:val="false"/>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citizen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ind w:left="0" w:right="0" w:firstLine="200"/>
              <w:rPr>
                <w:caps w:val="false"/>
                <w:smallCaps w:val="false"/>
              </w:rPr>
            </w:pPr>
            <w:r>
              <w:rPr>
                <w:caps w:val="false"/>
                <w:smallCaps w:val="false"/>
              </w:rPr>
              <w:t> </w:t>
            </w:r>
          </w:p>
          <w:p>
            <w:pPr>
              <w:pStyle w:val="TableContents"/>
              <w:ind w:left="0" w:right="0" w:firstLine="100"/>
              <w:rPr/>
            </w:pPr>
            <w:r>
              <w:rPr/>
              <w:t>    </w:t>
            </w:r>
            <w:r>
              <w:rPr>
                <w:rFonts w:ascii="Times New Roman;Times;Serif" w:hAnsi="Times New Roman;Times;Serif"/>
                <w:b/>
                <w:i w:val="false"/>
                <w:caps w:val="false"/>
                <w:smallCaps w:val="false"/>
                <w:sz w:val="20"/>
              </w:rPr>
              <w:t xml:space="preserve">14,464,285 shares </w:t>
            </w:r>
          </w:p>
          <w:p>
            <w:pPr>
              <w:pStyle w:val="TableContents"/>
              <w:spacing w:before="0" w:after="283"/>
              <w:ind w:left="0" w:right="0" w:firstLine="200"/>
              <w:rPr>
                <w:caps w:val="false"/>
                <w:smallCaps w:val="false"/>
              </w:rPr>
            </w:pPr>
            <w:r>
              <w:rPr>
                <w:caps w:val="false"/>
                <w:smallCaps w:val="false"/>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 (see instructions)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11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I.R.S. IDENTIFICATION NOS. OF ABOVE PERSONS (ENTITIES ONLY)</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D. Sandell</w:t>
            </w:r>
          </w:p>
          <w:p>
            <w:pPr>
              <w:pStyle w:val="TableContents"/>
              <w:spacing w:before="0" w:after="283"/>
              <w:ind w:left="0" w:right="0" w:firstLine="200"/>
              <w:rPr>
                <w:caps w:val="false"/>
                <w:smallCaps w:val="false"/>
              </w:rPr>
            </w:pPr>
            <w:r>
              <w:rPr>
                <w:caps w:val="false"/>
                <w:smallCaps w:val="false"/>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ind w:left="0" w:right="0" w:firstLine="200"/>
              <w:rPr>
                <w:caps w:val="false"/>
                <w:smallCaps w:val="false"/>
                <w:highlight w:val="white"/>
              </w:rPr>
            </w:pPr>
            <w:r>
              <w:rPr>
                <w:caps w:val="false"/>
                <w:smallCaps w:val="false"/>
                <w:highlight w:val="white"/>
              </w:rPr>
              <w:t> </w:t>
            </w:r>
          </w:p>
          <w:p>
            <w:pPr>
              <w:pStyle w:val="TableContents"/>
              <w:ind w:left="0" w:right="0" w:firstLine="200"/>
              <w:rPr>
                <w:caps w:val="false"/>
                <w:smallCaps w:val="false"/>
                <w:highlight w:val="white"/>
              </w:rPr>
            </w:pPr>
            <w:r>
              <w:rPr>
                <w:caps w:val="false"/>
                <w:smallCaps w:val="false"/>
                <w:highlight w:val="white"/>
              </w:rPr>
              <w:t> </w:t>
            </w:r>
          </w:p>
          <w:p>
            <w:pPr>
              <w:pStyle w:val="TableContents"/>
              <w:spacing w:before="0" w:after="283"/>
              <w:ind w:left="0" w:right="0" w:firstLine="200"/>
              <w:rPr>
                <w:caps w:val="false"/>
                <w:smallCaps w:val="false"/>
                <w:highlight w:val="white"/>
              </w:rPr>
            </w:pPr>
            <w:r>
              <w:rPr>
                <w:caps w:val="false"/>
                <w:smallCaps w:val="false"/>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citizen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 (see instructions)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12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I.R.S. IDENTIFICATION NOS. OF ABOVE PERSONS (ENTITIES ONLY)</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W. Sonsini</w:t>
            </w:r>
          </w:p>
          <w:p>
            <w:pPr>
              <w:pStyle w:val="TableContents"/>
              <w:spacing w:before="0" w:after="283"/>
              <w:ind w:left="0" w:right="0" w:firstLine="200"/>
              <w:rPr>
                <w:caps w:val="false"/>
                <w:smallCaps w:val="false"/>
              </w:rPr>
            </w:pPr>
            <w:r>
              <w:rPr>
                <w:caps w:val="false"/>
                <w:smallCaps w:val="false"/>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ind w:left="0" w:right="0" w:firstLine="200"/>
              <w:rPr>
                <w:caps w:val="false"/>
                <w:smallCaps w:val="false"/>
                <w:highlight w:val="white"/>
              </w:rPr>
            </w:pPr>
            <w:r>
              <w:rPr>
                <w:caps w:val="false"/>
                <w:smallCaps w:val="false"/>
                <w:highlight w:val="white"/>
              </w:rPr>
              <w:t> </w:t>
            </w:r>
          </w:p>
          <w:p>
            <w:pPr>
              <w:pStyle w:val="TableContents"/>
              <w:ind w:left="0" w:right="0" w:firstLine="200"/>
              <w:rPr>
                <w:caps w:val="false"/>
                <w:smallCaps w:val="false"/>
                <w:highlight w:val="white"/>
              </w:rPr>
            </w:pPr>
            <w:r>
              <w:rPr>
                <w:caps w:val="false"/>
                <w:smallCaps w:val="false"/>
                <w:highlight w:val="white"/>
              </w:rPr>
              <w:t> </w:t>
            </w:r>
          </w:p>
          <w:p>
            <w:pPr>
              <w:pStyle w:val="TableContents"/>
              <w:spacing w:before="0" w:after="283"/>
              <w:ind w:left="0" w:right="0" w:firstLine="200"/>
              <w:rPr>
                <w:caps w:val="false"/>
                <w:smallCaps w:val="false"/>
                <w:highlight w:val="white"/>
              </w:rPr>
            </w:pPr>
            <w:r>
              <w:rPr>
                <w:caps w:val="false"/>
                <w:smallCaps w:val="false"/>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citizen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 (see instructions)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sz w:val="20"/>
              </w:rPr>
            </w:pPr>
            <w:r>
              <w:rPr>
                <w:rFonts w:ascii="Times New Roman;Times;Serif" w:hAnsi="Times New Roman;Times;Serif"/>
                <w:b/>
                <w:sz w:val="20"/>
              </w:rPr>
              <w:t>17.4%</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13 of 22 Pages    </w:t>
            </w:r>
          </w:p>
        </w:tc>
      </w:tr>
    </w:tbl>
    <w:p>
      <w:pPr>
        <w:pStyle w:val="TextBody"/>
        <w:rPr/>
      </w:pPr>
      <w:r>
        <w:rPr/>
        <w:t> </w:t>
      </w:r>
    </w:p>
    <w:tbl>
      <w:tblPr>
        <w:tblW w:w="10205" w:type="dxa"/>
        <w:jc w:val="left"/>
        <w:tblInd w:w="0" w:type="dxa"/>
        <w:tblCellMar>
          <w:top w:w="28" w:type="dxa"/>
          <w:left w:w="28" w:type="dxa"/>
          <w:bottom w:w="28" w:type="dxa"/>
          <w:right w:w="0" w:type="dxa"/>
        </w:tblCellMar>
      </w:tblPr>
      <w:tblGrid>
        <w:gridCol w:w="342"/>
        <w:gridCol w:w="250"/>
        <w:gridCol w:w="8837"/>
        <w:gridCol w:w="150"/>
        <w:gridCol w:w="626"/>
      </w:tblGrid>
      <w:tr>
        <w:trPr/>
        <w:tc>
          <w:tcPr>
            <w:tcW w:w="342" w:type="dxa"/>
            <w:tcBorders>
              <w:top w:val="single" w:sz="2" w:space="0" w:color="000000"/>
              <w:left w:val="single" w:sz="8" w:space="0" w:color="000000"/>
              <w:bottom w:val="single" w:sz="2" w:space="0" w:color="000000"/>
            </w:tcBorders>
            <w:shd w:fill="auto" w:val="cle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250"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ind w:left="0" w:right="0" w:firstLine="100"/>
              <w:rPr/>
            </w:pPr>
            <w:r>
              <w:rPr/>
              <w:t> </w:t>
            </w:r>
          </w:p>
        </w:tc>
        <w:tc>
          <w:tcPr>
            <w:tcW w:w="8837" w:type="dxa"/>
            <w:tcBorders>
              <w:top w:val="single" w:sz="2" w:space="0" w:color="000000"/>
              <w:bottom w:val="single" w:sz="2" w:space="0" w:color="000000"/>
            </w:tcBorders>
            <w:shd w:fill="auto" w:val="clear"/>
            <w:tcMar>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I.R.S. IDENTIFICATION NOS. OF ABOVE PERSONS (ENTITIES ONLY)</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Walker</w:t>
            </w:r>
          </w:p>
          <w:p>
            <w:pPr>
              <w:pStyle w:val="TableContents"/>
              <w:spacing w:before="0" w:after="283"/>
              <w:ind w:left="0" w:right="0" w:firstLine="200"/>
              <w:rPr>
                <w:caps w:val="false"/>
                <w:smallCaps w:val="false"/>
              </w:rPr>
            </w:pPr>
            <w:r>
              <w:rPr>
                <w:caps w:val="false"/>
                <w:smallCaps w:val="false"/>
              </w:rPr>
              <w:t> </w:t>
            </w:r>
          </w:p>
        </w:tc>
        <w:tc>
          <w:tcPr>
            <w:tcW w:w="150" w:type="dxa"/>
            <w:tcBorders>
              <w:top w:val="single" w:sz="2" w:space="0" w:color="000000"/>
              <w:bottom w:val="single" w:sz="2" w:space="0" w:color="000000"/>
            </w:tcBorders>
            <w:shd w:fill="auto" w:val="clear"/>
            <w:tcMar>
              <w:left w:w="0" w:type="dxa"/>
            </w:tcMar>
          </w:tcPr>
          <w:p>
            <w:pPr>
              <w:pStyle w:val="TableContents"/>
              <w:spacing w:before="0" w:after="283"/>
              <w:rPr/>
            </w:pPr>
            <w:r>
              <w:rPr/>
              <w:t> </w:t>
            </w:r>
          </w:p>
        </w:tc>
        <w:tc>
          <w:tcPr>
            <w:tcW w:w="626" w:type="dxa"/>
            <w:tcBorders>
              <w:top w:val="single" w:sz="2" w:space="0" w:color="000000"/>
              <w:bottom w:val="single" w:sz="2" w:space="0" w:color="000000"/>
              <w:right w:val="single" w:sz="8" w:space="0" w:color="000000"/>
            </w:tcBorders>
            <w:shd w:fill="auto" w:val="clear"/>
            <w:tcMar>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250" w:type="dxa"/>
            <w:tcBorders>
              <w:bottom w:val="single" w:sz="2" w:space="0" w:color="000000"/>
              <w:right w:val="single" w:sz="8" w:space="0" w:color="000000"/>
            </w:tcBorders>
            <w:shd w:fill="auto"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ind w:left="0" w:right="0" w:firstLine="200"/>
              <w:rPr>
                <w:caps w:val="false"/>
                <w:smallCaps w:val="false"/>
                <w:highlight w:val="white"/>
              </w:rPr>
            </w:pPr>
            <w:r>
              <w:rPr>
                <w:caps w:val="false"/>
                <w:smallCaps w:val="false"/>
                <w:highlight w:val="white"/>
              </w:rPr>
              <w:t> </w:t>
            </w:r>
          </w:p>
          <w:p>
            <w:pPr>
              <w:pStyle w:val="TableContents"/>
              <w:ind w:left="0" w:right="0" w:firstLine="200"/>
              <w:rPr>
                <w:caps w:val="false"/>
                <w:smallCaps w:val="false"/>
                <w:highlight w:val="white"/>
              </w:rPr>
            </w:pPr>
            <w:r>
              <w:rPr>
                <w:caps w:val="false"/>
                <w:smallCaps w:val="false"/>
                <w:highlight w:val="white"/>
              </w:rPr>
              <w:t> </w:t>
            </w:r>
          </w:p>
          <w:p>
            <w:pPr>
              <w:pStyle w:val="TableContents"/>
              <w:spacing w:before="0" w:after="283"/>
              <w:ind w:left="0" w:right="0" w:firstLine="200"/>
              <w:rPr>
                <w:caps w:val="false"/>
                <w:smallCaps w:val="false"/>
                <w:highlight w:val="white"/>
              </w:rPr>
            </w:pPr>
            <w:r>
              <w:rPr>
                <w:caps w:val="false"/>
                <w:smallCaps w:val="false"/>
                <w:highlight w:val="white"/>
              </w:rPr>
              <w:t> </w:t>
            </w:r>
          </w:p>
        </w:tc>
        <w:tc>
          <w:tcPr>
            <w:tcW w:w="150" w:type="dxa"/>
            <w:tcBorders>
              <w:bottom w:val="single" w:sz="2" w:space="0" w:color="000000"/>
            </w:tcBorders>
            <w:shd w:fill="auto" w:val="clear"/>
            <w:tcMar>
              <w:top w:w="0" w:type="dxa"/>
              <w:left w:w="0" w:type="dxa"/>
            </w:tcMar>
            <w:vAlign w:val="center"/>
          </w:tcPr>
          <w:p>
            <w:pPr>
              <w:pStyle w:val="TableContents"/>
              <w:spacing w:before="0" w:after="283"/>
              <w:rPr/>
            </w:pPr>
            <w:r>
              <w:rPr/>
              <w:t> </w:t>
            </w:r>
          </w:p>
        </w:tc>
        <w:tc>
          <w:tcPr>
            <w:tcW w:w="626"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 xml:space="preserve">(a) </w:t>
            </w:r>
            <w:r>
              <w:rPr>
                <w:rFonts w:ascii="Times New Roman;Times;Serif" w:hAnsi="Times New Roman;Times;Serif"/>
                <w:highlight w:val="lightGray"/>
              </w:rPr>
              <w:t>☐</w:t>
            </w:r>
          </w:p>
          <w:p>
            <w:pPr>
              <w:pStyle w:val="TableContents"/>
              <w:spacing w:before="0" w:after="0"/>
              <w:jc w:val="left"/>
              <w:rPr>
                <w:rFonts w:ascii="Times New Roman;Times;Serif" w:hAnsi="Times New Roman;Times;Serif"/>
              </w:rPr>
            </w:pPr>
            <w:r>
              <w:rPr>
                <w:rFonts w:ascii="Times New Roman;Times;Serif" w:hAnsi="Times New Roman;Times;Serif"/>
              </w:rPr>
              <w:t xml:space="preserve">(b) </w:t>
            </w:r>
            <w:r>
              <w:rPr>
                <w:rFonts w:ascii="Times New Roman;Times;Serif" w:hAnsi="Times New Roman;Times;Serif"/>
                <w:highlight w:val="lightGray"/>
              </w:rPr>
              <w:t>☐</w:t>
            </w:r>
          </w:p>
        </w:tc>
      </w:tr>
      <w:tr>
        <w:trPr/>
        <w:tc>
          <w:tcPr>
            <w:tcW w:w="342" w:type="dxa"/>
            <w:tcBorders>
              <w:left w:val="single" w:sz="8" w:space="0" w:color="000000"/>
              <w:bottom w:val="single" w:sz="2" w:space="0" w:color="000000"/>
            </w:tcBorders>
            <w:shd w:fill="D5D5D5" w:val="clear"/>
            <w:tcMar>
              <w:top w:w="0" w:type="dxa"/>
            </w:tcMar>
            <w:vAlign w:val="cente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250"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ind w:left="0" w:right="0" w:firstLine="100"/>
              <w:rPr/>
            </w:pPr>
            <w:r>
              <w:rPr/>
              <w:t> </w:t>
            </w:r>
          </w:p>
        </w:tc>
        <w:tc>
          <w:tcPr>
            <w:tcW w:w="8837" w:type="dxa"/>
            <w:tcBorders>
              <w:bottom w:val="single" w:sz="2" w:space="0" w:color="000000"/>
            </w:tcBorders>
            <w:shd w:fill="D5D5D5" w:val="clear"/>
            <w:tcMar>
              <w:top w:w="0" w:type="dxa"/>
              <w:left w:w="0" w:type="dxa"/>
            </w:tcMar>
            <w:vAlign w:val="cente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D5D5D5" w:val="clear"/>
            <w:tcMar>
              <w:top w:w="0" w:type="dxa"/>
              <w:left w:w="0" w:type="dxa"/>
            </w:tcMar>
            <w:vAlign w:val="center"/>
          </w:tcPr>
          <w:p>
            <w:pPr>
              <w:pStyle w:val="TableContents"/>
              <w:spacing w:before="0" w:after="283"/>
              <w:rPr/>
            </w:pPr>
            <w:r>
              <w:rPr/>
              <w:t> </w:t>
            </w:r>
          </w:p>
        </w:tc>
        <w:tc>
          <w:tcPr>
            <w:tcW w:w="626" w:type="dxa"/>
            <w:tcBorders>
              <w:bottom w:val="single" w:sz="2" w:space="0" w:color="000000"/>
              <w:right w:val="single" w:sz="8" w:space="0" w:color="000000"/>
            </w:tcBorders>
            <w:shd w:fill="D5D5D5" w:val="clear"/>
            <w:tcMar>
              <w:top w:w="0" w:type="dxa"/>
              <w:left w:w="0" w:type="dxa"/>
              <w:right w:w="28" w:type="dxa"/>
            </w:tcMar>
            <w:vAlign w:val="cente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r>
              <w:rPr>
                <w:highlight w:val="lightGray"/>
              </w:rPr>
              <w:t>☐</w:t>
            </w:r>
          </w:p>
        </w:tc>
      </w:tr>
      <w:tr>
        <w:trPr/>
        <w:tc>
          <w:tcPr>
            <w:tcW w:w="342" w:type="dxa"/>
            <w:tcBorders>
              <w:left w:val="single" w:sz="8" w:space="0" w:color="000000"/>
              <w:bottom w:val="single" w:sz="2" w:space="0" w:color="000000"/>
            </w:tcBorders>
            <w:shd w:fill="auto" w:val="clear"/>
            <w:tcMar>
              <w:top w:w="0"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250"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ind w:left="0" w:right="0" w:firstLine="100"/>
              <w:rPr/>
            </w:pPr>
            <w:r>
              <w:rPr/>
              <w:t> </w:t>
            </w:r>
          </w:p>
        </w:tc>
        <w:tc>
          <w:tcPr>
            <w:tcW w:w="8837" w:type="dxa"/>
            <w:tcBorders>
              <w:bottom w:val="single" w:sz="2" w:space="0" w:color="000000"/>
            </w:tcBorders>
            <w:shd w:fill="auto" w:val="clear"/>
            <w:tcMar>
              <w:top w:w="0" w:type="dxa"/>
              <w:left w:w="0"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citizen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top w:w="0" w:type="dxa"/>
              <w:left w:w="0" w:type="dxa"/>
            </w:tcMar>
          </w:tcPr>
          <w:p>
            <w:pPr>
              <w:pStyle w:val="TableContents"/>
              <w:spacing w:before="0" w:after="283"/>
              <w:rPr/>
            </w:pPr>
            <w:r>
              <w:rPr/>
              <w:t> </w:t>
            </w:r>
          </w:p>
        </w:tc>
        <w:tc>
          <w:tcPr>
            <w:tcW w:w="626" w:type="dxa"/>
            <w:tcBorders>
              <w:bottom w:val="single" w:sz="2" w:space="0" w:color="000000"/>
              <w:right w:val="single" w:sz="8" w:space="0" w:color="000000"/>
            </w:tcBorders>
            <w:shd w:fill="auto" w:val="clear"/>
            <w:tcMar>
              <w:top w:w="0" w:type="dxa"/>
              <w:left w:w="0" w:type="dxa"/>
              <w:right w:w="28" w:type="dxa"/>
            </w:tcMar>
          </w:tcPr>
          <w:p>
            <w:pPr>
              <w:pStyle w:val="TableContents"/>
              <w:spacing w:before="0" w:after="283"/>
              <w:rPr/>
            </w:pPr>
            <w:r>
              <w:rPr/>
              <w:t> </w:t>
            </w:r>
          </w:p>
        </w:tc>
      </w:tr>
    </w:tbl>
    <w:tbl>
      <w:tblPr>
        <w:tblW w:w="10205" w:type="dxa"/>
        <w:jc w:val="left"/>
        <w:tblInd w:w="0" w:type="dxa"/>
        <w:tblCellMar>
          <w:top w:w="0" w:type="dxa"/>
          <w:left w:w="28" w:type="dxa"/>
          <w:bottom w:w="0" w:type="dxa"/>
          <w:right w:w="0" w:type="dxa"/>
        </w:tblCellMar>
      </w:tblPr>
      <w:tblGrid>
        <w:gridCol w:w="6931"/>
        <w:gridCol w:w="150"/>
        <w:gridCol w:w="485"/>
        <w:gridCol w:w="250"/>
        <w:gridCol w:w="2389"/>
      </w:tblGrid>
      <w:tr>
        <w:trPr/>
        <w:tc>
          <w:tcPr>
            <w:tcW w:w="6931"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center"/>
          </w:tcPr>
          <w:p>
            <w:pPr>
              <w:pStyle w:val="TableContents"/>
              <w:spacing w:before="0" w:after="283"/>
              <w:rPr>
                <w:sz w:val="4"/>
                <w:szCs w:val="4"/>
              </w:rPr>
            </w:pPr>
            <w:r>
              <w:rPr>
                <w:sz w:val="4"/>
                <w:szCs w:val="4"/>
              </w:rPr>
            </w:r>
          </w:p>
        </w:tc>
        <w:tc>
          <w:tcPr>
            <w:tcW w:w="485" w:type="dxa"/>
            <w:tcBorders>
              <w:left w:val="single" w:sz="8" w:space="0" w:color="000000"/>
            </w:tcBorders>
            <w:shd w:fill="auto" w:val="clear"/>
            <w:vAlign w:val="center"/>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center"/>
          </w:tcPr>
          <w:p>
            <w:pPr>
              <w:pStyle w:val="TableContents"/>
              <w:spacing w:before="0" w:after="283"/>
              <w:ind w:left="0" w:right="0" w:firstLine="100"/>
              <w:rPr>
                <w:sz w:val="4"/>
                <w:szCs w:val="4"/>
              </w:rPr>
            </w:pPr>
            <w:r>
              <w:rPr>
                <w:sz w:val="4"/>
                <w:szCs w:val="4"/>
              </w:rPr>
            </w:r>
          </w:p>
        </w:tc>
        <w:tc>
          <w:tcPr>
            <w:tcW w:w="2389" w:type="dxa"/>
            <w:tcBorders>
              <w:right w:val="single" w:sz="8" w:space="0" w:color="000000"/>
            </w:tcBorders>
            <w:shd w:fill="auto" w:val="clear"/>
            <w:tcMar>
              <w:left w:w="0" w:type="dxa"/>
              <w:right w:w="28" w:type="dxa"/>
            </w:tcMar>
            <w:vAlign w:val="center"/>
          </w:tcPr>
          <w:p>
            <w:pPr>
              <w:pStyle w:val="TableContents"/>
              <w:spacing w:before="0" w:after="283"/>
              <w:rPr>
                <w:sz w:val="4"/>
                <w:szCs w:val="4"/>
              </w:rPr>
            </w:pPr>
            <w:r>
              <w:rPr>
                <w:sz w:val="4"/>
                <w:szCs w:val="4"/>
              </w:rPr>
            </w:r>
          </w:p>
        </w:tc>
      </w:tr>
      <w:tr>
        <w:trPr/>
        <w:tc>
          <w:tcPr>
            <w:tcW w:w="6931" w:type="dxa"/>
            <w:vMerge w:val="restart"/>
            <w:tcBorders>
              <w:left w:val="single" w:sz="8" w:space="0" w:color="000000"/>
              <w:bottom w:val="single" w:sz="2" w:space="0" w:color="000000"/>
            </w:tcBorders>
            <w:shd w:fill="auto" w:val="clear"/>
            <w:tcMar>
              <w:bottom w:w="28" w:type="dxa"/>
            </w:tcMa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 BY EACH REPORTING PERSON WITH</w:t>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7.</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shd w:fill="auto" w:val="clear"/>
            <w:tcMar>
              <w:top w:w="45" w:type="dxa"/>
              <w:left w:w="45" w:type="dxa"/>
              <w:bottom w:w="45" w:type="dxa"/>
              <w:right w:w="45"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 Shares</w:t>
            </w:r>
          </w:p>
          <w:p>
            <w:pPr>
              <w:pStyle w:val="TableContents"/>
              <w:spacing w:before="0" w:after="283"/>
              <w:ind w:left="0" w:right="0" w:firstLine="200"/>
              <w:rPr>
                <w:caps w:val="false"/>
                <w:smallCaps w:val="false"/>
              </w:rPr>
            </w:pPr>
            <w:r>
              <w:rPr>
                <w:caps w:val="false"/>
                <w:smallCaps w:val="false"/>
              </w:rPr>
              <w:t> </w:t>
            </w:r>
          </w:p>
        </w:tc>
      </w:tr>
      <w:tr>
        <w:trPr/>
        <w:tc>
          <w:tcPr>
            <w:tcW w:w="6931" w:type="dxa"/>
            <w:vMerge w:val="continue"/>
            <w:tcBorders>
              <w:left w:val="single" w:sz="8" w:space="0" w:color="000000"/>
              <w:bottom w:val="single" w:sz="2" w:space="0" w:color="000000"/>
            </w:tcBorders>
            <w:shd w:fill="auto" w:val="clear"/>
            <w:tcMar>
              <w:bottom w:w="28" w:type="dxa"/>
            </w:tcMar>
          </w:tcPr>
          <w:p>
            <w:pPr>
              <w:pStyle w:val="Normal"/>
              <w:rPr/>
            </w:pPr>
            <w:r>
              <w:rPr/>
            </w:r>
          </w:p>
        </w:tc>
        <w:tc>
          <w:tcPr>
            <w:tcW w:w="150" w:type="dxa"/>
            <w:tcBorders>
              <w:bottom w:val="single" w:sz="2" w:space="0" w:color="000000"/>
            </w:tcBorders>
            <w:shd w:fill="auto" w:val="clear"/>
            <w:tcMar>
              <w:left w:w="0" w:type="dxa"/>
              <w:bottom w:w="28" w:type="dxa"/>
            </w:tcMar>
            <w:vAlign w:val="bottom"/>
          </w:tcPr>
          <w:p>
            <w:pPr>
              <w:pStyle w:val="TableContents"/>
              <w:spacing w:before="0" w:after="283"/>
              <w:rPr/>
            </w:pPr>
            <w:r>
              <w:rPr/>
              <w:t> </w:t>
            </w:r>
          </w:p>
        </w:tc>
        <w:tc>
          <w:tcPr>
            <w:tcW w:w="485"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2389" w:type="dxa"/>
            <w:tcBorders>
              <w:bottom w:val="single" w:sz="2" w:space="0" w:color="000000"/>
              <w:right w:val="single" w:sz="8" w:space="0" w:color="000000"/>
            </w:tcBorders>
            <w:shd w:fill="auto" w:val="clear"/>
            <w:tcMar>
              <w:left w:w="0" w:type="dxa"/>
              <w:bottom w:w="28" w:type="dxa"/>
              <w:right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r>
    </w:tbl>
    <w:tbl>
      <w:tblPr>
        <w:tblW w:w="10205" w:type="dxa"/>
        <w:jc w:val="left"/>
        <w:tblInd w:w="0" w:type="dxa"/>
        <w:tblCellMar>
          <w:top w:w="0" w:type="dxa"/>
          <w:left w:w="28" w:type="dxa"/>
          <w:bottom w:w="0" w:type="dxa"/>
          <w:right w:w="0" w:type="dxa"/>
        </w:tblCellMar>
      </w:tblPr>
      <w:tblGrid>
        <w:gridCol w:w="568"/>
        <w:gridCol w:w="250"/>
        <w:gridCol w:w="8856"/>
        <w:gridCol w:w="150"/>
        <w:gridCol w:w="381"/>
      </w:tblGrid>
      <w:tr>
        <w:trPr/>
        <w:tc>
          <w:tcPr>
            <w:tcW w:w="568" w:type="dxa"/>
            <w:tcBorders>
              <w:left w:val="single" w:sz="8" w:space="0" w:color="000000"/>
            </w:tcBorders>
            <w:shd w:fill="auto" w:val="clear"/>
            <w:vAlign w:val="bottom"/>
          </w:tcPr>
          <w:p>
            <w:pPr>
              <w:pStyle w:val="TableContents"/>
              <w:spacing w:before="0" w:after="283"/>
              <w:rPr>
                <w:sz w:val="4"/>
                <w:szCs w:val="4"/>
              </w:rPr>
            </w:pPr>
            <w:r>
              <w:rPr>
                <w:sz w:val="4"/>
                <w:szCs w:val="4"/>
              </w:rPr>
            </w:r>
          </w:p>
        </w:tc>
        <w:tc>
          <w:tcPr>
            <w:tcW w:w="250" w:type="dxa"/>
            <w:tcBorders>
              <w:right w:val="single" w:sz="8" w:space="0" w:color="000000"/>
            </w:tcBorders>
            <w:shd w:fill="auto" w:val="clear"/>
            <w:tcMar>
              <w:left w:w="0" w:type="dxa"/>
              <w:right w:w="28" w:type="dxa"/>
            </w:tcMar>
            <w:vAlign w:val="bottom"/>
          </w:tcPr>
          <w:p>
            <w:pPr>
              <w:pStyle w:val="TableContents"/>
              <w:spacing w:before="0" w:after="283"/>
              <w:ind w:left="0" w:right="0" w:firstLine="100"/>
              <w:rPr>
                <w:sz w:val="4"/>
                <w:szCs w:val="4"/>
              </w:rPr>
            </w:pPr>
            <w:r>
              <w:rPr>
                <w:sz w:val="4"/>
                <w:szCs w:val="4"/>
              </w:rPr>
            </w:r>
          </w:p>
        </w:tc>
        <w:tc>
          <w:tcPr>
            <w:tcW w:w="8856"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150" w:type="dxa"/>
            <w:tcBorders/>
            <w:shd w:fill="auto" w:val="clear"/>
            <w:tcMar>
              <w:top w:w="45" w:type="dxa"/>
              <w:left w:w="45" w:type="dxa"/>
              <w:bottom w:w="45" w:type="dxa"/>
              <w:right w:w="45" w:type="dxa"/>
            </w:tcMar>
            <w:vAlign w:val="bottom"/>
          </w:tcPr>
          <w:p>
            <w:pPr>
              <w:pStyle w:val="TableContents"/>
              <w:spacing w:before="0" w:after="283"/>
              <w:rPr>
                <w:sz w:val="4"/>
                <w:szCs w:val="4"/>
              </w:rPr>
            </w:pPr>
            <w:r>
              <w:rPr>
                <w:sz w:val="4"/>
                <w:szCs w:val="4"/>
              </w:rPr>
            </w:r>
          </w:p>
        </w:tc>
        <w:tc>
          <w:tcPr>
            <w:tcW w:w="381" w:type="dxa"/>
            <w:tcBorders>
              <w:right w:val="single" w:sz="8" w:space="0" w:color="000000"/>
            </w:tcBorders>
            <w:shd w:fill="auto" w:val="clear"/>
            <w:tcMar>
              <w:left w:w="0" w:type="dxa"/>
              <w:right w:w="28" w:type="dxa"/>
            </w:tcMar>
            <w:vAlign w:val="bottom"/>
          </w:tcPr>
          <w:p>
            <w:pPr>
              <w:pStyle w:val="TableContents"/>
              <w:spacing w:before="0" w:after="283"/>
              <w:rPr>
                <w:sz w:val="4"/>
                <w:szCs w:val="4"/>
              </w:rPr>
            </w:pPr>
            <w:r>
              <w:rPr>
                <w:sz w:val="4"/>
                <w:szCs w:val="4"/>
              </w:rPr>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14,464,285 shares</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 (see instructions)    </w:t>
            </w:r>
          </w:p>
          <w:p>
            <w:pPr>
              <w:pStyle w:val="TableContents"/>
              <w:ind w:left="0" w:right="0" w:firstLine="200"/>
              <w:rPr>
                <w:caps w:val="false"/>
                <w:smallCaps w:val="false"/>
              </w:rPr>
            </w:pPr>
            <w:r>
              <w:rPr>
                <w:caps w:val="false"/>
                <w:smallCaps w:val="false"/>
              </w:rPr>
              <w:t> </w:t>
            </w:r>
          </w:p>
          <w:p>
            <w:pPr>
              <w:pStyle w:val="TableContents"/>
              <w:ind w:left="0" w:right="0" w:firstLine="200"/>
              <w:rPr>
                <w:caps w:val="false"/>
                <w:smallCaps w:val="false"/>
              </w:rPr>
            </w:pPr>
            <w:r>
              <w:rPr>
                <w:caps w:val="false"/>
                <w:smallCaps w:val="false"/>
              </w:rPr>
              <w:t> </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r>
              <w:rPr>
                <w:highlight w:val="lightGray"/>
              </w:rPr>
              <w:t>☐</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r>
        <w:trPr/>
        <w:tc>
          <w:tcPr>
            <w:tcW w:w="568" w:type="dxa"/>
            <w:tcBorders>
              <w:left w:val="single" w:sz="8" w:space="0" w:color="000000"/>
              <w:bottom w:val="single" w:sz="2" w:space="0" w:color="000000"/>
            </w:tcBorders>
            <w:shd w:fill="auto" w:val="clear"/>
            <w:tcMar>
              <w:bottom w:w="28" w:type="dxa"/>
            </w:tcMar>
          </w:tcPr>
          <w:p>
            <w:pPr>
              <w:pStyle w:val="TableContents"/>
              <w:spacing w:before="0" w:after="283"/>
              <w:jc w:val="right"/>
              <w:rPr/>
            </w:pPr>
            <w:r>
              <w:rPr/>
              <w:t> </w:t>
            </w:r>
            <w:r>
              <w:rPr>
                <w:rFonts w:ascii="Times New Roman;Times;Serif" w:hAnsi="Times New Roman;Times;Serif"/>
                <w:sz w:val="32"/>
              </w:rPr>
              <w:t>14.</w:t>
            </w:r>
          </w:p>
        </w:tc>
        <w:tc>
          <w:tcPr>
            <w:tcW w:w="250"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ind w:left="0" w:right="0" w:firstLine="100"/>
              <w:rPr/>
            </w:pPr>
            <w:r>
              <w:rPr/>
              <w:t> </w:t>
            </w:r>
          </w:p>
        </w:tc>
        <w:tc>
          <w:tcPr>
            <w:tcW w:w="8856" w:type="dxa"/>
            <w:tcBorders>
              <w:bottom w:val="single" w:sz="2" w:space="0" w:color="000000"/>
            </w:tcBorders>
            <w:shd w:fill="auto" w:val="clear"/>
            <w:tcMar>
              <w:left w:w="0" w:type="dxa"/>
              <w:bottom w:w="28" w:type="dxa"/>
            </w:tcMar>
          </w:tcPr>
          <w:p>
            <w:pPr>
              <w:pStyle w:val="TableContents"/>
              <w:ind w:left="0" w:right="0" w:firstLine="2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ind w:left="0" w:right="0" w:firstLine="200"/>
              <w:rPr>
                <w:caps w:val="false"/>
                <w:smallCaps w:val="false"/>
              </w:rPr>
            </w:pPr>
            <w:r>
              <w:rPr>
                <w:caps w:val="false"/>
                <w:smallCaps w:val="false"/>
              </w:rPr>
              <w:t>   </w:t>
            </w:r>
          </w:p>
          <w:p>
            <w:pPr>
              <w:pStyle w:val="TableContents"/>
              <w:ind w:left="0" w:right="0" w:firstLine="20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w:t>
            </w:r>
          </w:p>
          <w:p>
            <w:pPr>
              <w:pStyle w:val="TableContents"/>
              <w:spacing w:before="0" w:after="283"/>
              <w:ind w:left="0" w:right="0" w:firstLine="200"/>
              <w:rPr>
                <w:caps w:val="false"/>
                <w:smallCaps w:val="false"/>
              </w:rPr>
            </w:pPr>
            <w:r>
              <w:rPr>
                <w:caps w:val="false"/>
                <w:smallCaps w:val="false"/>
              </w:rPr>
              <w:t> </w:t>
            </w:r>
          </w:p>
        </w:tc>
        <w:tc>
          <w:tcPr>
            <w:tcW w:w="150" w:type="dxa"/>
            <w:tcBorders>
              <w:bottom w:val="single" w:sz="2" w:space="0" w:color="000000"/>
            </w:tcBorders>
            <w:shd w:fill="auto" w:val="clear"/>
            <w:tcMar>
              <w:left w:w="0" w:type="dxa"/>
              <w:bottom w:w="28" w:type="dxa"/>
            </w:tcMar>
          </w:tcPr>
          <w:p>
            <w:pPr>
              <w:pStyle w:val="TableContents"/>
              <w:spacing w:before="0" w:after="283"/>
              <w:rPr/>
            </w:pPr>
            <w:r>
              <w:rPr/>
              <w:t> </w:t>
            </w:r>
          </w:p>
        </w:tc>
        <w:tc>
          <w:tcPr>
            <w:tcW w:w="381" w:type="dxa"/>
            <w:tcBorders>
              <w:bottom w:val="single" w:sz="2" w:space="0" w:color="000000"/>
              <w:right w:val="single" w:sz="8" w:space="0" w:color="000000"/>
            </w:tcBorders>
            <w:shd w:fill="auto" w:val="clear"/>
            <w:tcMar>
              <w:left w:w="0" w:type="dxa"/>
              <w:bottom w:w="28" w:type="dxa"/>
              <w:right w:w="28" w:type="dxa"/>
            </w:tcMar>
          </w:tcPr>
          <w:p>
            <w:pPr>
              <w:pStyle w:val="TableContents"/>
              <w:spacing w:before="0" w:after="283"/>
              <w:rPr/>
            </w:pPr>
            <w:r>
              <w:rPr/>
              <w:t> </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14 of 22 Pages    </w:t>
            </w:r>
          </w:p>
        </w:tc>
      </w:tr>
    </w:tbl>
    <w:p>
      <w:pPr>
        <w:pStyle w:val="TextBody"/>
        <w:spacing w:before="120" w:after="120"/>
        <w:jc w:val="left"/>
        <w:rPr/>
      </w:pPr>
      <w:r>
        <w:rPr/>
        <w:t> </w:t>
      </w:r>
    </w:p>
    <w:p>
      <w:pPr>
        <w:pStyle w:val="TextBody"/>
        <w:spacing w:before="400" w:after="120"/>
        <w:jc w:val="left"/>
        <w:rPr>
          <w:rFonts w:ascii="Times New Roman;Times;Serif" w:hAnsi="Times New Roman;Times;Serif"/>
          <w:b/>
          <w:sz w:val="20"/>
        </w:rPr>
      </w:pPr>
      <w:r>
        <w:rPr>
          <w:rFonts w:ascii="Times New Roman;Times;Serif" w:hAnsi="Times New Roman;Times;Serif"/>
          <w:b/>
          <w:sz w:val="20"/>
        </w:rPr>
        <w:t>Item 1.  </w:t>
      </w:r>
      <w:r>
        <w:rPr>
          <w:rFonts w:ascii="Times New Roman;Times;Serif" w:hAnsi="Times New Roman;Times;Serif"/>
          <w:b/>
          <w:sz w:val="20"/>
          <w:u w:val="single"/>
        </w:rPr>
        <w:t>Security and Issuer</w:t>
      </w:r>
      <w:r>
        <w:rPr>
          <w:rFonts w:ascii="Times New Roman;Times;Serif" w:hAnsi="Times New Roman;Times;Serif"/>
          <w:b/>
          <w:sz w:val="20"/>
        </w:rPr>
        <w:t>.</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(“Amendment No. 1”) to Schedule 13D amends and supplements the statement on Schedule 13D originally filed on October 25, 2018, relating to the common stock, $0.001 par value (the “Common Stock”), of Marker Therapeutics, Inc. (the “Issuer”) having its principal executive office at 3200 Southwest Freeway, Suite 2500, Houston, Texas 77027.</w:t>
      </w:r>
    </w:p>
    <w:p>
      <w:pPr>
        <w:pStyle w:val="TextBody"/>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used but not defined in this Amendment No. 1 have the meanings assigned thereto in the Schedule 13D. Except as specifically provided herein, this Amendment No. 1 does not modify any of the information previously reported on the Schedule 13D.</w:t>
      </w:r>
    </w:p>
    <w:p>
      <w:pPr>
        <w:pStyle w:val="TextBody"/>
        <w:spacing w:before="0" w:after="0"/>
        <w:ind w:left="0" w:right="0" w:firstLine="600"/>
        <w:jc w:val="left"/>
        <w:rPr/>
      </w:pPr>
      <w:r>
        <w:rPr/>
        <w:t> </w:t>
      </w:r>
    </w:p>
    <w:p>
      <w:pPr>
        <w:pStyle w:val="TextBody"/>
        <w:spacing w:before="120" w:after="0"/>
        <w:jc w:val="left"/>
        <w:rPr>
          <w:rFonts w:ascii="Times New Roman;Times;Serif" w:hAnsi="Times New Roman;Times;Serif"/>
          <w:b/>
          <w:sz w:val="20"/>
        </w:rPr>
      </w:pPr>
      <w:r>
        <w:rPr>
          <w:rFonts w:ascii="Times New Roman;Times;Serif" w:hAnsi="Times New Roman;Times;Serif"/>
          <w:b/>
          <w:sz w:val="20"/>
        </w:rPr>
        <w:t>Item 2.  </w:t>
      </w:r>
      <w:r>
        <w:rPr>
          <w:rFonts w:ascii="Times New Roman;Times;Serif" w:hAnsi="Times New Roman;Times;Serif"/>
          <w:b/>
          <w:sz w:val="20"/>
          <w:u w:val="single"/>
        </w:rPr>
        <w:t>Identity and Background</w:t>
      </w:r>
      <w:r>
        <w:rPr>
          <w:rFonts w:ascii="Times New Roman;Times;Serif" w:hAnsi="Times New Roman;Times;Serif"/>
          <w:b/>
          <w:sz w:val="20"/>
        </w:rPr>
        <w:t>.</w:t>
      </w:r>
    </w:p>
    <w:p>
      <w:pPr>
        <w:pStyle w:val="TextBody"/>
        <w:spacing w:before="0" w:after="0"/>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being filed by:</w:t>
      </w:r>
    </w:p>
    <w:p>
      <w:pPr>
        <w:pStyle w:val="TextBody"/>
        <w:ind w:left="0" w:right="0" w:hanging="1080"/>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Enterprise Associates 16, L.P. (“NEA 16”), NEA Partners 16, L.P. (“NEA Partners 16”), which is the sole general partner of NEA 16; and NEA 16 GP, LLC (“NEA 16 LLC” and, together with NEA Partners 16, the “Control Entities”), which is the sole general partner of NEA Partners 16; and</w:t>
      </w:r>
    </w:p>
    <w:p>
      <w:pPr>
        <w:pStyle w:val="TextBody"/>
        <w:ind w:left="0" w:right="0" w:hanging="1080"/>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Forest Baskett (“Baskett”), Ali Behbahani (“Behbahani”), Carmen Chang (“Chang”), Anthony A. Florence, Jr. (“Florence”), Mohamad H. Makhzoumi (“Makhzoumi”), Joshua Makower (“Makower”), Scott D. Sandell (“Sandell”), Peter W. Sonsini (“Sonsini”) and Paul Walker (“Walker”) (together, the “Managers”) and Peter J. Barris (“Barris”), David M. Mott (“Mott”) and Ravi Viswanathan (“Viswanathan”). The Managers are the managers of NEA 16 LLC.</w:t>
      </w:r>
    </w:p>
    <w:p>
      <w:pPr>
        <w:pStyle w:val="TextBody"/>
        <w:ind w:left="0" w:right="0" w:hanging="1080"/>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named in this Item 2 are referred to individually herein as a “Reporting Person” and collectively as the “Reporting Persons.”</w:t>
      </w:r>
    </w:p>
    <w:p>
      <w:pPr>
        <w:pStyle w:val="TextBody"/>
        <w:ind w:left="1080" w:right="0" w:hanging="1080"/>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NEA 16, each Control Entity and Sandell is New Enterprise Associates, 1954 Greenspring Drive, Suite 600, Timonium, MD 21093. The address of the principal business office of Behbahani is New Enterprise Associates, 5425 Wisconsin Avenue, Suite 800, Chevy Chase, MD 20815. The address of the principal business office of Baskett, Chang, Makhzoumi, Makower, Sonsini and Walker is New Enterprise Associates, 2855 Sand Hill Road, Menlo Park, California 94025. The address of the principal business office of Florence is New Enterprise Associates, 104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Avenue,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10001.</w:t>
      </w:r>
    </w:p>
    <w:p>
      <w:pPr>
        <w:pStyle w:val="TextBody"/>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of NEA 16 is to invest in and assist growth-oriented businesses located principally in the United States. The principal business of NEA Partners 16 is to act as the sole general partner of NEA 16. The principal business of NEA 16 LLC is to act as the sole general partner of NEA Partners 16. The principal business of each of the Managers is to manage the Control Entities, NEA 16 and a number of affiliated partnerships with similar businesses.</w:t>
      </w:r>
    </w:p>
    <w:p>
      <w:pPr>
        <w:pStyle w:val="TextBody"/>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pStyle w:val="TextBody"/>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LLC is a limited liability company organized under the laws of the State of Delaware. NEA 16 and NEA Partners 16 are limited partnerships organized under the laws of the State of Delaware. Each of the Managers is a United States citizen.</w:t>
      </w:r>
    </w:p>
    <w:p>
      <w:pPr>
        <w:pStyle w:val="TextBody"/>
        <w:spacing w:before="0" w:after="0"/>
        <w:ind w:left="0" w:right="0" w:firstLine="600"/>
        <w:jc w:val="both"/>
        <w:rPr>
          <w:caps w:val="false"/>
          <w:smallCaps w:val="false"/>
        </w:rPr>
      </w:pPr>
      <w:r>
        <w:rPr>
          <w:caps w:val="false"/>
          <w:smallCaps w:val="false"/>
        </w:rPr>
        <w:t> </w:t>
      </w:r>
    </w:p>
    <w:p>
      <w:pPr>
        <w:pStyle w:val="TextBody"/>
        <w:spacing w:before="120" w:after="120"/>
        <w:ind w:left="0" w:right="0" w:firstLine="600"/>
        <w:jc w:val="left"/>
        <w:rPr>
          <w:rFonts w:ascii="Times New Roman;Times;Serif" w:hAnsi="Times New Roman;Times;Serif"/>
          <w:b/>
          <w:sz w:val="20"/>
        </w:rPr>
      </w:pPr>
      <w:r>
        <w:rPr>
          <w:rFonts w:ascii="Times New Roman;Times;Serif" w:hAnsi="Times New Roman;Times;Serif"/>
          <w:b/>
          <w:sz w:val="20"/>
        </w:rPr>
        <w:t>Item 3.  </w:t>
      </w:r>
      <w:r>
        <w:rPr>
          <w:rFonts w:ascii="Times New Roman;Times;Serif" w:hAnsi="Times New Roman;Times;Serif"/>
          <w:b/>
          <w:sz w:val="20"/>
          <w:u w:val="single"/>
        </w:rPr>
        <w:t>Source and Amount of Funds or Other Consideration</w:t>
      </w:r>
      <w:r>
        <w:rPr>
          <w:rFonts w:ascii="Times New Roman;Times;Serif" w:hAnsi="Times New Roman;Times;Serif"/>
          <w:b/>
          <w:sz w:val="20"/>
        </w:rPr>
        <w:t>.</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2021, the Issuer completed the closing of an underwritten offering (the “Offering”) of 28,572,000 shares of Common Stock. At the closing of the Offering, NEA 16 purchased an aggregate of 5,714,285 shares of Common Stock at the Offering price of $1.75 per share for an aggregate purchase price of $9,999,998.75. In addition, prior to the Offering, NEA 16 purchased an aggregate of 5,000,000 shares of Common Stock and 3,750,000 warrants to purchase Common Stock, exercisable immediately, at an exercise price of $5.00 per share with a five-year term for an aggregate purchase price of $20,000,000 in a private placement transaction. NEA 16 now holds a total of 10,714,285 shares of Common Stock (the “NEA 16 Stock”) and 3,750,000 warrants to purchase Common Stock (the “NEA 16 Warrants” and, together with the NEA 16 Stock, the “NEA 16 Shares”).</w:t>
      </w:r>
    </w:p>
    <w:p>
      <w:pPr>
        <w:pStyle w:val="TextBody"/>
        <w:ind w:left="0" w:right="0" w:firstLine="720"/>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of NEA 16 was the source of the funds for the purchase of the NEA 16 Shares. No part of the purchase price of the NEA 16 Shares was represented by funds or other consideration borrowed or otherwise obtained for the purpose of acquiring, holding, trading or voting the NEA 16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15 of 22 Pages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120" w:after="120"/>
        <w:jc w:val="left"/>
        <w:rPr>
          <w:rFonts w:ascii="Times New Roman;Times;Serif" w:hAnsi="Times New Roman;Times;Serif"/>
          <w:b/>
          <w:sz w:val="20"/>
        </w:rPr>
      </w:pPr>
      <w:r>
        <w:rPr>
          <w:rFonts w:ascii="Times New Roman;Times;Serif" w:hAnsi="Times New Roman;Times;Serif"/>
          <w:b/>
          <w:sz w:val="20"/>
        </w:rPr>
        <w:t>Item 4.  </w:t>
      </w:r>
      <w:r>
        <w:rPr>
          <w:rFonts w:ascii="Times New Roman;Times;Serif" w:hAnsi="Times New Roman;Times;Serif"/>
          <w:b/>
          <w:sz w:val="20"/>
          <w:u w:val="single"/>
        </w:rPr>
        <w:t>Purpose of Transaction</w:t>
      </w:r>
      <w:r>
        <w:rPr>
          <w:rFonts w:ascii="Times New Roman;Times;Serif" w:hAnsi="Times New Roman;Times;Serif"/>
          <w:b/>
          <w:sz w:val="20"/>
        </w:rPr>
        <w:t>.</w:t>
      </w:r>
    </w:p>
    <w:p>
      <w:pPr>
        <w:pStyle w:val="TextBody"/>
        <w:spacing w:before="0" w:after="0"/>
        <w:ind w:left="0" w:right="0" w:firstLine="600"/>
        <w:jc w:val="both"/>
        <w:rPr>
          <w:caps w:val="false"/>
          <w:smallCaps w:val="false"/>
        </w:rPr>
      </w:pPr>
      <w:r>
        <w:rPr>
          <w:caps w:val="false"/>
          <w:smallCaps w:val="false"/>
        </w:rPr>
        <w:t> </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acquired the NEA 16 Shares for investment purposes. Depending on market conditions, its continuing evaluation of the business and prospects of the Issuer and other factors, NEA 16 and other Reporting Persons may dispose of or acquire additional shares of the Issuer. Except as set forth above, none of the Reporting Persons has any present plans which relate to or would result in:</w:t>
      </w:r>
    </w:p>
    <w:p>
      <w:pPr>
        <w:pStyle w:val="TextBody"/>
        <w:jc w:val="both"/>
        <w:rPr>
          <w:caps w:val="false"/>
          <w:smallCaps w:val="false"/>
        </w:rPr>
      </w:pPr>
      <w:r>
        <w:rPr>
          <w:caps w:val="false"/>
          <w:smallCaps w:val="false"/>
        </w:rPr>
        <w:t> </w:t>
      </w:r>
    </w:p>
    <w:tbl>
      <w:tblPr>
        <w:tblW w:w="9303" w:type="dxa"/>
        <w:jc w:val="left"/>
        <w:tblInd w:w="0" w:type="dxa"/>
        <w:tblCellMar>
          <w:top w:w="0" w:type="dxa"/>
          <w:left w:w="0" w:type="dxa"/>
          <w:bottom w:w="0" w:type="dxa"/>
          <w:right w:w="0" w:type="dxa"/>
        </w:tblCellMar>
      </w:tblPr>
      <w:tblGrid>
        <w:gridCol w:w="38"/>
        <w:gridCol w:w="230"/>
        <w:gridCol w:w="903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03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acquisition by any person of additional securities of the Issuer, or the disposition of securities of the Issuer;</w:t>
            </w:r>
          </w:p>
        </w:tc>
      </w:tr>
    </w:tbl>
    <w:p>
      <w:pPr>
        <w:pStyle w:val="TextBody"/>
        <w:ind w:left="1080" w:right="0" w:hanging="10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9"/>
        <w:gridCol w:w="9928"/>
      </w:tblGrid>
      <w:tr>
        <w:trPr/>
        <w:tc>
          <w:tcPr>
            <w:tcW w:w="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2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 extraordinary corporate transaction, such as a merger, reorganization or liquidation, involving the Issuer or any of its subsidiaries;</w:t>
            </w:r>
          </w:p>
        </w:tc>
      </w:tr>
    </w:tbl>
    <w:p>
      <w:pPr>
        <w:pStyle w:val="TextBody"/>
        <w:ind w:left="1080" w:right="0" w:hanging="1080"/>
        <w:jc w:val="both"/>
        <w:rPr>
          <w:caps w:val="false"/>
          <w:smallCaps w:val="false"/>
        </w:rPr>
      </w:pPr>
      <w:r>
        <w:rPr>
          <w:caps w:val="false"/>
          <w:smallCaps w:val="false"/>
        </w:rPr>
        <w:t> </w:t>
      </w:r>
    </w:p>
    <w:tbl>
      <w:tblPr>
        <w:tblW w:w="7173" w:type="dxa"/>
        <w:jc w:val="left"/>
        <w:tblInd w:w="0" w:type="dxa"/>
        <w:tblCellMar>
          <w:top w:w="0" w:type="dxa"/>
          <w:left w:w="0" w:type="dxa"/>
          <w:bottom w:w="0" w:type="dxa"/>
          <w:right w:w="0" w:type="dxa"/>
        </w:tblCellMar>
      </w:tblPr>
      <w:tblGrid>
        <w:gridCol w:w="38"/>
        <w:gridCol w:w="230"/>
        <w:gridCol w:w="690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690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sale or transfer of a material amount of assets of the Issuer or any of its subsidiaries;</w:t>
            </w:r>
          </w:p>
        </w:tc>
      </w:tr>
    </w:tbl>
    <w:p>
      <w:pPr>
        <w:pStyle w:val="TextBody"/>
        <w:ind w:left="1080" w:right="0" w:hanging="10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1"/>
        <w:gridCol w:w="9946"/>
      </w:tblGrid>
      <w:tr>
        <w:trPr/>
        <w:tc>
          <w:tcPr>
            <w:tcW w:w="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4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change in the present board of directors or management of the Issuer, including any plans or proposals to change the number or term of directors or to fill any existing vacancies on the board;</w:t>
            </w:r>
          </w:p>
        </w:tc>
      </w:tr>
    </w:tbl>
    <w:p>
      <w:pPr>
        <w:pStyle w:val="TextBody"/>
        <w:ind w:left="1080" w:right="0" w:hanging="1080"/>
        <w:jc w:val="both"/>
        <w:rPr>
          <w:caps w:val="false"/>
          <w:smallCaps w:val="false"/>
        </w:rPr>
      </w:pPr>
      <w:r>
        <w:rPr>
          <w:caps w:val="false"/>
          <w:smallCaps w:val="false"/>
        </w:rPr>
        <w:t> </w:t>
      </w:r>
    </w:p>
    <w:tbl>
      <w:tblPr>
        <w:tblW w:w="6933" w:type="dxa"/>
        <w:jc w:val="left"/>
        <w:tblInd w:w="0" w:type="dxa"/>
        <w:tblCellMar>
          <w:top w:w="0" w:type="dxa"/>
          <w:left w:w="0" w:type="dxa"/>
          <w:bottom w:w="0" w:type="dxa"/>
          <w:right w:w="0" w:type="dxa"/>
        </w:tblCellMar>
      </w:tblPr>
      <w:tblGrid>
        <w:gridCol w:w="38"/>
        <w:gridCol w:w="230"/>
        <w:gridCol w:w="666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w:t>
            </w:r>
          </w:p>
        </w:tc>
        <w:tc>
          <w:tcPr>
            <w:tcW w:w="66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material change in the present capitalization or dividend policy of the Issuer;</w:t>
            </w:r>
          </w:p>
        </w:tc>
      </w:tr>
    </w:tbl>
    <w:p>
      <w:pPr>
        <w:pStyle w:val="TextBody"/>
        <w:ind w:left="1080" w:right="0" w:hanging="1080"/>
        <w:jc w:val="both"/>
        <w:rPr>
          <w:caps w:val="false"/>
          <w:smallCaps w:val="false"/>
        </w:rPr>
      </w:pPr>
      <w:r>
        <w:rPr>
          <w:caps w:val="false"/>
          <w:smallCaps w:val="false"/>
        </w:rPr>
        <w:t> </w:t>
      </w:r>
    </w:p>
    <w:tbl>
      <w:tblPr>
        <w:tblW w:w="6138" w:type="dxa"/>
        <w:jc w:val="left"/>
        <w:tblInd w:w="0" w:type="dxa"/>
        <w:tblCellMar>
          <w:top w:w="0" w:type="dxa"/>
          <w:left w:w="0" w:type="dxa"/>
          <w:bottom w:w="0" w:type="dxa"/>
          <w:right w:w="0" w:type="dxa"/>
        </w:tblCellMar>
      </w:tblPr>
      <w:tblGrid>
        <w:gridCol w:w="38"/>
        <w:gridCol w:w="200"/>
        <w:gridCol w:w="590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w:t>
            </w:r>
          </w:p>
        </w:tc>
        <w:tc>
          <w:tcPr>
            <w:tcW w:w="59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other material change in the Issuer’s business or corporate structure;</w:t>
            </w:r>
          </w:p>
        </w:tc>
      </w:tr>
    </w:tbl>
    <w:p>
      <w:pPr>
        <w:pStyle w:val="TextBody"/>
        <w:ind w:left="1080" w:right="0" w:hanging="10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7"/>
        <w:gridCol w:w="9940"/>
      </w:tblGrid>
      <w:tr>
        <w:trPr/>
        <w:tc>
          <w:tcPr>
            <w:tcW w:w="3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w:t>
            </w:r>
          </w:p>
        </w:tc>
        <w:tc>
          <w:tcPr>
            <w:tcW w:w="9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Changes in the Issuer’s charter, bylaws or instruments corresponding thereto or other actions which may impede the acquisition of control of the Issuer by any person;</w:t>
            </w:r>
          </w:p>
        </w:tc>
      </w:tr>
    </w:tbl>
    <w:p>
      <w:pPr>
        <w:pStyle w:val="TextBody"/>
        <w:ind w:left="1080" w:right="0" w:hanging="10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7"/>
        <w:gridCol w:w="9950"/>
      </w:tblGrid>
      <w:tr>
        <w:trPr/>
        <w:tc>
          <w:tcPr>
            <w:tcW w:w="3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w:t>
            </w:r>
          </w:p>
        </w:tc>
        <w:tc>
          <w:tcPr>
            <w:tcW w:w="99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Causing a class of securities of the Issuer to be delisted from a national securities exchange or to cease to be authorized to be quoted in an inter-dealer quotation system of a registered national securities association;</w:t>
            </w:r>
          </w:p>
        </w:tc>
      </w:tr>
    </w:tbl>
    <w:p>
      <w:pPr>
        <w:pStyle w:val="TextBody"/>
        <w:ind w:left="1080" w:right="0" w:hanging="10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8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 class of equity securities of the Issuer becoming eligible for termination of registration pursuant to Section 12(g)(4) of the Securities Exchange Act of 1934; or</w:t>
            </w:r>
          </w:p>
        </w:tc>
      </w:tr>
    </w:tbl>
    <w:p>
      <w:pPr>
        <w:pStyle w:val="TextBody"/>
        <w:ind w:left="1080" w:right="0" w:hanging="1080"/>
        <w:jc w:val="both"/>
        <w:rPr>
          <w:caps w:val="false"/>
          <w:smallCaps w:val="false"/>
        </w:rPr>
      </w:pPr>
      <w:r>
        <w:rPr>
          <w:caps w:val="false"/>
          <w:smallCaps w:val="false"/>
        </w:rPr>
        <w:t> </w:t>
      </w:r>
    </w:p>
    <w:tbl>
      <w:tblPr>
        <w:tblW w:w="4593" w:type="dxa"/>
        <w:jc w:val="left"/>
        <w:tblInd w:w="0" w:type="dxa"/>
        <w:tblCellMar>
          <w:top w:w="0" w:type="dxa"/>
          <w:left w:w="0" w:type="dxa"/>
          <w:bottom w:w="0" w:type="dxa"/>
          <w:right w:w="0" w:type="dxa"/>
        </w:tblCellMar>
      </w:tblPr>
      <w:tblGrid>
        <w:gridCol w:w="38"/>
        <w:gridCol w:w="200"/>
        <w:gridCol w:w="4355"/>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w:t>
            </w:r>
          </w:p>
        </w:tc>
        <w:tc>
          <w:tcPr>
            <w:tcW w:w="43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action similar to any of those enumerated above.</w:t>
            </w:r>
          </w:p>
        </w:tc>
      </w:tr>
    </w:tbl>
    <w:p>
      <w:pPr>
        <w:pStyle w:val="TextBody"/>
        <w:ind w:left="1440" w:right="0" w:hanging="1440"/>
        <w:rPr>
          <w:caps w:val="false"/>
          <w:smallCaps w:val="false"/>
        </w:rPr>
      </w:pPr>
      <w:r>
        <w:rPr>
          <w:caps w:val="false"/>
          <w:smallCaps w:val="false"/>
        </w:rPr>
        <w:t> </w:t>
      </w:r>
    </w:p>
    <w:p>
      <w:pPr>
        <w:pStyle w:val="TextBody"/>
        <w:spacing w:before="120" w:after="120"/>
        <w:ind w:left="0" w:right="0" w:firstLine="6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w:t>
      </w:r>
      <w:r>
        <w:rPr>
          <w:rFonts w:ascii="Times New Roman;Times;Serif" w:hAnsi="Times New Roman;Times;Serif"/>
          <w:b/>
          <w:i w:val="false"/>
          <w:caps w:val="false"/>
          <w:smallCaps w:val="false"/>
          <w:sz w:val="20"/>
          <w:u w:val="single"/>
        </w:rPr>
        <w:t>Interest in Securities of the Issuer</w:t>
      </w:r>
      <w:r>
        <w:rPr>
          <w:rFonts w:ascii="Times New Roman;Times;Serif" w:hAnsi="Times New Roman;Times;Serif"/>
          <w:b/>
          <w:i w:val="false"/>
          <w:caps w:val="false"/>
          <w:smallCaps w:val="false"/>
          <w:sz w:val="20"/>
        </w:rPr>
        <w:t>.</w:t>
      </w:r>
    </w:p>
    <w:tbl>
      <w:tblPr>
        <w:tblW w:w="10205" w:type="dxa"/>
        <w:jc w:val="left"/>
        <w:tblInd w:w="0" w:type="dxa"/>
        <w:tblCellMar>
          <w:top w:w="0" w:type="dxa"/>
          <w:left w:w="0" w:type="dxa"/>
          <w:bottom w:w="0" w:type="dxa"/>
          <w:right w:w="0" w:type="dxa"/>
        </w:tblCellMar>
      </w:tblPr>
      <w:tblGrid>
        <w:gridCol w:w="38"/>
        <w:gridCol w:w="188"/>
        <w:gridCol w:w="9979"/>
      </w:tblGrid>
      <w:tr>
        <w:trPr/>
        <w:tc>
          <w:tcPr>
            <w:tcW w:w="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7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is the record owner of the NEA 16 Shares. As the general partner of NEA 16, NEA Partners 16 may be deemed to own beneficially the NEA 16 Shares. As the sole general partner of NEA Partners 16, NEA 16 LLC may be deemed to own beneficially the NEA 16 Shares. As members of NEA 16 LLC, each of the Managers may be deemed to own beneficially the NEA 16 Shares.</w:t>
            </w:r>
          </w:p>
        </w:tc>
      </w:tr>
    </w:tbl>
    <w:p>
      <w:pPr>
        <w:pStyle w:val="TextBody"/>
        <w:ind w:left="1440" w:right="0" w:hanging="0"/>
        <w:jc w:val="both"/>
        <w:rPr>
          <w:caps w:val="false"/>
          <w:smallCaps w:val="false"/>
        </w:rPr>
      </w:pPr>
      <w:r>
        <w:rPr>
          <w:caps w:val="false"/>
          <w:smallCaps w:val="false"/>
        </w:rPr>
        <w:t> </w:t>
      </w:r>
    </w:p>
    <w:p>
      <w:pPr>
        <w:pStyle w:val="TextBody"/>
        <w:ind w:left="13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Reporting Person disclaims beneficial ownership of the NEA 16 Shares other than those shares which such person owns of record.</w:t>
      </w:r>
    </w:p>
    <w:p>
      <w:pPr>
        <w:pStyle w:val="TextBody"/>
        <w:ind w:left="1440" w:right="0" w:hanging="0"/>
        <w:jc w:val="both"/>
        <w:rPr>
          <w:caps w:val="false"/>
          <w:smallCaps w:val="false"/>
        </w:rPr>
      </w:pPr>
      <w:r>
        <w:rPr>
          <w:caps w:val="false"/>
          <w:smallCaps w:val="false"/>
        </w:rPr>
        <w:t> </w:t>
      </w:r>
    </w:p>
    <w:p>
      <w:pPr>
        <w:pStyle w:val="TextBody"/>
        <w:ind w:left="13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outstanding Common Stock of the Issuer which may be deemed to be beneficially owned by each Reporting Person is set forth on Line 13 of such Reporting Person’s cover sheet. Such percentage was calculated based on 83,053,072 shares of Common Stock which includes (i) 79,303,072 shares of Common Stock reported by the Issuer to be outstanding immediately after the Offering on the Issuer’s prospectus supplement filed under Rule 424(b)(5), filed with the Securities and Exchange Commission on March 15, 2021 and (ii) the NEA 16 Warrants.</w:t>
      </w:r>
    </w:p>
    <w:p>
      <w:pPr>
        <w:pStyle w:val="TextBody"/>
        <w:ind w:left="144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16 of 22 Pages    </w:t>
            </w:r>
          </w:p>
        </w:tc>
      </w:tr>
    </w:tbl>
    <w:p>
      <w:pPr>
        <w:pStyle w:val="TextBody"/>
        <w:spacing w:before="120" w:after="120"/>
        <w:rPr>
          <w:caps w:val="false"/>
          <w:smallCaps w:val="false"/>
        </w:rPr>
      </w:pPr>
      <w:r>
        <w:rPr>
          <w:caps w:val="false"/>
          <w:smallCaps w:val="false"/>
        </w:rPr>
        <w:t> </w:t>
      </w:r>
    </w:p>
    <w:tbl>
      <w:tblPr>
        <w:tblW w:w="5223" w:type="dxa"/>
        <w:jc w:val="left"/>
        <w:tblInd w:w="0" w:type="dxa"/>
        <w:tblCellMar>
          <w:top w:w="0" w:type="dxa"/>
          <w:left w:w="0" w:type="dxa"/>
          <w:bottom w:w="0" w:type="dxa"/>
          <w:right w:w="0" w:type="dxa"/>
        </w:tblCellMar>
      </w:tblPr>
      <w:tblGrid>
        <w:gridCol w:w="38"/>
        <w:gridCol w:w="245"/>
        <w:gridCol w:w="494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4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Regarding the number of shares as to which such person has:</w:t>
            </w:r>
          </w:p>
        </w:tc>
      </w:tr>
    </w:tbl>
    <w:p>
      <w:pPr>
        <w:pStyle w:val="TextBody"/>
        <w:ind w:left="1080" w:right="0" w:hanging="1080"/>
        <w:jc w:val="both"/>
        <w:rPr>
          <w:caps w:val="false"/>
          <w:smallCaps w:val="false"/>
        </w:rPr>
      </w:pPr>
      <w:r>
        <w:rPr>
          <w:caps w:val="false"/>
          <w:smallCaps w:val="false"/>
        </w:rPr>
        <w:t> </w:t>
      </w:r>
    </w:p>
    <w:tbl>
      <w:tblPr>
        <w:tblW w:w="5538" w:type="dxa"/>
        <w:jc w:val="left"/>
        <w:tblInd w:w="0" w:type="dxa"/>
        <w:tblCellMar>
          <w:top w:w="0" w:type="dxa"/>
          <w:left w:w="0" w:type="dxa"/>
          <w:bottom w:w="0" w:type="dxa"/>
          <w:right w:w="0" w:type="dxa"/>
        </w:tblCellMar>
      </w:tblPr>
      <w:tblGrid>
        <w:gridCol w:w="38"/>
        <w:gridCol w:w="200"/>
        <w:gridCol w:w="5300"/>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53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sole power to vote or to direct the vote: See line 7 of cover sheets</w:t>
            </w:r>
          </w:p>
        </w:tc>
      </w:tr>
    </w:tbl>
    <w:p>
      <w:pPr>
        <w:pStyle w:val="TextBody"/>
        <w:ind w:left="2160" w:right="0" w:hanging="720"/>
        <w:jc w:val="both"/>
        <w:rPr>
          <w:caps w:val="false"/>
          <w:smallCaps w:val="false"/>
        </w:rPr>
      </w:pPr>
      <w:r>
        <w:rPr>
          <w:caps w:val="false"/>
          <w:smallCaps w:val="false"/>
        </w:rPr>
        <w:t> </w:t>
      </w:r>
    </w:p>
    <w:tbl>
      <w:tblPr>
        <w:tblW w:w="5793" w:type="dxa"/>
        <w:jc w:val="left"/>
        <w:tblInd w:w="0" w:type="dxa"/>
        <w:tblCellMar>
          <w:top w:w="0" w:type="dxa"/>
          <w:left w:w="0" w:type="dxa"/>
          <w:bottom w:w="0" w:type="dxa"/>
          <w:right w:w="0" w:type="dxa"/>
        </w:tblCellMar>
      </w:tblPr>
      <w:tblGrid>
        <w:gridCol w:w="38"/>
        <w:gridCol w:w="260"/>
        <w:gridCol w:w="5495"/>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54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shared power to vote or to direct the vote: See line 8 of cover sheets</w:t>
            </w:r>
          </w:p>
        </w:tc>
      </w:tr>
    </w:tbl>
    <w:p>
      <w:pPr>
        <w:pStyle w:val="TextBody"/>
        <w:jc w:val="both"/>
        <w:rPr>
          <w:caps w:val="false"/>
          <w:smallCaps w:val="false"/>
        </w:rPr>
      </w:pPr>
      <w:r>
        <w:rPr>
          <w:caps w:val="false"/>
          <w:smallCaps w:val="false"/>
        </w:rPr>
        <w:t> </w:t>
      </w:r>
    </w:p>
    <w:tbl>
      <w:tblPr>
        <w:tblW w:w="6468" w:type="dxa"/>
        <w:jc w:val="left"/>
        <w:tblInd w:w="0" w:type="dxa"/>
        <w:tblCellMar>
          <w:top w:w="0" w:type="dxa"/>
          <w:left w:w="0" w:type="dxa"/>
          <w:bottom w:w="0" w:type="dxa"/>
          <w:right w:w="0" w:type="dxa"/>
        </w:tblCellMar>
      </w:tblPr>
      <w:tblGrid>
        <w:gridCol w:w="38"/>
        <w:gridCol w:w="320"/>
        <w:gridCol w:w="6110"/>
      </w:tblGrid>
      <w:tr>
        <w:trPr/>
        <w:tc>
          <w:tcPr>
            <w:tcW w:w="3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611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sole power to dispose or to direct the disposition: See line 9 of cover sheets</w:t>
            </w:r>
          </w:p>
        </w:tc>
      </w:tr>
    </w:tbl>
    <w:p>
      <w:pPr>
        <w:pStyle w:val="TextBody"/>
        <w:jc w:val="both"/>
        <w:rPr>
          <w:caps w:val="false"/>
          <w:smallCaps w:val="false"/>
        </w:rPr>
      </w:pPr>
      <w:r>
        <w:rPr>
          <w:caps w:val="false"/>
          <w:smallCaps w:val="false"/>
        </w:rPr>
        <w:t> </w:t>
      </w:r>
    </w:p>
    <w:tbl>
      <w:tblPr>
        <w:tblW w:w="6753" w:type="dxa"/>
        <w:jc w:val="left"/>
        <w:tblInd w:w="0" w:type="dxa"/>
        <w:tblCellMar>
          <w:top w:w="0" w:type="dxa"/>
          <w:left w:w="0" w:type="dxa"/>
          <w:bottom w:w="0" w:type="dxa"/>
          <w:right w:w="0" w:type="dxa"/>
        </w:tblCellMar>
      </w:tblPr>
      <w:tblGrid>
        <w:gridCol w:w="38"/>
        <w:gridCol w:w="305"/>
        <w:gridCol w:w="6410"/>
      </w:tblGrid>
      <w:tr>
        <w:trPr/>
        <w:tc>
          <w:tcPr>
            <w:tcW w:w="3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(iv)</w:t>
            </w:r>
          </w:p>
        </w:tc>
        <w:tc>
          <w:tcPr>
            <w:tcW w:w="641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shared power to dispose or to direct the disposition: See line 10 of cover sheets</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1"/>
        <w:gridCol w:w="9946"/>
      </w:tblGrid>
      <w:tr>
        <w:trPr/>
        <w:tc>
          <w:tcPr>
            <w:tcW w:w="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4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Except as set forth in Item 3 above, none of the Reporting Persons has effected any transaction in the Common Stock during the last 60 days.</w:t>
            </w:r>
          </w:p>
        </w:tc>
      </w:tr>
    </w:tbl>
    <w:p>
      <w:pPr>
        <w:pStyle w:val="TextBody"/>
        <w:ind w:left="1080" w:right="0" w:hanging="108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9"/>
        <w:gridCol w:w="9948"/>
      </w:tblGrid>
      <w:tr>
        <w:trPr/>
        <w:tc>
          <w:tcPr>
            <w:tcW w:w="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4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No other person is known to have the right to receive or the power to direct the receipt of dividends from, or any proceeds from the sale of, Common Stock beneficially owned by any of the Reporting Persons.</w:t>
            </w:r>
          </w:p>
        </w:tc>
      </w:tr>
    </w:tbl>
    <w:p>
      <w:pPr>
        <w:pStyle w:val="TextBody"/>
        <w:ind w:left="1440" w:right="0" w:hanging="1440"/>
        <w:jc w:val="both"/>
        <w:rPr>
          <w:caps w:val="false"/>
          <w:smallCaps w:val="false"/>
        </w:rPr>
      </w:pPr>
      <w:r>
        <w:rPr>
          <w:caps w:val="false"/>
          <w:smallCaps w:val="false"/>
        </w:rPr>
        <w:t> </w:t>
      </w:r>
    </w:p>
    <w:tbl>
      <w:tblPr>
        <w:tblW w:w="10068" w:type="dxa"/>
        <w:jc w:val="left"/>
        <w:tblInd w:w="0" w:type="dxa"/>
        <w:tblCellMar>
          <w:top w:w="0" w:type="dxa"/>
          <w:left w:w="0" w:type="dxa"/>
          <w:bottom w:w="0" w:type="dxa"/>
          <w:right w:w="0" w:type="dxa"/>
        </w:tblCellMar>
      </w:tblPr>
      <w:tblGrid>
        <w:gridCol w:w="38"/>
        <w:gridCol w:w="230"/>
        <w:gridCol w:w="980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w:t>
            </w:r>
          </w:p>
        </w:tc>
        <w:tc>
          <w:tcPr>
            <w:tcW w:w="98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Barris, Mott and Viswanathan has ceased to own beneficially five percent or more of the Issuer’s Common Stock.</w:t>
            </w:r>
          </w:p>
        </w:tc>
      </w:tr>
    </w:tbl>
    <w:p>
      <w:pPr>
        <w:pStyle w:val="TextBody"/>
        <w:ind w:left="1440" w:right="0" w:hanging="1440"/>
        <w:rPr>
          <w:caps w:val="false"/>
          <w:smallCaps w:val="false"/>
        </w:rPr>
      </w:pPr>
      <w:r>
        <w:rPr>
          <w:caps w:val="false"/>
          <w:smallCaps w:val="false"/>
        </w:rPr>
        <w:t> </w:t>
      </w:r>
    </w:p>
    <w:p>
      <w:pPr>
        <w:pStyle w:val="TextBody"/>
        <w:spacing w:before="240" w:after="12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w:t>
      </w:r>
      <w:r>
        <w:rPr>
          <w:rFonts w:ascii="Times New Roman;Times;Serif" w:hAnsi="Times New Roman;Times;Serif"/>
          <w:b/>
          <w:i w:val="false"/>
          <w:caps w:val="false"/>
          <w:smallCaps w:val="false"/>
          <w:sz w:val="20"/>
          <w:u w:val="single"/>
        </w:rPr>
        <w:t>Contracts, Arrangements, Understandings or Relationships with Respect to Securities of the Issuer</w:t>
      </w:r>
      <w:r>
        <w:rPr>
          <w:rFonts w:ascii="Times New Roman;Times;Serif" w:hAnsi="Times New Roman;Times;Serif"/>
          <w:b/>
          <w:i w:val="false"/>
          <w:caps w:val="false"/>
          <w:smallCaps w:val="false"/>
          <w:sz w:val="20"/>
        </w:rPr>
        <w:t>.</w:t>
      </w:r>
    </w:p>
    <w:p>
      <w:pPr>
        <w:pStyle w:val="TextBody"/>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600"/>
        <w:jc w:val="both"/>
        <w:rPr>
          <w:caps w:val="false"/>
          <w:smallCaps w:val="false"/>
        </w:rPr>
      </w:pPr>
      <w:r>
        <w:rPr>
          <w:caps w:val="false"/>
          <w:smallCaps w:val="false"/>
        </w:rPr>
        <w:t> </w:t>
      </w:r>
    </w:p>
    <w:p>
      <w:pPr>
        <w:pStyle w:val="TextBody"/>
        <w:spacing w:before="24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w:t>
      </w:r>
      <w:r>
        <w:rPr>
          <w:rFonts w:ascii="Times New Roman;Times;Serif" w:hAnsi="Times New Roman;Times;Serif"/>
          <w:b/>
          <w:i w:val="false"/>
          <w:caps w:val="false"/>
          <w:smallCaps w:val="false"/>
          <w:sz w:val="20"/>
          <w:u w:val="single"/>
        </w:rPr>
        <w:t>Material to Be Filed as Exhibits</w:t>
      </w:r>
      <w:r>
        <w:rPr>
          <w:rFonts w:ascii="Times New Roman;Times;Serif" w:hAnsi="Times New Roman;Times;Serif"/>
          <w:b/>
          <w:i w:val="false"/>
          <w:caps w:val="false"/>
          <w:smallCaps w:val="false"/>
          <w:sz w:val="20"/>
        </w:rPr>
        <w:t>.</w:t>
      </w:r>
    </w:p>
    <w:p>
      <w:pPr>
        <w:pStyle w:val="TextBody"/>
        <w:spacing w:before="120" w:after="12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 – Agreement regarding filing of joint Schedule 13D.</w:t>
      </w:r>
    </w:p>
    <w:p>
      <w:pPr>
        <w:pStyle w:val="TextBody"/>
        <w:spacing w:before="120" w:after="12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 – Power of Attorney regarding filings under the Securities Exchange Act of 1934, as amended.</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120" w:after="120"/>
        <w:jc w:val="left"/>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17 of 22 Pages    </w:t>
            </w:r>
          </w:p>
        </w:tc>
      </w:tr>
    </w:tbl>
    <w:p>
      <w:pPr>
        <w:pStyle w:val="TextBody"/>
        <w:spacing w:before="240" w:after="240"/>
        <w:ind w:left="240" w:right="24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its knowledge and belief, each of the undersigned certifies that the information set forth in this statement is true, complete and correct.</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this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2021.</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ENTERPRISE ASSOCIATES 16, L.P.</w:t>
      </w:r>
    </w:p>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6"/>
        <w:gridCol w:w="1318"/>
        <w:gridCol w:w="8731"/>
      </w:tblGrid>
      <w:tr>
        <w:trPr/>
        <w:tc>
          <w:tcPr>
            <w:tcW w:w="156"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8731" w:type="dxa"/>
            <w:tcBorders/>
            <w:shd w:fill="auto" w:val="clear"/>
            <w:vAlign w:val="center"/>
          </w:tcPr>
          <w:p>
            <w:pPr>
              <w:pStyle w:val="TableContents"/>
              <w:rPr>
                <w:rFonts w:ascii="Times New Roman;Times;Serif" w:hAnsi="Times New Roman;Times;Serif"/>
                <w:sz w:val="20"/>
              </w:rPr>
            </w:pPr>
            <w:r>
              <w:rPr>
                <w:rFonts w:ascii="Times New Roman;Times;Serif" w:hAnsi="Times New Roman;Times;Serif"/>
                <w:sz w:val="20"/>
              </w:rPr>
              <w:t>NEA PARTNERS 16, L.P.</w:t>
            </w:r>
          </w:p>
          <w:p>
            <w:pPr>
              <w:pStyle w:val="TableContents"/>
              <w:spacing w:before="0" w:after="283"/>
              <w:rPr>
                <w:rFonts w:ascii="Times New Roman;Times;Serif" w:hAnsi="Times New Roman;Times;Serif"/>
                <w:sz w:val="20"/>
              </w:rPr>
            </w:pPr>
            <w:r>
              <w:rPr>
                <w:rFonts w:ascii="Times New Roman;Times;Serif" w:hAnsi="Times New Roman;Times;Serif"/>
                <w:sz w:val="20"/>
              </w:rPr>
              <w:t>General Partner</w:t>
            </w:r>
          </w:p>
        </w:tc>
      </w:tr>
    </w:tbl>
    <w:p>
      <w:pPr>
        <w:pStyle w:val="TextBody"/>
        <w:ind w:left="720" w:right="0" w:hanging="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7"/>
        <w:gridCol w:w="8162"/>
      </w:tblGrid>
      <w:tr>
        <w:trPr/>
        <w:tc>
          <w:tcPr>
            <w:tcW w:w="216"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8162" w:type="dxa"/>
            <w:tcBorders/>
            <w:shd w:fill="auto" w:val="clear"/>
            <w:vAlign w:val="center"/>
          </w:tcPr>
          <w:p>
            <w:pPr>
              <w:pStyle w:val="TableContents"/>
              <w:rPr>
                <w:rFonts w:ascii="Times New Roman;Times;Serif" w:hAnsi="Times New Roman;Times;Serif"/>
                <w:sz w:val="20"/>
              </w:rPr>
            </w:pPr>
            <w:r>
              <w:rPr>
                <w:rFonts w:ascii="Times New Roman;Times;Serif" w:hAnsi="Times New Roman;Times;Serif"/>
                <w:sz w:val="20"/>
              </w:rPr>
              <w:t>NEA 16 GP, LLC</w:t>
            </w:r>
          </w:p>
          <w:p>
            <w:pPr>
              <w:pStyle w:val="TableContents"/>
              <w:spacing w:before="0" w:after="283"/>
              <w:rPr>
                <w:rFonts w:ascii="Times New Roman;Times;Serif" w:hAnsi="Times New Roman;Times;Serif"/>
                <w:sz w:val="20"/>
              </w:rPr>
            </w:pPr>
            <w:r>
              <w:rPr>
                <w:rFonts w:ascii="Times New Roman;Times;Serif" w:hAnsi="Times New Roman;Times;Serif"/>
                <w:sz w:val="20"/>
              </w:rPr>
              <w:t>General Partner</w:t>
            </w:r>
          </w:p>
        </w:tc>
      </w:tr>
    </w:tbl>
    <w:p>
      <w:pPr>
        <w:pStyle w:val="TextBody"/>
        <w:ind w:left="72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 xml:space="preserve">   By: </w:t>
      </w:r>
      <w:r>
        <w:rPr>
          <w:rFonts w:ascii="Times New Roman;Times;Serif" w:hAnsi="Times New Roman;Times;Serif"/>
          <w:b w:val="false"/>
          <w:i w:val="false"/>
          <w:caps w:val="false"/>
          <w:smallCaps w:val="false"/>
          <w:sz w:val="20"/>
          <w:u w:val="single"/>
        </w:rPr>
        <w:t>         *</w:t>
        <w:tab/>
        <w:t xml:space="preserve">                                </w:t>
      </w:r>
    </w:p>
    <w:p>
      <w:pPr>
        <w:pStyle w:val="TextBody"/>
        <w:spacing w:before="0" w:after="0"/>
        <w:ind w:left="1000" w:right="0" w:firstLine="1000"/>
        <w:rPr>
          <w:caps w:val="false"/>
          <w:smallCaps w:val="false"/>
        </w:rPr>
      </w:pPr>
      <w:r>
        <w:rPr>
          <w:caps w:val="false"/>
          <w:smallCaps w:val="false"/>
        </w:rPr>
        <w:t> </w:t>
      </w:r>
      <w:r>
        <w:rPr>
          <w:rFonts w:ascii="Times New Roman;Times;Serif" w:hAnsi="Times New Roman;Times;Serif"/>
          <w:b w:val="false"/>
          <w:i w:val="false"/>
          <w:caps w:val="false"/>
          <w:smallCaps w:val="false"/>
          <w:sz w:val="20"/>
        </w:rPr>
        <w:t>Scott D. Sandell</w:t>
      </w:r>
    </w:p>
    <w:p>
      <w:pPr>
        <w:pStyle w:val="TextBody"/>
        <w:spacing w:before="0" w:after="0"/>
        <w:ind w:left="1000" w:right="0" w:firstLine="1000"/>
        <w:rPr>
          <w:caps w:val="false"/>
          <w:smallCaps w:val="false"/>
        </w:rPr>
      </w:pPr>
      <w:r>
        <w:rPr>
          <w:caps w:val="false"/>
          <w:smallCaps w:val="false"/>
        </w:rPr>
        <w:t> </w:t>
      </w:r>
      <w:r>
        <w:rPr>
          <w:rFonts w:ascii="Times New Roman;Times;Serif" w:hAnsi="Times New Roman;Times;Serif"/>
          <w:b w:val="false"/>
          <w:i w:val="false"/>
          <w:caps w:val="false"/>
          <w:smallCaps w:val="false"/>
          <w:sz w:val="20"/>
        </w:rPr>
        <w:t>Chief Executive Officer </w:t>
      </w:r>
    </w:p>
    <w:p>
      <w:pPr>
        <w:pStyle w:val="TextBody"/>
        <w:spacing w:before="120" w:after="120"/>
        <w:ind w:left="120" w:right="120" w:hanging="0"/>
        <w:rPr>
          <w:caps w:val="false"/>
          <w:smallCaps w:val="false"/>
        </w:rPr>
      </w:pPr>
      <w:r>
        <w:rPr>
          <w:caps w:val="false"/>
          <w:smallCaps w:val="false"/>
        </w:rPr>
        <w:t> </w:t>
      </w:r>
    </w:p>
    <w:p>
      <w:pPr>
        <w:pStyle w:val="TextBody"/>
        <w:spacing w:before="120" w:after="120"/>
        <w:ind w:left="120" w:right="1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PARTNERS 16, L.P.</w:t>
      </w:r>
    </w:p>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7"/>
        <w:gridCol w:w="8162"/>
      </w:tblGrid>
      <w:tr>
        <w:trPr/>
        <w:tc>
          <w:tcPr>
            <w:tcW w:w="216"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816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NEA 16 GP, LLC</w:t>
              <w:br/>
              <w:t>General Partner</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120" w:after="120"/>
        <w:ind w:left="120" w:right="1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GP, LLC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18 of 22 Pages    </w:t>
            </w:r>
          </w:p>
        </w:tc>
      </w:tr>
    </w:tbl>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p>
      <w:pPr>
        <w:pStyle w:val="TextBody"/>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Makower</w:t>
      </w:r>
    </w:p>
    <w:p>
      <w:pPr>
        <w:pStyle w:val="TextBody"/>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 Sonsini</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Walker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0" w:right="0" w:firstLine="4954"/>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Sasha O. Keough</w:t>
        <w:tab/>
        <w:t>          </w:t>
      </w:r>
    </w:p>
    <w:p>
      <w:pPr>
        <w:pStyle w:val="TextBody"/>
        <w:ind w:left="0" w:right="0" w:firstLine="495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O. Keough</w:t>
      </w:r>
    </w:p>
    <w:p>
      <w:pPr>
        <w:pStyle w:val="TextBody"/>
        <w:ind w:left="0" w:right="0" w:firstLine="495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attorney-in-fact</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Schedule 13D was executed by Sasha O. Keough on behalf of the individuals listed above pursuant to a Power of Attorney a copy of which is attached as Exhibit 2.</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19 of 22 Pages    </w:t>
            </w:r>
          </w:p>
        </w:tc>
      </w:tr>
    </w:tbl>
    <w:p>
      <w:pPr>
        <w:pStyle w:val="TextBody"/>
        <w:jc w:val="right"/>
        <w:rPr>
          <w:caps w:val="false"/>
          <w:smallCaps w:val="false"/>
        </w:rPr>
      </w:pPr>
      <w:r>
        <w:rPr>
          <w:caps w:val="false"/>
          <w:smallCaps w:val="false"/>
        </w:rPr>
        <w:t> </w:t>
      </w:r>
    </w:p>
    <w:p>
      <w:pPr>
        <w:pStyle w:val="TextBody"/>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the undersigned hereby agree that only one statement containing the information required by Schedule 13D need be filed with respect to the ownership by each of the undersigned of shares of stock of Marker Therapeutics, Inc.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this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2021.</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ENTERPRISE ASSOCIATES 16, L.P.</w:t>
      </w:r>
    </w:p>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6"/>
        <w:gridCol w:w="1318"/>
        <w:gridCol w:w="8731"/>
      </w:tblGrid>
      <w:tr>
        <w:trPr/>
        <w:tc>
          <w:tcPr>
            <w:tcW w:w="156"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731"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PARTNERS 16, L.P.</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bl>
    <w:p>
      <w:pPr>
        <w:pStyle w:val="TextBody"/>
        <w:ind w:left="720" w:right="0" w:hanging="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7"/>
        <w:gridCol w:w="8162"/>
      </w:tblGrid>
      <w:tr>
        <w:trPr/>
        <w:tc>
          <w:tcPr>
            <w:tcW w:w="216"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162" w:type="dxa"/>
            <w:tcBorders/>
            <w:shd w:fill="auto" w:val="clear"/>
            <w:vAlign w:val="center"/>
          </w:tcPr>
          <w:p>
            <w:pPr>
              <w:pStyle w:val="TableContents"/>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GP, LLC</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bl>
    <w:p>
      <w:pPr>
        <w:pStyle w:val="TextBody"/>
        <w:ind w:left="720" w:right="0" w:hanging="720"/>
        <w:rPr>
          <w:caps w:val="false"/>
          <w:smallCaps w:val="false"/>
        </w:rPr>
      </w:pPr>
      <w:r>
        <w:rPr>
          <w:caps w:val="false"/>
          <w:smallCaps w:val="false"/>
        </w:rPr>
        <w:t>  </w:t>
      </w:r>
    </w:p>
    <w:p>
      <w:pPr>
        <w:pStyle w:val="TextBody"/>
        <w:ind w:left="14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 xml:space="preserve">   By: </w:t>
      </w:r>
      <w:r>
        <w:rPr>
          <w:rFonts w:ascii="Times New Roman;Times;Serif" w:hAnsi="Times New Roman;Times;Serif"/>
          <w:b w:val="false"/>
          <w:i w:val="false"/>
          <w:caps w:val="false"/>
          <w:smallCaps w:val="false"/>
          <w:sz w:val="20"/>
          <w:u w:val="single"/>
        </w:rPr>
        <w:t>         *</w:t>
        <w:tab/>
        <w:t xml:space="preserve">                                </w:t>
      </w:r>
    </w:p>
    <w:p>
      <w:pPr>
        <w:pStyle w:val="TextBody"/>
        <w:spacing w:before="0" w:after="0"/>
        <w:ind w:left="1000" w:right="0" w:firstLine="1000"/>
        <w:rPr>
          <w:caps w:val="false"/>
          <w:smallCaps w:val="false"/>
        </w:rPr>
      </w:pPr>
      <w:r>
        <w:rPr>
          <w:caps w:val="false"/>
          <w:smallCaps w:val="false"/>
        </w:rPr>
        <w:t> </w:t>
      </w:r>
      <w:r>
        <w:rPr>
          <w:rFonts w:ascii="Times New Roman;Times;Serif" w:hAnsi="Times New Roman;Times;Serif"/>
          <w:b w:val="false"/>
          <w:i w:val="false"/>
          <w:caps w:val="false"/>
          <w:smallCaps w:val="false"/>
          <w:sz w:val="20"/>
        </w:rPr>
        <w:t>Scott D. Sandell</w:t>
      </w:r>
    </w:p>
    <w:p>
      <w:pPr>
        <w:pStyle w:val="TextBody"/>
        <w:spacing w:before="0" w:after="0"/>
        <w:ind w:left="1000" w:right="0" w:firstLine="1000"/>
        <w:rPr>
          <w:caps w:val="false"/>
          <w:smallCaps w:val="false"/>
        </w:rPr>
      </w:pPr>
      <w:r>
        <w:rPr>
          <w:caps w:val="false"/>
          <w:smallCaps w:val="false"/>
        </w:rPr>
        <w:t> </w:t>
      </w:r>
      <w:r>
        <w:rPr>
          <w:rFonts w:ascii="Times New Roman;Times;Serif" w:hAnsi="Times New Roman;Times;Serif"/>
          <w:b w:val="false"/>
          <w:i w:val="false"/>
          <w:caps w:val="false"/>
          <w:smallCaps w:val="false"/>
          <w:sz w:val="20"/>
        </w:rPr>
        <w:t>Chief Executive Officer </w:t>
      </w:r>
    </w:p>
    <w:p>
      <w:pPr>
        <w:pStyle w:val="TextBody"/>
        <w:spacing w:before="120" w:after="120"/>
        <w:ind w:left="120" w:right="120" w:hanging="0"/>
        <w:rPr>
          <w:caps w:val="false"/>
          <w:smallCaps w:val="false"/>
        </w:rPr>
      </w:pPr>
      <w:r>
        <w:rPr>
          <w:caps w:val="false"/>
          <w:smallCaps w:val="false"/>
        </w:rPr>
        <w:t> </w:t>
      </w:r>
    </w:p>
    <w:p>
      <w:pPr>
        <w:pStyle w:val="TextBody"/>
        <w:spacing w:before="120" w:after="120"/>
        <w:ind w:left="120" w:right="1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PARTNERS 16, L.P.</w:t>
      </w:r>
    </w:p>
    <w:p>
      <w:pPr>
        <w:pStyle w:val="TextBody"/>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7"/>
        <w:gridCol w:w="8162"/>
      </w:tblGrid>
      <w:tr>
        <w:trPr/>
        <w:tc>
          <w:tcPr>
            <w:tcW w:w="216"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1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GP, LLC</w:t>
              <w:br/>
              <w:t>General Partner</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120" w:after="120"/>
        <w:ind w:left="120" w:right="1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 16 GP, LLC</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w:t>
        <w:tab/>
        <w:t xml:space="preserve">                                </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20 of 22 Pages    </w:t>
            </w:r>
          </w:p>
        </w:tc>
      </w:tr>
    </w:tbl>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p>
      <w:pPr>
        <w:pStyle w:val="TextBody"/>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Makower</w:t>
      </w:r>
    </w:p>
    <w:p>
      <w:pPr>
        <w:pStyle w:val="TextBody"/>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 Sonsini</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rPr>
      </w:pPr>
      <w:r>
        <w:rPr>
          <w:caps w:val="false"/>
          <w:smallCaps w:val="false"/>
        </w:rPr>
        <w:t> </w:t>
      </w:r>
    </w:p>
    <w:p>
      <w:pPr>
        <w:pStyle w:val="TextBody"/>
        <w:ind w:left="720" w:right="0" w:hanging="720"/>
        <w:rPr>
          <w:caps w:val="false"/>
          <w:smallCaps w:val="false"/>
          <w:u w:val="single"/>
        </w:rPr>
      </w:pPr>
      <w:r>
        <w:rPr>
          <w:caps w:val="false"/>
          <w:smallCaps w:val="false"/>
          <w:u w:val="single"/>
        </w:rPr>
        <w:t>                 </w:t>
      </w:r>
      <w:r>
        <w:rPr>
          <w:rFonts w:ascii="Times New Roman;Times;Serif" w:hAnsi="Times New Roman;Times;Serif"/>
          <w:b w:val="false"/>
          <w:i w:val="false"/>
          <w:caps w:val="false"/>
          <w:smallCaps w:val="false"/>
          <w:sz w:val="20"/>
          <w:u w:val="singl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Walker </w:t>
      </w:r>
    </w:p>
    <w:p>
      <w:pPr>
        <w:pStyle w:val="TextBody"/>
        <w:ind w:left="720" w:right="0" w:hanging="72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ind w:left="0" w:right="0" w:firstLine="4954"/>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Sasha O. Keough</w:t>
        <w:tab/>
        <w:t>          </w:t>
      </w:r>
    </w:p>
    <w:p>
      <w:pPr>
        <w:pStyle w:val="TextBody"/>
        <w:ind w:left="0" w:right="0" w:firstLine="495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O. Keough</w:t>
      </w:r>
    </w:p>
    <w:p>
      <w:pPr>
        <w:pStyle w:val="TextBody"/>
        <w:ind w:left="0" w:right="0" w:firstLine="495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attorney-in-fact</w:t>
      </w:r>
    </w:p>
    <w:p>
      <w:pPr>
        <w:pStyle w:val="TextBody"/>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relating to Schedule 13D was executed by Sasha O. Keough on behalf of the individuals listed above pursuant to a Power of Attorney a copy of which is attached hereto as Exhibit 2.</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21 of 22 Pages    </w:t>
            </w:r>
          </w:p>
        </w:tc>
      </w:tr>
    </w:tbl>
    <w:p>
      <w:pPr>
        <w:pStyle w:val="TextBody"/>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jc w:val="center"/>
        <w:rPr>
          <w:caps w:val="false"/>
          <w:smallCaps w:val="false"/>
        </w:rPr>
      </w:pPr>
      <w:r>
        <w:rPr>
          <w:caps w:val="false"/>
          <w:smallCaps w:val="false"/>
        </w:rPr>
        <w:t> </w:t>
      </w:r>
    </w:p>
    <w:p>
      <w:pPr>
        <w:pStyle w:val="TextBody"/>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pStyle w:val="TextBody"/>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Power of Attorney has been signed as of the 13th day of March, 2017.</w:t>
      </w:r>
    </w:p>
    <w:p>
      <w:pPr>
        <w:pStyle w:val="TextBody"/>
        <w:ind w:left="0" w:right="0" w:firstLine="720"/>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 James Barrett</w:t>
        <w:tab/>
        <w:t>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James Barrett</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Peter J. Barris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 Barris</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Forest Baskett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Forest Baskett</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Ali Behbahani                 </w:t>
      </w:r>
    </w:p>
    <w:p>
      <w:pPr>
        <w:pStyle w:val="TextBody"/>
        <w:ind w:left="360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Ali Behbahani</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Colin Bryant                   </w:t>
      </w:r>
    </w:p>
    <w:p>
      <w:pPr>
        <w:pStyle w:val="TextBody"/>
        <w:ind w:left="360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Colin Bryant</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Carmen Chang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Chang</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Anthony A. Florence, Jr.</w:t>
        <w:tab/>
      </w:r>
    </w:p>
    <w:p>
      <w:pPr>
        <w:pStyle w:val="TextBody"/>
        <w:ind w:left="360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A. Florence, Jr.</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Carol G. Gallagher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Carol G. Gallagher</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Dayna Grayson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Dayna Grayson</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Patrick J. Kerins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J. Kerins</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P. Justin Klein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Justin Klein</w:t>
      </w:r>
    </w:p>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4620" w:type="dxa"/>
        <w:jc w:val="left"/>
        <w:tblInd w:w="0" w:type="dxa"/>
        <w:tblCellMar>
          <w:top w:w="28" w:type="dxa"/>
          <w:left w:w="28" w:type="dxa"/>
          <w:bottom w:w="28" w:type="dxa"/>
          <w:right w:w="28" w:type="dxa"/>
        </w:tblCellMar>
      </w:tblPr>
      <w:tblGrid>
        <w:gridCol w:w="2060"/>
        <w:gridCol w:w="515"/>
        <w:gridCol w:w="2045"/>
      </w:tblGrid>
      <w:tr>
        <w:trPr/>
        <w:tc>
          <w:tcPr>
            <w:tcW w:w="206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w:t>
              <w:tab/>
              <w:t>57055L107</w:t>
            </w:r>
          </w:p>
        </w:tc>
        <w:tc>
          <w:tcPr>
            <w:tcW w:w="515" w:type="dxa"/>
            <w:tcBorders/>
            <w:shd w:fill="auto" w:val="clear"/>
            <w:tcMar>
              <w:top w:w="75" w:type="dxa"/>
              <w:left w:w="75" w:type="dxa"/>
              <w:bottom w:w="75" w:type="dxa"/>
              <w:right w:w="75" w:type="dxa"/>
            </w:tcMar>
            <w:vAlign w:val="center"/>
          </w:tcPr>
          <w:p>
            <w:pPr>
              <w:pStyle w:val="TableContents"/>
              <w:spacing w:before="0" w:after="283"/>
              <w:ind w:left="0" w:right="0" w:hanging="0"/>
              <w:jc w:val="center"/>
              <w:rPr>
                <w:rFonts w:ascii="Times New Roman;Times;Serif" w:hAnsi="Times New Roman;Times;Serif"/>
                <w:b/>
                <w:sz w:val="20"/>
              </w:rPr>
            </w:pPr>
            <w:r>
              <w:rPr>
                <w:rFonts w:ascii="Times New Roman;Times;Serif" w:hAnsi="Times New Roman;Times;Serif"/>
                <w:b/>
                <w:sz w:val="20"/>
              </w:rPr>
              <w:t>13D</w:t>
            </w:r>
          </w:p>
        </w:tc>
        <w:tc>
          <w:tcPr>
            <w:tcW w:w="20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Page 22 of 22 Pages    </w:t>
            </w:r>
          </w:p>
        </w:tc>
      </w:tr>
    </w:tbl>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Vanessa Larco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Vanessa Larco</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Joshua Makower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Makower</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Mohamad H. Makhzoumi</w:t>
        <w:tab/>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Mohamad H. Makhzoumi</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Edward T. Mathers</w:t>
        <w:tab/>
        <w:t>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T. Mathers</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David M. Mott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M. Mott</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Sara M. Nayeem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 M. Nayeem</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Jason R. Nunn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R. Nunn</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Gregory Papadopoulos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Papadopoulos</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Chetan Puttagunta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Chetan Puttagunta</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Jon Sakoda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Sakoda</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Scott D. Sandell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D. Sandell</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A. Brooke Seawell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Brooke Seawell</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Peter W. Sonsini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 Sonsini</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Melissa Taunton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Taunton</w:t>
      </w:r>
    </w:p>
    <w:p>
      <w:pPr>
        <w:pStyle w:val="TextBody"/>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Frank M. Torti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M. Torti</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Ravi Viswanathan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Ravi Viswanathan</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Paul E. Walker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E. Walker</w:t>
      </w:r>
    </w:p>
    <w:p>
      <w:pPr>
        <w:pStyle w:val="TextBody"/>
        <w:ind w:left="4320" w:right="0" w:hanging="0"/>
        <w:rPr>
          <w:caps w:val="false"/>
          <w:smallCaps w:val="false"/>
        </w:rPr>
      </w:pPr>
      <w:r>
        <w:rPr>
          <w:caps w:val="false"/>
          <w:smallCaps w:val="false"/>
        </w:rPr>
        <w:t> </w:t>
      </w:r>
    </w:p>
    <w:p>
      <w:pPr>
        <w:pStyle w:val="TextBody"/>
        <w:ind w:left="43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Rick Yang                      </w:t>
      </w:r>
    </w:p>
    <w:p>
      <w:pPr>
        <w:pStyle w:val="TextBody"/>
        <w:ind w:left="43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Yang</w:t>
      </w:r>
    </w:p>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spacing w:before="60" w:after="60"/>
        <w:ind w:left="60" w:right="60" w:hanging="0"/>
        <w:rPr>
          <w:bdr w:val="single" w:sz="16" w:space="1" w:color="000000"/>
        </w:rPr>
      </w:pPr>
      <w:r>
        <w:rPr>
          <w:bdr w:val="single" w:sz="16" w:space="1" w:color="000000"/>
        </w:rPr>
        <w:t> </w:t>
      </w:r>
    </w:p>
    <w:p>
      <w:pPr>
        <w:pStyle w:val="TextBody"/>
        <w:ind w:left="4320" w:right="0" w:hanging="0"/>
        <w:rPr>
          <w:caps w:val="false"/>
          <w:smallCaps w:val="false"/>
        </w:rPr>
      </w:pPr>
      <w:r>
        <w:rPr>
          <w:caps w:val="false"/>
          <w:smallCaps w:val="false"/>
        </w:rPr>
        <w:t> </w:t>
      </w:r>
    </w:p>
    <w:p>
      <w:pPr>
        <w:pStyle w:val="TextBody"/>
        <w:ind w:left="4320" w:right="0" w:hanging="0"/>
        <w:rPr>
          <w:caps w:val="false"/>
          <w:smallCaps w:val="false"/>
        </w:rPr>
      </w:pPr>
      <w:r>
        <w:rPr>
          <w:caps w:val="false"/>
          <w:smallCaps w:val="false"/>
        </w:rPr>
        <w:t> </w:t>
      </w:r>
    </w:p>
    <w:p>
      <w:pPr>
        <w:pStyle w:val="TextBody"/>
        <w:spacing w:before="0" w:after="283"/>
        <w:ind w:left="432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4476</Words>
  <CharactersWithSpaces>28720</CharactersWithSpaces>
  <Paragraphs>1896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13D</dc:title>
</cp:coreProperties>
</file>