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190500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1, 2020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5"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60" w:type="dxa"/>
            <w:vAlign w:val="bottom"/>
            <w:gridSpan w:val="3"/>
          </w:tcPr>
          <w:p>
            <w:pPr>
              <w:jc w:val="right"/>
              <w:ind w:right="1720"/>
              <w:spacing w:after="0"/>
              <w:rPr>
                <w:sz w:val="20"/>
                <w:szCs w:val="20"/>
                <w:color w:val="auto"/>
              </w:rPr>
            </w:pPr>
            <w:r>
              <w:rPr>
                <w:rFonts w:ascii="Arial" w:cs="Arial" w:eastAsia="Arial" w:hAnsi="Arial"/>
                <w:sz w:val="18"/>
                <w:szCs w:val="18"/>
                <w:b w:val="1"/>
                <w:bCs w:val="1"/>
                <w:color w:val="auto"/>
              </w:rPr>
              <w:t>001-37939</w:t>
            </w:r>
          </w:p>
        </w:tc>
        <w:tc>
          <w:tcPr>
            <w:tcW w:w="28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2"/>
        </w:trPr>
        <w:tc>
          <w:tcPr>
            <w:tcW w:w="3280" w:type="dxa"/>
            <w:vAlign w:val="bottom"/>
            <w:gridSpan w:val="5"/>
          </w:tcPr>
          <w:p>
            <w:pPr>
              <w:jc w:val="center"/>
              <w:ind w:right="160"/>
              <w:spacing w:after="0"/>
              <w:rPr>
                <w:sz w:val="20"/>
                <w:szCs w:val="20"/>
                <w:color w:val="auto"/>
              </w:rPr>
            </w:pPr>
            <w:r>
              <w:rPr>
                <w:rFonts w:ascii="Arial" w:cs="Arial" w:eastAsia="Arial" w:hAnsi="Arial"/>
                <w:sz w:val="18"/>
                <w:szCs w:val="18"/>
                <w:color w:val="auto"/>
                <w:w w:val="91"/>
              </w:rPr>
              <w:t>(State or other jurisdiction of incorporation)</w:t>
            </w:r>
          </w:p>
        </w:tc>
        <w:tc>
          <w:tcPr>
            <w:tcW w:w="416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(Commission File Number)</w:t>
            </w:r>
          </w:p>
        </w:tc>
        <w:tc>
          <w:tcPr>
            <w:tcW w:w="2820" w:type="dxa"/>
            <w:vAlign w:val="bottom"/>
            <w:gridSpan w:val="5"/>
          </w:tcPr>
          <w:p>
            <w:pPr>
              <w:jc w:val="center"/>
              <w:ind w:left="271"/>
              <w:spacing w:after="0"/>
              <w:rPr>
                <w:sz w:val="20"/>
                <w:szCs w:val="20"/>
                <w:color w:val="auto"/>
              </w:rPr>
            </w:pPr>
            <w:r>
              <w:rPr>
                <w:rFonts w:ascii="Arial" w:cs="Arial" w:eastAsia="Arial" w:hAnsi="Arial"/>
                <w:sz w:val="18"/>
                <w:szCs w:val="18"/>
                <w:color w:val="auto"/>
                <w:w w:val="93"/>
              </w:rPr>
              <w:t>(IRS Employer Identification No.)</w:t>
            </w:r>
          </w:p>
        </w:tc>
      </w:tr>
      <w:tr>
        <w:trPr>
          <w:trHeight w:val="410"/>
        </w:trPr>
        <w:tc>
          <w:tcPr>
            <w:tcW w:w="32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3"/>
        </w:trPr>
        <w:tc>
          <w:tcPr>
            <w:tcW w:w="98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2"/>
        </w:trPr>
        <w:tc>
          <w:tcPr>
            <w:tcW w:w="98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2" w:lineRule="exact"/>
              <w:rPr>
                <w:sz w:val="20"/>
                <w:szCs w:val="20"/>
                <w:color w:val="auto"/>
              </w:rPr>
            </w:pPr>
            <w:r>
              <w:rPr>
                <w:rFonts w:ascii="Arial" w:cs="Arial" w:eastAsia="Arial" w:hAnsi="Arial"/>
                <w:sz w:val="18"/>
                <w:szCs w:val="18"/>
                <w:b w:val="1"/>
                <w:bCs w:val="1"/>
                <w:color w:val="auto"/>
                <w:w w:val="86"/>
              </w:rPr>
              <w:t>Houston, Texas</w:t>
            </w:r>
          </w:p>
        </w:tc>
        <w:tc>
          <w:tcPr>
            <w:tcW w:w="1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20" w:type="dxa"/>
            <w:vAlign w:val="bottom"/>
            <w:gridSpan w:val="4"/>
          </w:tcPr>
          <w:p>
            <w:pPr>
              <w:jc w:val="right"/>
              <w:ind w:right="200"/>
              <w:spacing w:after="0" w:line="185"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28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19"/>
        </w:trPr>
        <w:tc>
          <w:tcPr>
            <w:tcW w:w="3280" w:type="dxa"/>
            <w:vAlign w:val="bottom"/>
            <w:gridSpan w:val="5"/>
          </w:tcPr>
          <w:p>
            <w:pPr>
              <w:jc w:val="center"/>
              <w:ind w:right="140"/>
              <w:spacing w:after="0"/>
              <w:rPr>
                <w:sz w:val="20"/>
                <w:szCs w:val="20"/>
                <w:color w:val="auto"/>
              </w:rPr>
            </w:pPr>
            <w:r>
              <w:rPr>
                <w:rFonts w:ascii="Arial" w:cs="Arial" w:eastAsia="Arial" w:hAnsi="Arial"/>
                <w:sz w:val="18"/>
                <w:szCs w:val="18"/>
                <w:color w:val="auto"/>
                <w:w w:val="91"/>
              </w:rPr>
              <w:t>(Address of principal executive offices)</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4"/>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60" w:type="dxa"/>
            <w:vAlign w:val="bottom"/>
            <w:gridSpan w:val="3"/>
          </w:tcPr>
          <w:p>
            <w:pPr>
              <w:jc w:val="right"/>
              <w:ind w:right="1620"/>
              <w:spacing w:after="0"/>
              <w:rPr>
                <w:sz w:val="20"/>
                <w:szCs w:val="20"/>
                <w:color w:val="auto"/>
              </w:rPr>
            </w:pPr>
            <w:r>
              <w:rPr>
                <w:rFonts w:ascii="Arial" w:cs="Arial" w:eastAsia="Arial" w:hAnsi="Arial"/>
                <w:sz w:val="18"/>
                <w:szCs w:val="18"/>
                <w:b w:val="1"/>
                <w:bCs w:val="1"/>
                <w:color w:val="auto"/>
              </w:rPr>
              <w:t>(713) 400-6400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Registrant’s telephone number, including area code</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7" w:lineRule="exact"/>
        <w:rPr>
          <w:sz w:val="24"/>
          <w:szCs w:val="24"/>
          <w:color w:val="auto"/>
        </w:rPr>
      </w:pPr>
    </w:p>
    <w:p>
      <w:pPr>
        <w:ind w:right="500"/>
        <w:spacing w:after="0" w:line="270"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5" w:lineRule="exact"/>
        <w:rPr>
          <w:sz w:val="24"/>
          <w:szCs w:val="24"/>
          <w:color w:val="auto"/>
        </w:rPr>
      </w:pPr>
    </w:p>
    <w:p>
      <w:pPr>
        <w:ind w:left="1240" w:hanging="1233"/>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 w:lineRule="exact"/>
        <w:rPr>
          <w:rFonts w:ascii="MS PGothic" w:cs="MS PGothic" w:eastAsia="MS PGothic" w:hAnsi="MS PGothic"/>
          <w:sz w:val="18"/>
          <w:szCs w:val="18"/>
          <w:color w:val="auto"/>
        </w:rPr>
      </w:pPr>
    </w:p>
    <w:p>
      <w:pPr>
        <w:ind w:left="1240" w:hanging="1233"/>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 w:lineRule="exact"/>
        <w:rPr>
          <w:rFonts w:ascii="MS PGothic" w:cs="MS PGothic" w:eastAsia="MS PGothic" w:hAnsi="MS PGothic"/>
          <w:sz w:val="18"/>
          <w:szCs w:val="18"/>
          <w:color w:val="auto"/>
        </w:rPr>
      </w:pPr>
    </w:p>
    <w:p>
      <w:pPr>
        <w:ind w:left="1240" w:hanging="1233"/>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 w:lineRule="exact"/>
        <w:rPr>
          <w:rFonts w:ascii="MS PGothic" w:cs="MS PGothic" w:eastAsia="MS PGothic" w:hAnsi="MS PGothic"/>
          <w:sz w:val="18"/>
          <w:szCs w:val="18"/>
          <w:color w:val="auto"/>
        </w:rPr>
      </w:pPr>
    </w:p>
    <w:p>
      <w:pPr>
        <w:ind w:left="1240" w:hanging="1233"/>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462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6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414"/>
        </w:trPr>
        <w:tc>
          <w:tcPr>
            <w:tcW w:w="4620" w:type="dxa"/>
            <w:vAlign w:val="bottom"/>
          </w:tcPr>
          <w:p>
            <w:pPr>
              <w:spacing w:after="0"/>
              <w:rPr>
                <w:sz w:val="24"/>
                <w:szCs w:val="24"/>
                <w:color w:val="auto"/>
              </w:rPr>
            </w:pPr>
          </w:p>
        </w:tc>
        <w:tc>
          <w:tcPr>
            <w:tcW w:w="1960" w:type="dxa"/>
            <w:vAlign w:val="bottom"/>
          </w:tcPr>
          <w:p>
            <w:pPr>
              <w:jc w:val="center"/>
              <w:ind w:right="71"/>
              <w:spacing w:after="0"/>
              <w:rPr>
                <w:sz w:val="20"/>
                <w:szCs w:val="20"/>
                <w:color w:val="auto"/>
              </w:rPr>
            </w:pPr>
            <w:r>
              <w:rPr>
                <w:rFonts w:ascii="Arial" w:cs="Arial" w:eastAsia="Arial" w:hAnsi="Arial"/>
                <w:sz w:val="18"/>
                <w:szCs w:val="18"/>
                <w:color w:val="auto"/>
                <w:w w:val="91"/>
              </w:rPr>
              <w:t>Trading</w:t>
            </w:r>
          </w:p>
        </w:tc>
        <w:tc>
          <w:tcPr>
            <w:tcW w:w="4660" w:type="dxa"/>
            <w:vAlign w:val="bottom"/>
          </w:tcPr>
          <w:p>
            <w:pPr>
              <w:spacing w:after="0"/>
              <w:rPr>
                <w:sz w:val="24"/>
                <w:szCs w:val="24"/>
                <w:color w:val="auto"/>
              </w:rPr>
            </w:pPr>
          </w:p>
        </w:tc>
      </w:tr>
      <w:tr>
        <w:trPr>
          <w:trHeight w:val="227"/>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9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1"/>
              </w:rPr>
              <w:t>Symbol(s)</w:t>
            </w:r>
          </w:p>
        </w:tc>
        <w:tc>
          <w:tcPr>
            <w:tcW w:w="46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8"/>
              </w:rPr>
              <w:t>Name of each exchange on which registered</w:t>
            </w:r>
          </w:p>
        </w:tc>
      </w:tr>
      <w:tr>
        <w:trPr>
          <w:trHeight w:val="220"/>
        </w:trPr>
        <w:tc>
          <w:tcPr>
            <w:tcW w:w="4620" w:type="dxa"/>
            <w:vAlign w:val="bottom"/>
          </w:tcPr>
          <w:p>
            <w:pPr>
              <w:jc w:val="center"/>
              <w:spacing w:after="0"/>
              <w:rPr>
                <w:sz w:val="20"/>
                <w:szCs w:val="20"/>
                <w:color w:val="auto"/>
              </w:rPr>
            </w:pPr>
            <w:r>
              <w:rPr>
                <w:rFonts w:ascii="Arial" w:cs="Arial" w:eastAsia="Arial" w:hAnsi="Arial"/>
                <w:sz w:val="18"/>
                <w:szCs w:val="18"/>
                <w:color w:val="auto"/>
                <w:w w:val="88"/>
              </w:rPr>
              <w:t>Common Stock, par value $0.001 per share</w:t>
            </w:r>
          </w:p>
        </w:tc>
        <w:tc>
          <w:tcPr>
            <w:tcW w:w="1960" w:type="dxa"/>
            <w:vAlign w:val="bottom"/>
          </w:tcPr>
          <w:p>
            <w:pPr>
              <w:jc w:val="center"/>
              <w:ind w:right="71"/>
              <w:spacing w:after="0"/>
              <w:rPr>
                <w:sz w:val="20"/>
                <w:szCs w:val="20"/>
                <w:color w:val="auto"/>
              </w:rPr>
            </w:pPr>
            <w:r>
              <w:rPr>
                <w:rFonts w:ascii="Arial" w:cs="Arial" w:eastAsia="Arial" w:hAnsi="Arial"/>
                <w:sz w:val="18"/>
                <w:szCs w:val="18"/>
                <w:color w:val="auto"/>
                <w:w w:val="98"/>
              </w:rPr>
              <w:t>MRKR</w:t>
            </w:r>
          </w:p>
        </w:tc>
        <w:tc>
          <w:tcPr>
            <w:tcW w:w="4660" w:type="dxa"/>
            <w:vAlign w:val="bottom"/>
          </w:tcPr>
          <w:p>
            <w:pPr>
              <w:jc w:val="center"/>
              <w:ind w:right="91"/>
              <w:spacing w:after="0"/>
              <w:rPr>
                <w:sz w:val="20"/>
                <w:szCs w:val="20"/>
                <w:color w:val="auto"/>
              </w:rPr>
            </w:pPr>
            <w:r>
              <w:rPr>
                <w:rFonts w:ascii="Arial" w:cs="Arial" w:eastAsia="Arial" w:hAnsi="Arial"/>
                <w:sz w:val="18"/>
                <w:szCs w:val="18"/>
                <w:color w:val="auto"/>
                <w:w w:val="91"/>
              </w:rPr>
              <w:t>The Nasdaq Stock Market LLC</w:t>
            </w:r>
          </w:p>
        </w:tc>
      </w:tr>
    </w:tbl>
    <w:p>
      <w:pPr>
        <w:spacing w:after="0" w:line="186" w:lineRule="exact"/>
        <w:rPr>
          <w:sz w:val="24"/>
          <w:szCs w:val="24"/>
          <w:color w:val="auto"/>
        </w:rPr>
      </w:pPr>
    </w:p>
    <w:p>
      <w:pPr>
        <w:jc w:val="both"/>
        <w:ind w:right="2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ind w:left="91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76" w:lineRule="exact"/>
        <w:rPr>
          <w:sz w:val="24"/>
          <w:szCs w:val="24"/>
          <w:color w:val="auto"/>
        </w:rPr>
      </w:pPr>
    </w:p>
    <w:p>
      <w:pPr>
        <w:ind w:right="10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141605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454660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24" w:lineRule="exact"/>
        <w:rPr>
          <w:sz w:val="20"/>
          <w:szCs w:val="20"/>
          <w:color w:val="auto"/>
        </w:rPr>
      </w:pPr>
    </w:p>
    <w:p>
      <w:pPr>
        <w:ind w:right="100" w:firstLine="640"/>
        <w:spacing w:after="0" w:line="271" w:lineRule="auto"/>
        <w:rPr>
          <w:sz w:val="20"/>
          <w:szCs w:val="20"/>
          <w:color w:val="auto"/>
        </w:rPr>
      </w:pPr>
      <w:r>
        <w:rPr>
          <w:rFonts w:ascii="Arial" w:cs="Arial" w:eastAsia="Arial" w:hAnsi="Arial"/>
          <w:sz w:val="17"/>
          <w:szCs w:val="17"/>
          <w:color w:val="auto"/>
        </w:rPr>
        <w:t>On June 1, 2020, Marker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hosted a live webcast featuring Brandon G. Smaglo, M.D., FACP, lead investigator and Associate Professor, Department of Gastrointestinal Medical Oncology, Division of Cancer Medicine at The University of Texas MD Anderson Cancer Center, Houston, Texas, and the Company’s senior management to discuss interim results from an investigator-sponsored clinical trial led by Baylor College of Medicine evaluating the Company’s MultiTAA therapy for the treatment of patients with pancreatic adenocarcinoma. A copy of the slides presented during the webcast is furnished herewith as Exhibit 99.1 and is incorporated herein by reference.</w:t>
      </w:r>
    </w:p>
    <w:p>
      <w:pPr>
        <w:spacing w:after="0" w:line="177" w:lineRule="exact"/>
        <w:rPr>
          <w:sz w:val="20"/>
          <w:szCs w:val="20"/>
          <w:color w:val="auto"/>
        </w:rPr>
      </w:pPr>
    </w:p>
    <w:p>
      <w:pPr>
        <w:ind w:right="20" w:firstLine="640"/>
        <w:spacing w:after="0" w:line="253"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80" w:type="dxa"/>
            <w:vAlign w:val="bottom"/>
          </w:tcPr>
          <w:p>
            <w:pPr>
              <w:spacing w:after="0"/>
              <w:rPr>
                <w:sz w:val="19"/>
                <w:szCs w:val="19"/>
                <w:color w:val="auto"/>
              </w:rPr>
            </w:pPr>
          </w:p>
        </w:tc>
      </w:tr>
      <w:tr>
        <w:trPr>
          <w:trHeight w:val="388"/>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300" w:type="dxa"/>
            <w:vAlign w:val="bottom"/>
          </w:tcPr>
          <w:p>
            <w:pPr>
              <w:spacing w:after="0"/>
              <w:rPr>
                <w:sz w:val="24"/>
                <w:szCs w:val="24"/>
                <w:color w:val="auto"/>
              </w:rPr>
            </w:pPr>
          </w:p>
        </w:tc>
        <w:tc>
          <w:tcPr>
            <w:tcW w:w="1006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r>
        <w:trPr>
          <w:trHeight w:val="232"/>
        </w:trPr>
        <w:tc>
          <w:tcPr>
            <w:tcW w:w="8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300" w:type="dxa"/>
            <w:vAlign w:val="bottom"/>
          </w:tcPr>
          <w:p>
            <w:pPr>
              <w:spacing w:after="0"/>
              <w:rPr>
                <w:sz w:val="20"/>
                <w:szCs w:val="20"/>
                <w:color w:val="auto"/>
              </w:rPr>
            </w:pPr>
          </w:p>
        </w:tc>
        <w:tc>
          <w:tcPr>
            <w:tcW w:w="10060" w:type="dxa"/>
            <w:vAlign w:val="bottom"/>
            <w:gridSpan w:val="3"/>
          </w:tcPr>
          <w:p>
            <w:pPr>
              <w:ind w:left="3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Company presentation, dated June 1, 2020</w:t>
              </w:r>
            </w:hyperlink>
          </w:p>
        </w:tc>
      </w:tr>
      <w:tr>
        <w:trPr>
          <w:trHeight w:val="669"/>
        </w:trPr>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Arial" w:cs="Arial" w:eastAsia="Arial" w:hAnsi="Arial"/>
                <w:sz w:val="18"/>
                <w:szCs w:val="18"/>
                <w:b w:val="1"/>
                <w:bCs w:val="1"/>
                <w:color w:val="auto"/>
              </w:rPr>
              <w:t>Marker Therapeutics, Inc.</w:t>
            </w:r>
          </w:p>
        </w:tc>
      </w:tr>
      <w:tr>
        <w:trPr>
          <w:trHeight w:val="428"/>
        </w:trPr>
        <w:tc>
          <w:tcPr>
            <w:tcW w:w="3560" w:type="dxa"/>
            <w:vAlign w:val="bottom"/>
          </w:tcPr>
          <w:p>
            <w:pPr>
              <w:ind w:left="60"/>
              <w:spacing w:after="0"/>
              <w:rPr>
                <w:sz w:val="20"/>
                <w:szCs w:val="20"/>
                <w:color w:val="auto"/>
              </w:rPr>
            </w:pPr>
            <w:r>
              <w:rPr>
                <w:rFonts w:ascii="Arial" w:cs="Arial" w:eastAsia="Arial" w:hAnsi="Arial"/>
                <w:sz w:val="18"/>
                <w:szCs w:val="18"/>
                <w:color w:val="auto"/>
              </w:rPr>
              <w:t>Dated: June 1, 2020</w:t>
            </w:r>
          </w:p>
        </w:tc>
        <w:tc>
          <w:tcPr>
            <w:tcW w:w="2480" w:type="dxa"/>
            <w:vAlign w:val="bottom"/>
          </w:tcPr>
          <w:p>
            <w:pPr>
              <w:ind w:left="210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Anthony Kim</w:t>
            </w:r>
          </w:p>
        </w:tc>
      </w:tr>
      <w:tr>
        <w:trPr>
          <w:trHeight w:val="193"/>
        </w:trPr>
        <w:tc>
          <w:tcPr>
            <w:tcW w:w="35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00" w:type="dxa"/>
            <w:vAlign w:val="bottom"/>
          </w:tcPr>
          <w:p>
            <w:pPr>
              <w:ind w:left="220"/>
              <w:spacing w:after="0" w:line="193" w:lineRule="exact"/>
              <w:rPr>
                <w:sz w:val="20"/>
                <w:szCs w:val="20"/>
                <w:color w:val="auto"/>
              </w:rPr>
            </w:pPr>
            <w:r>
              <w:rPr>
                <w:rFonts w:ascii="Arial" w:cs="Arial" w:eastAsia="Arial" w:hAnsi="Arial"/>
                <w:sz w:val="18"/>
                <w:szCs w:val="18"/>
                <w:color w:val="auto"/>
              </w:rPr>
              <w:t>Anthony Kim</w:t>
            </w:r>
          </w:p>
        </w:tc>
      </w:tr>
      <w:tr>
        <w:trPr>
          <w:trHeight w:val="226"/>
        </w:trPr>
        <w:tc>
          <w:tcPr>
            <w:tcW w:w="3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w:t>
            </w:r>
          </w:p>
        </w:tc>
      </w:tr>
      <w:tr>
        <w:trPr>
          <w:trHeight w:val="669"/>
        </w:trPr>
        <w:tc>
          <w:tcPr>
            <w:tcW w:w="35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3" w:name="page4"/>
    <w:bookmarkEnd w:id="3"/>
    <w:p>
      <w:pPr>
        <w:ind w:left="90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40005</wp:posOffset>
            </wp:positionV>
            <wp:extent cx="7196455" cy="4354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453390</wp:posOffset>
            </wp:positionV>
            <wp:extent cx="7196455" cy="4363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71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63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2020-06-01T08:24:34Z</dcterms:created>
  <dcterms:modified xsi:type="dcterms:W3CDTF">2020-06-01T08:24:34Z</dcterms:modified>
</cp:coreProperties>
</file>