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May 7, 2014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TAPIMMUNE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17" w:lineRule="exact"/>
        <w:rPr>
          <w:sz w:val="24"/>
          <w:szCs w:val="24"/>
          <w:color w:val="auto"/>
        </w:rPr>
      </w:pPr>
    </w:p>
    <w:tbl>
      <w:tblPr>
        <w:tblLayout w:type="fixed"/>
        <w:tblInd w:w="280" w:type="dxa"/>
        <w:tblCellMar>
          <w:top w:w="0" w:type="dxa"/>
          <w:left w:w="0" w:type="dxa"/>
          <w:bottom w:w="0" w:type="dxa"/>
          <w:right w:w="0" w:type="dxa"/>
        </w:tblCellMar>
      </w:tblPr>
      <w:tr>
        <w:trPr>
          <w:trHeight w:val="195"/>
        </w:trPr>
        <w:tc>
          <w:tcPr>
            <w:tcW w:w="15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92"/>
              </w:rPr>
              <w:t>Nevada</w:t>
            </w:r>
          </w:p>
        </w:tc>
        <w:tc>
          <w:tcPr>
            <w:tcW w:w="1960" w:type="dxa"/>
            <w:vAlign w:val="bottom"/>
            <w:gridSpan w:val="2"/>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0"/>
              </w:rPr>
              <w:t>000-27239</w:t>
            </w:r>
          </w:p>
        </w:tc>
        <w:tc>
          <w:tcPr>
            <w:tcW w:w="1300" w:type="dxa"/>
            <w:vAlign w:val="bottom"/>
          </w:tcPr>
          <w:p>
            <w:pPr>
              <w:spacing w:after="0"/>
              <w:rPr>
                <w:sz w:val="16"/>
                <w:szCs w:val="16"/>
                <w:color w:val="auto"/>
              </w:rPr>
            </w:pPr>
          </w:p>
        </w:tc>
        <w:tc>
          <w:tcPr>
            <w:tcW w:w="310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88-0277072</w:t>
            </w:r>
          </w:p>
        </w:tc>
      </w:tr>
      <w:tr>
        <w:trPr>
          <w:trHeight w:val="20"/>
        </w:trPr>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4"/>
        </w:trPr>
        <w:tc>
          <w:tcPr>
            <w:tcW w:w="4080" w:type="dxa"/>
            <w:vAlign w:val="bottom"/>
            <w:gridSpan w:val="4"/>
          </w:tcPr>
          <w:p>
            <w:pPr>
              <w:jc w:val="center"/>
              <w:ind w:right="400"/>
              <w:spacing w:after="0"/>
              <w:rPr>
                <w:sz w:val="20"/>
                <w:szCs w:val="20"/>
                <w:color w:val="auto"/>
              </w:rPr>
            </w:pPr>
            <w:r>
              <w:rPr>
                <w:rFonts w:ascii="Arial" w:cs="Arial" w:eastAsia="Arial" w:hAnsi="Arial"/>
                <w:sz w:val="17"/>
                <w:szCs w:val="17"/>
                <w:color w:val="auto"/>
                <w:w w:val="94"/>
              </w:rPr>
              <w:t>(State or other jurisdiction of incorporation)</w:t>
            </w:r>
          </w:p>
        </w:tc>
        <w:tc>
          <w:tcPr>
            <w:tcW w:w="30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(Commission File Number)</w:t>
            </w:r>
          </w:p>
        </w:tc>
        <w:tc>
          <w:tcPr>
            <w:tcW w:w="3100" w:type="dxa"/>
            <w:vAlign w:val="bottom"/>
            <w:gridSpan w:val="5"/>
          </w:tcPr>
          <w:p>
            <w:pPr>
              <w:jc w:val="center"/>
              <w:ind w:left="654"/>
              <w:spacing w:after="0"/>
              <w:rPr>
                <w:sz w:val="20"/>
                <w:szCs w:val="20"/>
                <w:color w:val="auto"/>
              </w:rPr>
            </w:pPr>
            <w:r>
              <w:rPr>
                <w:rFonts w:ascii="Arial" w:cs="Arial" w:eastAsia="Arial" w:hAnsi="Arial"/>
                <w:sz w:val="17"/>
                <w:szCs w:val="17"/>
                <w:color w:val="auto"/>
                <w:w w:val="95"/>
              </w:rPr>
              <w:t>(IRS Employer Identification No.)</w:t>
            </w:r>
          </w:p>
        </w:tc>
      </w:tr>
      <w:tr>
        <w:trPr>
          <w:trHeight w:val="402"/>
        </w:trPr>
        <w:tc>
          <w:tcPr>
            <w:tcW w:w="36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1551 Eastlake Avenue East, Suite 100, Seattle, WA</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98102</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4"/>
        </w:trPr>
        <w:tc>
          <w:tcPr>
            <w:tcW w:w="4080" w:type="dxa"/>
            <w:vAlign w:val="bottom"/>
            <w:gridSpan w:val="4"/>
          </w:tcPr>
          <w:p>
            <w:pPr>
              <w:jc w:val="center"/>
              <w:ind w:right="400"/>
              <w:spacing w:after="0"/>
              <w:rPr>
                <w:sz w:val="20"/>
                <w:szCs w:val="20"/>
                <w:color w:val="auto"/>
              </w:rPr>
            </w:pPr>
            <w:r>
              <w:rPr>
                <w:rFonts w:ascii="Arial" w:cs="Arial" w:eastAsia="Arial" w:hAnsi="Arial"/>
                <w:sz w:val="17"/>
                <w:szCs w:val="17"/>
                <w:color w:val="auto"/>
                <w:w w:val="93"/>
              </w:rPr>
              <w:t>(Address of principal executive offices)</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gridSpan w:val="4"/>
          </w:tcPr>
          <w:p>
            <w:pPr>
              <w:jc w:val="center"/>
              <w:ind w:right="760"/>
              <w:spacing w:after="0"/>
              <w:rPr>
                <w:sz w:val="20"/>
                <w:szCs w:val="20"/>
                <w:color w:val="auto"/>
              </w:rPr>
            </w:pPr>
            <w:r>
              <w:rPr>
                <w:rFonts w:ascii="Arial" w:cs="Arial" w:eastAsia="Arial" w:hAnsi="Arial"/>
                <w:sz w:val="17"/>
                <w:szCs w:val="17"/>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(206) 504-7278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60" w:type="dxa"/>
            <w:vAlign w:val="bottom"/>
          </w:tcPr>
          <w:p>
            <w:pPr>
              <w:jc w:val="right"/>
              <w:ind w:right="14"/>
              <w:spacing w:after="0"/>
              <w:rPr>
                <w:sz w:val="20"/>
                <w:szCs w:val="20"/>
                <w:color w:val="auto"/>
              </w:rPr>
            </w:pPr>
            <w:r>
              <w:rPr>
                <w:rFonts w:ascii="Arial" w:cs="Arial" w:eastAsia="Arial" w:hAnsi="Arial"/>
                <w:sz w:val="17"/>
                <w:szCs w:val="17"/>
                <w:color w:val="auto"/>
                <w:w w:val="83"/>
              </w:rPr>
              <w:t>[</w:t>
            </w:r>
          </w:p>
        </w:tc>
        <w:tc>
          <w:tcPr>
            <w:tcW w:w="6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0" w:type="dxa"/>
            <w:vAlign w:val="bottom"/>
          </w:tcPr>
          <w:p>
            <w:pPr>
              <w:ind w:left="480"/>
              <w:spacing w:after="0"/>
              <w:rPr>
                <w:sz w:val="20"/>
                <w:szCs w:val="20"/>
                <w:color w:val="auto"/>
              </w:rPr>
            </w:pPr>
            <w:r>
              <w:rPr>
                <w:rFonts w:ascii="Arial" w:cs="Arial" w:eastAsia="Arial" w:hAnsi="Arial"/>
                <w:sz w:val="17"/>
                <w:szCs w:val="17"/>
                <w:color w:val="auto"/>
              </w:rPr>
              <w:t>Written communications pursuant to Rule 425 under the Securities Act (17 CFR 230.425)</w:t>
            </w:r>
          </w:p>
        </w:tc>
      </w:tr>
      <w:tr>
        <w:trPr>
          <w:trHeight w:val="206"/>
        </w:trPr>
        <w:tc>
          <w:tcPr>
            <w:tcW w:w="160" w:type="dxa"/>
            <w:vAlign w:val="bottom"/>
          </w:tcPr>
          <w:p>
            <w:pPr>
              <w:jc w:val="right"/>
              <w:ind w:right="14"/>
              <w:spacing w:after="0"/>
              <w:rPr>
                <w:sz w:val="20"/>
                <w:szCs w:val="20"/>
                <w:color w:val="auto"/>
              </w:rPr>
            </w:pPr>
            <w:r>
              <w:rPr>
                <w:rFonts w:ascii="Arial" w:cs="Arial" w:eastAsia="Arial" w:hAnsi="Arial"/>
                <w:sz w:val="17"/>
                <w:szCs w:val="17"/>
                <w:color w:val="auto"/>
                <w:w w:val="83"/>
              </w:rPr>
              <w:t>[</w:t>
            </w:r>
          </w:p>
        </w:tc>
        <w:tc>
          <w:tcPr>
            <w:tcW w:w="6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0" w:type="dxa"/>
            <w:vAlign w:val="bottom"/>
          </w:tcPr>
          <w:p>
            <w:pPr>
              <w:ind w:left="480"/>
              <w:spacing w:after="0"/>
              <w:rPr>
                <w:sz w:val="20"/>
                <w:szCs w:val="20"/>
                <w:color w:val="auto"/>
              </w:rPr>
            </w:pPr>
            <w:r>
              <w:rPr>
                <w:rFonts w:ascii="Arial" w:cs="Arial" w:eastAsia="Arial" w:hAnsi="Arial"/>
                <w:sz w:val="17"/>
                <w:szCs w:val="17"/>
                <w:color w:val="auto"/>
              </w:rPr>
              <w:t>Soliciting material pursuant to Rule 14a-12 under the Exchange Act (17 CFR 240.14a-12)</w:t>
            </w:r>
          </w:p>
        </w:tc>
      </w:tr>
      <w:tr>
        <w:trPr>
          <w:trHeight w:val="206"/>
        </w:trPr>
        <w:tc>
          <w:tcPr>
            <w:tcW w:w="160" w:type="dxa"/>
            <w:vAlign w:val="bottom"/>
          </w:tcPr>
          <w:p>
            <w:pPr>
              <w:jc w:val="right"/>
              <w:ind w:right="14"/>
              <w:spacing w:after="0"/>
              <w:rPr>
                <w:sz w:val="20"/>
                <w:szCs w:val="20"/>
                <w:color w:val="auto"/>
              </w:rPr>
            </w:pPr>
            <w:r>
              <w:rPr>
                <w:rFonts w:ascii="Arial" w:cs="Arial" w:eastAsia="Arial" w:hAnsi="Arial"/>
                <w:sz w:val="17"/>
                <w:szCs w:val="17"/>
                <w:color w:val="auto"/>
                <w:w w:val="83"/>
              </w:rPr>
              <w:t>[</w:t>
            </w:r>
          </w:p>
        </w:tc>
        <w:tc>
          <w:tcPr>
            <w:tcW w:w="6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0" w:type="dxa"/>
            <w:vAlign w:val="bottom"/>
          </w:tcPr>
          <w:p>
            <w:pPr>
              <w:ind w:left="480"/>
              <w:spacing w:after="0"/>
              <w:rPr>
                <w:sz w:val="20"/>
                <w:szCs w:val="20"/>
                <w:color w:val="auto"/>
              </w:rPr>
            </w:pPr>
            <w:r>
              <w:rPr>
                <w:rFonts w:ascii="Arial" w:cs="Arial" w:eastAsia="Arial" w:hAnsi="Arial"/>
                <w:sz w:val="17"/>
                <w:szCs w:val="17"/>
                <w:color w:val="auto"/>
              </w:rPr>
              <w:t>Pre-commencement communications pursuant to Rule 14d-2(b) under the Exchange Act (17 CFR 240.14d-2(b))</w:t>
            </w:r>
          </w:p>
        </w:tc>
      </w:tr>
      <w:tr>
        <w:trPr>
          <w:trHeight w:val="217"/>
        </w:trPr>
        <w:tc>
          <w:tcPr>
            <w:tcW w:w="160" w:type="dxa"/>
            <w:vAlign w:val="bottom"/>
          </w:tcPr>
          <w:p>
            <w:pPr>
              <w:jc w:val="right"/>
              <w:ind w:right="14"/>
              <w:spacing w:after="0"/>
              <w:rPr>
                <w:sz w:val="20"/>
                <w:szCs w:val="20"/>
                <w:color w:val="auto"/>
              </w:rPr>
            </w:pPr>
            <w:r>
              <w:rPr>
                <w:rFonts w:ascii="Arial" w:cs="Arial" w:eastAsia="Arial" w:hAnsi="Arial"/>
                <w:sz w:val="17"/>
                <w:szCs w:val="17"/>
                <w:color w:val="auto"/>
                <w:w w:val="83"/>
              </w:rPr>
              <w:t>[</w:t>
            </w:r>
          </w:p>
        </w:tc>
        <w:tc>
          <w:tcPr>
            <w:tcW w:w="66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0600" w:type="dxa"/>
            <w:vAlign w:val="bottom"/>
          </w:tcPr>
          <w:p>
            <w:pPr>
              <w:ind w:left="480"/>
              <w:spacing w:after="0"/>
              <w:rPr>
                <w:sz w:val="20"/>
                <w:szCs w:val="20"/>
                <w:color w:val="auto"/>
              </w:rPr>
            </w:pPr>
            <w:r>
              <w:rPr>
                <w:rFonts w:ascii="Arial" w:cs="Arial" w:eastAsia="Arial" w:hAnsi="Arial"/>
                <w:sz w:val="17"/>
                <w:szCs w:val="17"/>
                <w:color w:val="auto"/>
              </w:rPr>
              <w:t>Pre-commencement communications pursuant to Rule 13e-4(c) under the Exchange Act (17 CFR 240.13e-4(c))</w:t>
            </w:r>
          </w:p>
        </w:tc>
      </w:tr>
      <w:tr>
        <w:trPr>
          <w:trHeight w:val="1069"/>
        </w:trPr>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31"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 Agreement</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August 11, 2014, we entered into a Securities Purchase Agreement (the “</w:t>
      </w:r>
      <w:r>
        <w:rPr>
          <w:rFonts w:ascii="Arial" w:cs="Arial" w:eastAsia="Arial" w:hAnsi="Arial"/>
          <w:sz w:val="16"/>
          <w:szCs w:val="16"/>
          <w:u w:val="single" w:color="auto"/>
          <w:color w:val="auto"/>
        </w:rPr>
        <w:t>Securities Purchase Agreement</w:t>
      </w:r>
      <w:r>
        <w:rPr>
          <w:rFonts w:ascii="Arial" w:cs="Arial" w:eastAsia="Arial" w:hAnsi="Arial"/>
          <w:sz w:val="16"/>
          <w:szCs w:val="16"/>
          <w:color w:val="auto"/>
        </w:rPr>
        <w:t>”) with certain accredited investors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 pursuant to which the Company has agreed to issue and sell to the Purchasers in a registered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an aggregate of 1,886,792 units, with each unit consisting of a share of the Company’s Common Stock (collectively, the “</w:t>
      </w:r>
      <w:r>
        <w:rPr>
          <w:rFonts w:ascii="Arial" w:cs="Arial" w:eastAsia="Arial" w:hAnsi="Arial"/>
          <w:sz w:val="16"/>
          <w:szCs w:val="16"/>
          <w:u w:val="single" w:color="auto"/>
          <w:color w:val="auto"/>
        </w:rPr>
        <w:t>Shares</w:t>
      </w:r>
      <w:r>
        <w:rPr>
          <w:rFonts w:ascii="Arial" w:cs="Arial" w:eastAsia="Arial" w:hAnsi="Arial"/>
          <w:sz w:val="16"/>
          <w:szCs w:val="16"/>
          <w:color w:val="auto"/>
        </w:rPr>
        <w:t>”) and a warrant to purchase a share of the Company’s Common Stock (collectively, the “</w:t>
      </w:r>
      <w:r>
        <w:rPr>
          <w:rFonts w:ascii="Arial" w:cs="Arial" w:eastAsia="Arial" w:hAnsi="Arial"/>
          <w:sz w:val="16"/>
          <w:szCs w:val="16"/>
          <w:u w:val="single" w:color="auto"/>
          <w:color w:val="auto"/>
        </w:rPr>
        <w:t>Warrants</w:t>
      </w:r>
      <w:r>
        <w:rPr>
          <w:rFonts w:ascii="Arial" w:cs="Arial" w:eastAsia="Arial" w:hAnsi="Arial"/>
          <w:sz w:val="16"/>
          <w:szCs w:val="16"/>
          <w:color w:val="auto"/>
        </w:rPr>
        <w:t>” and the shares issuable upon exercise of the Warrants, collectively,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at a purchase price of $1.06 per unit, for aggregate expected gross proceeds of approximately $2 million. Net proceeds, after deducting the Placement Agent Fee (described below) and other estimated offering expenses payable by the Company, are expected to be approximately $1.82 million. The Warrants have an exercise price of $1.17 per share, are exercisable immediately upon issuance and have a term of exercise equal to five years from the date of issuance of the Warrants. The Company expects that the Offering will close on or about August 14, 2014, subject to the satisfaction of customary closing conditions. The Company intends to use the net proceeds from the Offering for general corporate purposes, including clinical trial expenses and research and development expenses.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issuance and sale of the Shares, Warrants, and Warrant Shares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is registered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pursuant to the Company’s Registration Statement on Form S-3 (No. 333-196115), which was declared effective by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July 23, 2014, as supplemented by a prospectus supplement dated August 13, 2014 and filed with the SEC pursuant to Rule 424(b)(5) under the Securities Act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Securities may only be offered by means of a prospectus. Copies of the prospectus and prospectus supplement can be obtained directly from the Company and at the SEC’s website at www.sec.gov or by request by emailing H.C. Wainwright &amp; Co., LLC (“</w:t>
      </w:r>
      <w:r>
        <w:rPr>
          <w:rFonts w:ascii="Arial" w:cs="Arial" w:eastAsia="Arial" w:hAnsi="Arial"/>
          <w:sz w:val="16"/>
          <w:szCs w:val="16"/>
          <w:u w:val="single" w:color="auto"/>
          <w:color w:val="auto"/>
        </w:rPr>
        <w:t>Wainwright</w:t>
      </w:r>
      <w:r>
        <w:rPr>
          <w:rFonts w:ascii="Arial" w:cs="Arial" w:eastAsia="Arial" w:hAnsi="Arial"/>
          <w:sz w:val="16"/>
          <w:szCs w:val="16"/>
          <w:color w:val="auto"/>
        </w:rPr>
        <w:t>”) at placements@hcwco.com. No statement in this document or the attached exhibits is an offer to purchase or a solicitation of an offer to sell securities. No offer, solicitation or sale will be made in any jurisdiction in which such offer, solicitation or sale is unlawful.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Placement Agent Agreement; Placement Agent Warrants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Pursuant to a Placement Agent Agreement (the “</w:t>
      </w:r>
      <w:r>
        <w:rPr>
          <w:rFonts w:ascii="Arial" w:cs="Arial" w:eastAsia="Arial" w:hAnsi="Arial"/>
          <w:sz w:val="16"/>
          <w:szCs w:val="16"/>
          <w:u w:val="single" w:color="auto"/>
          <w:color w:val="auto"/>
        </w:rPr>
        <w:t>Placement Agent Agreement</w:t>
      </w:r>
      <w:r>
        <w:rPr>
          <w:rFonts w:ascii="Arial" w:cs="Arial" w:eastAsia="Arial" w:hAnsi="Arial"/>
          <w:sz w:val="16"/>
          <w:szCs w:val="16"/>
          <w:color w:val="auto"/>
        </w:rPr>
        <w:t>”), dated July 29, 2014, by and between us and Wainwright, Wainwright agreed to act as the Company’s placement agent in connection with the Offering. Pursuant to the Placement Agent Agreement, the Company agreed to pay an aggregate cash fee for placement agent and financial advisory services equal to 7% of the gross proceeds of the Offering (the “</w:t>
      </w:r>
      <w:r>
        <w:rPr>
          <w:rFonts w:ascii="Arial" w:cs="Arial" w:eastAsia="Arial" w:hAnsi="Arial"/>
          <w:sz w:val="16"/>
          <w:szCs w:val="16"/>
          <w:u w:val="single" w:color="auto"/>
          <w:color w:val="auto"/>
        </w:rPr>
        <w:t>Placement Agent Fee</w:t>
      </w:r>
      <w:r>
        <w:rPr>
          <w:rFonts w:ascii="Arial" w:cs="Arial" w:eastAsia="Arial" w:hAnsi="Arial"/>
          <w:sz w:val="16"/>
          <w:szCs w:val="16"/>
          <w:color w:val="auto"/>
        </w:rPr>
        <w:t>”), as well as a non-accountable expense allowance equal to 1% of the gross proceeds of the Offering but not to exceed $30,000. In addition, the Company agreed to issue warrants to purchase an aggregate of up to 5% of the aggregate number of shares of Common Stock sold in the Offering to the placement agent or its designees (the “</w:t>
      </w:r>
      <w:r>
        <w:rPr>
          <w:rFonts w:ascii="Arial" w:cs="Arial" w:eastAsia="Arial" w:hAnsi="Arial"/>
          <w:sz w:val="16"/>
          <w:szCs w:val="16"/>
          <w:u w:val="single" w:color="auto"/>
          <w:color w:val="auto"/>
        </w:rPr>
        <w:t>Placement Agent Warrants</w:t>
      </w:r>
      <w:r>
        <w:rPr>
          <w:rFonts w:ascii="Arial" w:cs="Arial" w:eastAsia="Arial" w:hAnsi="Arial"/>
          <w:sz w:val="16"/>
          <w:szCs w:val="16"/>
          <w:color w:val="auto"/>
        </w:rPr>
        <w:t>”). The Placement Agent Warrants shall have an exercise price of $1.325 per share and shall expire on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99"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3.02 Unregistered Sale of Equity Securities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Placement Agent Warrants described in Item 1.01 above will be issued pursuant to an exemption from registration provided by Section 4(a)(2) of the Securities Act of 1933, as amended.</w:t>
      </w:r>
    </w:p>
    <w:p>
      <w:pPr>
        <w:spacing w:after="0" w:line="18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Between May 7, 2014 and August 11, 2014, we have issued 1,104,932 shares of common stock that have not been registered under the Securities Act of 1933, as amended, and warrants convertible into 385,000 shares of common stock as set out below:</w:t>
      </w:r>
    </w:p>
    <w:p>
      <w:pPr>
        <w:spacing w:after="0" w:line="189" w:lineRule="exact"/>
        <w:rPr>
          <w:sz w:val="20"/>
          <w:szCs w:val="20"/>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May 2014, we issued 140,000 shares of common stock in exchange for $333,150 of services;</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May 2014, we issued 29,000 shares of common stock in exchange for the conversion of $40,670 of debt;</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June 2014, we issued 30,000 shares of common stock in exchange for $42,000 of services;</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June 2014, we issued 485,311 shares of common stock in exchange for the conversion of debt and the elimination of accrued liability of $2,302,294;</w:t>
      </w:r>
    </w:p>
    <w:p>
      <w:pPr>
        <w:spacing w:after="0" w:line="254" w:lineRule="exact"/>
        <w:rPr>
          <w:rFonts w:ascii="Arial" w:cs="Arial" w:eastAsia="Arial" w:hAnsi="Arial"/>
          <w:sz w:val="16"/>
          <w:szCs w:val="16"/>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July 2014, we issued 19,371 shares of common stock in exchange for the conversion of $16,950 of debt;</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2014 through to the date hereof, we issued 26,250 shares of common stock in exchange for $26,250 of services;</w:t>
      </w:r>
    </w:p>
    <w:p>
      <w:pPr>
        <w:spacing w:after="0" w:line="243" w:lineRule="exact"/>
        <w:rPr>
          <w:rFonts w:ascii="Arial" w:cs="Arial" w:eastAsia="Arial" w:hAnsi="Arial"/>
          <w:sz w:val="17"/>
          <w:szCs w:val="17"/>
          <w:color w:val="auto"/>
        </w:rPr>
      </w:pPr>
    </w:p>
    <w:p>
      <w:pPr>
        <w:ind w:left="320" w:hanging="317"/>
        <w:spacing w:after="0" w:line="280"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2014, we issued 120,000 shares of common stock and warrants to purchase 120,000 shares of common stock to our President and CEO in exchange for the conversion due but unpaid compensation of $120,000; and</w:t>
      </w:r>
    </w:p>
    <w:p>
      <w:pPr>
        <w:spacing w:after="0" w:line="189" w:lineRule="exact"/>
        <w:rPr>
          <w:rFonts w:ascii="Arial" w:cs="Arial" w:eastAsia="Arial" w:hAnsi="Arial"/>
          <w:sz w:val="17"/>
          <w:szCs w:val="17"/>
          <w:color w:val="auto"/>
        </w:rPr>
      </w:pPr>
    </w:p>
    <w:p>
      <w:pPr>
        <w:ind w:left="320" w:hanging="317"/>
        <w:spacing w:after="0" w:line="280"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August 2014, we issued 265,000 shares of common stock and warrants to purchase 265,000 shares of common stock to six accredited investors in exchange for $265,000</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warrants for the 385,000 shares of common stock are exercisable for two years at $2.50 (subject to adjustment for stock splits and dividends) and do not carry any registration rights. The values for services provided and debt exchanged above are based on the share price on the date of issuance, and the value of the elimination of accrued liability is based on the decrease of accrued liability on our balance sheet resulting from the issuance.</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securities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4" w:lineRule="exact"/>
        <w:rPr>
          <w:sz w:val="20"/>
          <w:szCs w:val="20"/>
          <w:color w:val="auto"/>
        </w:rPr>
      </w:pPr>
    </w:p>
    <w:p>
      <w:pPr>
        <w:ind w:left="1300" w:hanging="677"/>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7"/>
                <w:szCs w:val="17"/>
                <w:b w:val="1"/>
                <w:bCs w:val="1"/>
                <w:color w:val="auto"/>
              </w:rPr>
              <w:t>EXHIBIT INDEX</w:t>
            </w:r>
          </w:p>
        </w:tc>
      </w:tr>
      <w:tr>
        <w:trPr>
          <w:trHeight w:val="420"/>
        </w:trPr>
        <w:tc>
          <w:tcPr>
            <w:tcW w:w="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w:t>
            </w:r>
          </w:p>
        </w:tc>
        <w:tc>
          <w:tcPr>
            <w:tcW w:w="280" w:type="dxa"/>
            <w:vAlign w:val="bottom"/>
          </w:tcPr>
          <w:p>
            <w:pPr>
              <w:spacing w:after="0"/>
              <w:rPr>
                <w:sz w:val="24"/>
                <w:szCs w:val="24"/>
                <w:color w:val="auto"/>
              </w:rPr>
            </w:pPr>
          </w:p>
        </w:tc>
        <w:tc>
          <w:tcPr>
            <w:tcW w:w="10260" w:type="dxa"/>
            <w:vAlign w:val="bottom"/>
            <w:tcBorders>
              <w:bottom w:val="single" w:sz="8" w:color="auto"/>
            </w:tcBorders>
          </w:tcPr>
          <w:p>
            <w:pPr>
              <w:ind w:left="4700"/>
              <w:spacing w:after="0"/>
              <w:rPr>
                <w:sz w:val="20"/>
                <w:szCs w:val="20"/>
                <w:color w:val="auto"/>
              </w:rPr>
            </w:pPr>
            <w:r>
              <w:rPr>
                <w:rFonts w:ascii="Arial" w:cs="Arial" w:eastAsia="Arial" w:hAnsi="Arial"/>
                <w:sz w:val="17"/>
                <w:szCs w:val="17"/>
                <w:b w:val="1"/>
                <w:bCs w:val="1"/>
                <w:color w:val="auto"/>
              </w:rPr>
              <w:t>Description</w:t>
            </w:r>
          </w:p>
        </w:tc>
      </w:tr>
      <w:tr>
        <w:trPr>
          <w:trHeight w:val="411"/>
        </w:trPr>
        <w:tc>
          <w:tcPr>
            <w:tcW w:w="880" w:type="dxa"/>
            <w:vAlign w:val="bottom"/>
          </w:tcPr>
          <w:p>
            <w:pPr>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Form of Common Stock Purchase Warrant</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Form of Placement Agent Warrant</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Opinion of Sanders Ortoli Vaughn-Flam Rosenstadt LLP</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Form of Securities Purchase Agreement, dated as of August 11, 2014, by and among the Company and the Purchasers</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Placement Agency Agreement, dated as of July 29, 2014, by and between the Company and H.C. Wainwright &amp; Co., LLC</w:t>
            </w:r>
          </w:p>
        </w:tc>
      </w:tr>
      <w:tr>
        <w:trPr>
          <w:trHeight w:val="413"/>
        </w:trPr>
        <w:tc>
          <w:tcPr>
            <w:tcW w:w="880" w:type="dxa"/>
            <w:vAlign w:val="bottom"/>
          </w:tcPr>
          <w:p>
            <w:pPr>
              <w:spacing w:after="0"/>
              <w:rPr>
                <w:sz w:val="20"/>
                <w:szCs w:val="20"/>
                <w:color w:val="auto"/>
              </w:rPr>
            </w:pPr>
            <w:r>
              <w:rPr>
                <w:rFonts w:ascii="Arial" w:cs="Arial" w:eastAsia="Arial" w:hAnsi="Arial"/>
                <w:sz w:val="17"/>
                <w:szCs w:val="17"/>
                <w:color w:val="auto"/>
              </w:rPr>
              <w:t>23.1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Consent of Sanders Ortoli Vaughn-Flam Rosenstadt LLP (contained in Exhibit 5.1)</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7760" w:type="dxa"/>
            <w:vAlign w:val="bottom"/>
            <w:gridSpan w:val="3"/>
          </w:tcPr>
          <w:p>
            <w:pPr>
              <w:ind w:left="2040"/>
              <w:spacing w:after="0"/>
              <w:rPr>
                <w:sz w:val="20"/>
                <w:szCs w:val="20"/>
                <w:color w:val="auto"/>
              </w:rPr>
            </w:pPr>
            <w:r>
              <w:rPr>
                <w:rFonts w:ascii="Arial" w:cs="Arial" w:eastAsia="Arial" w:hAnsi="Arial"/>
                <w:sz w:val="17"/>
                <w:szCs w:val="17"/>
                <w:b w:val="1"/>
                <w:bCs w:val="1"/>
                <w:color w:val="auto"/>
              </w:rPr>
              <w:t>TAPIMMUNE INC.</w:t>
            </w:r>
          </w:p>
        </w:tc>
      </w:tr>
      <w:tr>
        <w:trPr>
          <w:trHeight w:val="376"/>
        </w:trPr>
        <w:tc>
          <w:tcPr>
            <w:tcW w:w="3660" w:type="dxa"/>
            <w:vAlign w:val="bottom"/>
          </w:tcPr>
          <w:p>
            <w:pPr>
              <w:spacing w:after="0"/>
              <w:rPr>
                <w:sz w:val="20"/>
                <w:szCs w:val="20"/>
                <w:color w:val="auto"/>
              </w:rPr>
            </w:pPr>
            <w:r>
              <w:rPr>
                <w:rFonts w:ascii="Arial" w:cs="Arial" w:eastAsia="Arial" w:hAnsi="Arial"/>
                <w:sz w:val="17"/>
                <w:szCs w:val="17"/>
                <w:b w:val="1"/>
                <w:bCs w:val="1"/>
                <w:color w:val="auto"/>
              </w:rPr>
              <w:t>Date: August 14, 2014</w:t>
            </w:r>
          </w:p>
        </w:tc>
        <w:tc>
          <w:tcPr>
            <w:tcW w:w="7760" w:type="dxa"/>
            <w:vAlign w:val="bottom"/>
            <w:gridSpan w:val="3"/>
          </w:tcPr>
          <w:p>
            <w:pPr>
              <w:ind w:left="2040"/>
              <w:spacing w:after="0"/>
              <w:rPr>
                <w:sz w:val="20"/>
                <w:szCs w:val="20"/>
                <w:color w:val="auto"/>
              </w:rPr>
            </w:pPr>
            <w:r>
              <w:rPr>
                <w:rFonts w:ascii="Arial" w:cs="Arial" w:eastAsia="Arial" w:hAnsi="Arial"/>
                <w:sz w:val="17"/>
                <w:szCs w:val="17"/>
                <w:color w:val="auto"/>
              </w:rPr>
              <w:t>By: /s/ Glynn Wilson</w:t>
            </w:r>
          </w:p>
        </w:tc>
      </w:tr>
      <w:tr>
        <w:trPr>
          <w:trHeight w:val="20"/>
        </w:trPr>
        <w:tc>
          <w:tcPr>
            <w:tcW w:w="3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3"/>
        </w:trPr>
        <w:tc>
          <w:tcPr>
            <w:tcW w:w="3660" w:type="dxa"/>
            <w:vAlign w:val="bottom"/>
          </w:tcPr>
          <w:p>
            <w:pPr>
              <w:spacing w:after="0"/>
              <w:rPr>
                <w:sz w:val="18"/>
                <w:szCs w:val="18"/>
                <w:color w:val="auto"/>
              </w:rPr>
            </w:pPr>
          </w:p>
        </w:tc>
        <w:tc>
          <w:tcPr>
            <w:tcW w:w="7760" w:type="dxa"/>
            <w:vAlign w:val="bottom"/>
            <w:gridSpan w:val="3"/>
          </w:tcPr>
          <w:p>
            <w:pPr>
              <w:ind w:left="2040"/>
              <w:spacing w:after="0"/>
              <w:rPr>
                <w:sz w:val="20"/>
                <w:szCs w:val="20"/>
                <w:color w:val="auto"/>
              </w:rPr>
            </w:pPr>
            <w:r>
              <w:rPr>
                <w:rFonts w:ascii="Arial" w:cs="Arial" w:eastAsia="Arial" w:hAnsi="Arial"/>
                <w:sz w:val="17"/>
                <w:szCs w:val="17"/>
                <w:color w:val="auto"/>
              </w:rPr>
              <w:t>Name: Glynn Wilson</w:t>
            </w:r>
          </w:p>
        </w:tc>
      </w:tr>
      <w:tr>
        <w:trPr>
          <w:trHeight w:val="217"/>
        </w:trPr>
        <w:tc>
          <w:tcPr>
            <w:tcW w:w="3660" w:type="dxa"/>
            <w:vAlign w:val="bottom"/>
          </w:tcPr>
          <w:p>
            <w:pPr>
              <w:spacing w:after="0"/>
              <w:rPr>
                <w:sz w:val="18"/>
                <w:szCs w:val="18"/>
                <w:color w:val="auto"/>
              </w:rPr>
            </w:pPr>
          </w:p>
        </w:tc>
        <w:tc>
          <w:tcPr>
            <w:tcW w:w="7760" w:type="dxa"/>
            <w:vAlign w:val="bottom"/>
            <w:gridSpan w:val="3"/>
          </w:tcPr>
          <w:p>
            <w:pPr>
              <w:ind w:left="2040"/>
              <w:spacing w:after="0"/>
              <w:rPr>
                <w:sz w:val="20"/>
                <w:szCs w:val="20"/>
                <w:color w:val="auto"/>
              </w:rPr>
            </w:pPr>
            <w:r>
              <w:rPr>
                <w:rFonts w:ascii="Arial" w:cs="Arial" w:eastAsia="Arial" w:hAnsi="Arial"/>
                <w:sz w:val="17"/>
                <w:szCs w:val="17"/>
                <w:color w:val="auto"/>
              </w:rPr>
              <w:t>Title: Chairman and CEO</w:t>
            </w:r>
          </w:p>
        </w:tc>
      </w:tr>
      <w:tr>
        <w:trPr>
          <w:trHeight w:val="1018"/>
        </w:trPr>
        <w:tc>
          <w:tcPr>
            <w:tcW w:w="3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68"/>
        </w:trPr>
        <w:tc>
          <w:tcPr>
            <w:tcW w:w="366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72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340995</wp:posOffset>
            </wp:positionV>
            <wp:extent cx="725741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4.1</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COMMON STOCK PURCHASE WARRANT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TAPIMMUNE INC.</w:t>
      </w:r>
    </w:p>
    <w:p>
      <w:pPr>
        <w:sectPr>
          <w:pgSz w:w="11900" w:h="16838" w:orient="portrait"/>
          <w:cols w:equalWidth="0" w:num="1">
            <w:col w:w="11420"/>
          </w:cols>
          <w:pgMar w:left="240" w:top="654"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Warrant Shares: 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Initial Exercise Date: August __, 2014</w:t>
      </w:r>
    </w:p>
    <w:p>
      <w:pPr>
        <w:spacing w:after="0" w:line="200" w:lineRule="exact"/>
        <w:rPr>
          <w:sz w:val="20"/>
          <w:szCs w:val="20"/>
          <w:color w:val="auto"/>
        </w:rPr>
      </w:pPr>
    </w:p>
    <w:p>
      <w:pPr>
        <w:sectPr>
          <w:pgSz w:w="11900" w:h="16838" w:orient="portrait"/>
          <w:cols w:equalWidth="0" w:num="2">
            <w:col w:w="4260" w:space="720"/>
            <w:col w:w="6440"/>
          </w:cols>
          <w:pgMar w:left="240" w:top="654" w:right="239" w:bottom="1440" w:gutter="0" w:footer="0" w:header="0"/>
          <w:type w:val="continuous"/>
        </w:sectPr>
      </w:pP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w:t>
      </w:r>
    </w:p>
    <w:p>
      <w:pPr>
        <w:spacing w:after="0" w:line="3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is entitled, upon the terms and subject to the limitations on exercise and the conditions hereinafter set forth, at any time on or after the date hereof (the “</w:t>
      </w:r>
      <w:r>
        <w:rPr>
          <w:rFonts w:ascii="Arial" w:cs="Arial" w:eastAsia="Arial" w:hAnsi="Arial"/>
          <w:sz w:val="15"/>
          <w:szCs w:val="15"/>
          <w:u w:val="single" w:color="auto"/>
          <w:color w:val="auto"/>
        </w:rPr>
        <w:t>Initial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Exercise Date</w:t>
      </w:r>
      <w:r>
        <w:rPr>
          <w:rFonts w:ascii="Arial" w:cs="Arial" w:eastAsia="Arial" w:hAnsi="Arial"/>
          <w:sz w:val="15"/>
          <w:szCs w:val="15"/>
          <w:color w:val="auto"/>
        </w:rPr>
        <w:t>”) and on or prior to the close of business on the five (5) year anniversary of the Initial Exercise Date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but not thereafter, to subscribe for and purchase from TAPIMMUNE, INC., a Nevada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up to ______ shares (as subject to adjustment hereunder, the “</w:t>
      </w:r>
      <w:r>
        <w:rPr>
          <w:rFonts w:ascii="Arial" w:cs="Arial" w:eastAsia="Arial" w:hAnsi="Arial"/>
          <w:sz w:val="15"/>
          <w:szCs w:val="15"/>
          <w:u w:val="single" w:color="auto"/>
          <w:color w:val="auto"/>
        </w:rPr>
        <w:t>Warrant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Shares</w:t>
      </w:r>
      <w:r>
        <w:rPr>
          <w:rFonts w:ascii="Arial" w:cs="Arial" w:eastAsia="Arial" w:hAnsi="Arial"/>
          <w:sz w:val="15"/>
          <w:szCs w:val="15"/>
          <w:color w:val="auto"/>
        </w:rPr>
        <w:t>”) of Common Stock. The purchase price of one share of Common Stock under this Warrant shall be equal to the Exercise Price, as defined in Section 2(b).</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Section 1.</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60" w:type="dxa"/>
            <w:vAlign w:val="bottom"/>
            <w:gridSpan w:val="4"/>
          </w:tcPr>
          <w:p>
            <w:pPr>
              <w:spacing w:after="0"/>
              <w:rPr>
                <w:sz w:val="20"/>
                <w:szCs w:val="20"/>
                <w:color w:val="auto"/>
              </w:rPr>
            </w:pPr>
            <w:r>
              <w:rPr>
                <w:rFonts w:ascii="Arial" w:cs="Arial" w:eastAsia="Arial" w:hAnsi="Arial"/>
                <w:sz w:val="17"/>
                <w:szCs w:val="17"/>
                <w:color w:val="auto"/>
                <w:w w:val="93"/>
              </w:rPr>
              <w:t>Definitions. Capitalized terms used and not otherwise defined herein shall have the meanings set forth in that certain Securities</w:t>
            </w: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86"/>
        </w:trPr>
        <w:tc>
          <w:tcPr>
            <w:tcW w:w="11420" w:type="dxa"/>
            <w:vAlign w:val="bottom"/>
            <w:gridSpan w:val="9"/>
          </w:tcPr>
          <w:p>
            <w:pPr>
              <w:spacing w:after="0" w:line="186" w:lineRule="exact"/>
              <w:rPr>
                <w:sz w:val="20"/>
                <w:szCs w:val="20"/>
                <w:color w:val="auto"/>
              </w:rPr>
            </w:pPr>
            <w:r>
              <w:rPr>
                <w:rFonts w:ascii="Arial" w:cs="Arial" w:eastAsia="Arial" w:hAnsi="Arial"/>
                <w:sz w:val="17"/>
                <w:szCs w:val="17"/>
                <w:color w:val="auto"/>
              </w:rPr>
              <w:t>Purchase Agreement (the “Purchase Agreement”), dated August 11, 2014, among the Company and the purchasers signatory thereto.</w:t>
            </w:r>
          </w:p>
        </w:tc>
      </w:tr>
      <w:tr>
        <w:trPr>
          <w:trHeight w:val="419"/>
        </w:trPr>
        <w:tc>
          <w:tcPr>
            <w:tcW w:w="6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Section 2.</w:t>
            </w:r>
          </w:p>
        </w:tc>
        <w:tc>
          <w:tcPr>
            <w:tcW w:w="1420" w:type="dxa"/>
            <w:vAlign w:val="bottom"/>
            <w:tcBorders>
              <w:top w:val="single" w:sz="8" w:color="auto"/>
            </w:tcBorders>
            <w:gridSpan w:val="5"/>
          </w:tcPr>
          <w:p>
            <w:pPr>
              <w:ind w:left="400"/>
              <w:spacing w:after="0"/>
              <w:rPr>
                <w:sz w:val="20"/>
                <w:szCs w:val="20"/>
                <w:color w:val="auto"/>
              </w:rPr>
            </w:pPr>
            <w:r>
              <w:rPr>
                <w:rFonts w:ascii="Arial" w:cs="Arial" w:eastAsia="Arial" w:hAnsi="Arial"/>
                <w:sz w:val="17"/>
                <w:szCs w:val="17"/>
                <w:color w:val="auto"/>
              </w:rPr>
              <w:t>Exercise.</w:t>
            </w:r>
          </w:p>
        </w:tc>
        <w:tc>
          <w:tcPr>
            <w:tcW w:w="814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620" w:firstLine="622"/>
        <w:spacing w:after="0" w:line="291" w:lineRule="auto"/>
        <w:tabs>
          <w:tab w:leader="none" w:pos="193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in the form annexed hereto. Within three (3) 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5"/>
          <w:szCs w:val="15"/>
          <w:b w:val="1"/>
          <w:bCs w:val="1"/>
          <w:color w:val="auto"/>
        </w:rPr>
        <w:t>The Holder and any assignee, by acceptance of this Warrant,</w:t>
      </w:r>
      <w:r>
        <w:rPr>
          <w:rFonts w:ascii="Arial" w:cs="Arial" w:eastAsia="Arial" w:hAnsi="Arial"/>
          <w:sz w:val="15"/>
          <w:szCs w:val="15"/>
          <w:color w:val="auto"/>
        </w:rPr>
        <w:t xml:space="preserve"> </w:t>
      </w:r>
      <w:r>
        <w:rPr>
          <w:rFonts w:ascii="Arial" w:cs="Arial" w:eastAsia="Arial" w:hAnsi="Arial"/>
          <w:sz w:val="15"/>
          <w:szCs w:val="15"/>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type w:val="continuous"/>
        </w:sectPr>
      </w:pPr>
    </w:p>
    <w:bookmarkStart w:id="5" w:name="page6"/>
    <w:bookmarkEnd w:id="5"/>
    <w:p>
      <w:pPr>
        <w:ind w:left="1260" w:hanging="638"/>
        <w:spacing w:after="0"/>
        <w:tabs>
          <w:tab w:leader="none" w:pos="126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The exercise price per share of the Common Stock under this Warrant shall be </w:t>
      </w:r>
      <w:r>
        <w:rPr>
          <w:rFonts w:ascii="Arial" w:cs="Arial" w:eastAsia="Arial" w:hAnsi="Arial"/>
          <w:sz w:val="15"/>
          <w:szCs w:val="15"/>
          <w:b w:val="1"/>
          <w:bCs w:val="1"/>
          <w:color w:val="auto"/>
        </w:rPr>
        <w:t>$1.17</w:t>
      </w:r>
      <w:r>
        <w:rPr>
          <w:rFonts w:ascii="Arial" w:cs="Arial" w:eastAsia="Arial" w:hAnsi="Arial"/>
          <w:sz w:val="15"/>
          <w:szCs w:val="15"/>
          <w:color w:val="auto"/>
        </w:rPr>
        <w:t>, subject to adjustment hereunder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232" w:lineRule="exact"/>
        <w:rPr>
          <w:rFonts w:ascii="Arial" w:cs="Arial" w:eastAsia="Arial" w:hAnsi="Arial"/>
          <w:sz w:val="15"/>
          <w:szCs w:val="15"/>
          <w:color w:val="auto"/>
        </w:rPr>
      </w:pPr>
    </w:p>
    <w:p>
      <w:pPr>
        <w:jc w:val="both"/>
        <w:ind w:firstLine="622"/>
        <w:spacing w:after="0" w:line="262" w:lineRule="auto"/>
        <w:tabs>
          <w:tab w:leader="none" w:pos="1368"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4" w:lineRule="exact"/>
        <w:rPr>
          <w:rFonts w:ascii="Arial" w:cs="Arial" w:eastAsia="Arial" w:hAnsi="Arial"/>
          <w:sz w:val="17"/>
          <w:szCs w:val="17"/>
          <w:color w:val="auto"/>
        </w:rPr>
      </w:pPr>
    </w:p>
    <w:p>
      <w:pPr>
        <w:ind w:left="1080" w:firstLine="76"/>
        <w:spacing w:after="0" w:line="280" w:lineRule="auto"/>
        <w:tabs>
          <w:tab w:leader="none" w:pos="1456" w:val="left"/>
        </w:tabs>
        <w:numPr>
          <w:ilvl w:val="2"/>
          <w:numId w:val="4"/>
        </w:numPr>
        <w:rPr>
          <w:rFonts w:ascii="Arial" w:cs="Arial" w:eastAsia="Arial" w:hAnsi="Arial"/>
          <w:sz w:val="17"/>
          <w:szCs w:val="17"/>
          <w:color w:val="auto"/>
        </w:rPr>
      </w:pPr>
      <w:r>
        <w:rPr>
          <w:rFonts w:ascii="Arial" w:cs="Arial" w:eastAsia="Arial" w:hAnsi="Arial"/>
          <w:sz w:val="17"/>
          <w:szCs w:val="17"/>
          <w:color w:val="auto"/>
        </w:rPr>
        <w:t>= the VWAP on the Trading Day immediately preceding the date on which Holder elects to exercise this Warrant by means of a “cashless exercise,” as set forth in the applicable Notice of Exercise;</w:t>
      </w:r>
    </w:p>
    <w:p>
      <w:pPr>
        <w:spacing w:after="0" w:line="189" w:lineRule="exact"/>
        <w:rPr>
          <w:rFonts w:ascii="Arial" w:cs="Arial" w:eastAsia="Arial" w:hAnsi="Arial"/>
          <w:sz w:val="17"/>
          <w:szCs w:val="17"/>
          <w:color w:val="auto"/>
        </w:rPr>
      </w:pPr>
    </w:p>
    <w:p>
      <w:pPr>
        <w:ind w:left="1400" w:hanging="270"/>
        <w:spacing w:after="0"/>
        <w:tabs>
          <w:tab w:leader="none" w:pos="1400" w:val="left"/>
        </w:tabs>
        <w:numPr>
          <w:ilvl w:val="1"/>
          <w:numId w:val="4"/>
        </w:numPr>
        <w:rPr>
          <w:rFonts w:ascii="Arial" w:cs="Arial" w:eastAsia="Arial" w:hAnsi="Arial"/>
          <w:sz w:val="17"/>
          <w:szCs w:val="17"/>
          <w:color w:val="auto"/>
        </w:rPr>
      </w:pPr>
      <w:r>
        <w:rPr>
          <w:rFonts w:ascii="Arial" w:cs="Arial" w:eastAsia="Arial" w:hAnsi="Arial"/>
          <w:sz w:val="17"/>
          <w:szCs w:val="17"/>
          <w:color w:val="auto"/>
        </w:rPr>
        <w:t>= the Exercise Price of this Warrant, as adjusted hereunder; and</w:t>
      </w:r>
    </w:p>
    <w:p>
      <w:pPr>
        <w:spacing w:after="0" w:line="243" w:lineRule="exact"/>
        <w:rPr>
          <w:sz w:val="20"/>
          <w:szCs w:val="20"/>
          <w:color w:val="auto"/>
        </w:rPr>
      </w:pPr>
    </w:p>
    <w:p>
      <w:pPr>
        <w:ind w:left="1080" w:firstLine="62"/>
        <w:spacing w:after="0" w:line="280" w:lineRule="auto"/>
        <w:tabs>
          <w:tab w:leader="none" w:pos="1430" w:val="left"/>
        </w:tabs>
        <w:numPr>
          <w:ilvl w:val="0"/>
          <w:numId w:val="5"/>
        </w:numPr>
        <w:rPr>
          <w:rFonts w:ascii="Arial" w:cs="Arial" w:eastAsia="Arial" w:hAnsi="Arial"/>
          <w:sz w:val="17"/>
          <w:szCs w:val="17"/>
          <w:color w:val="auto"/>
        </w:rPr>
      </w:pPr>
      <w:r>
        <w:rPr>
          <w:rFonts w:ascii="Arial" w:cs="Arial" w:eastAsia="Arial" w:hAnsi="Arial"/>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 Bulletin Board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Notwithstanding anything herein to the contrary, on the Termination Date, this Warrant shall be automatically exercised via cashless exercise pursuant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371475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960" w:right="239" w:bottom="1440" w:gutter="0" w:footer="0" w:header="0"/>
        </w:sectPr>
      </w:pPr>
    </w:p>
    <w:bookmarkStart w:id="6" w:name="page7"/>
    <w:bookmarkEnd w:id="6"/>
    <w:p>
      <w:pPr>
        <w:ind w:left="660" w:hanging="61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660" w:firstLine="621"/>
        <w:spacing w:after="0" w:line="272" w:lineRule="auto"/>
        <w:tabs>
          <w:tab w:leader="none" w:pos="177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prime broker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to the address specified by the Holder in the Notice of Exercise by the date that is one (1) Trading Day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w:t>
      </w:r>
    </w:p>
    <w:p>
      <w:pPr>
        <w:spacing w:after="0" w:line="201" w:lineRule="exact"/>
        <w:rPr>
          <w:rFonts w:ascii="Arial" w:cs="Arial" w:eastAsia="Arial" w:hAnsi="Arial"/>
          <w:sz w:val="16"/>
          <w:szCs w:val="16"/>
          <w:color w:val="auto"/>
        </w:rPr>
      </w:pPr>
    </w:p>
    <w:p>
      <w:pPr>
        <w:jc w:val="both"/>
        <w:ind w:left="660" w:firstLine="621"/>
        <w:spacing w:after="0" w:line="262" w:lineRule="auto"/>
        <w:tabs>
          <w:tab w:leader="none" w:pos="1766"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4" w:lineRule="exact"/>
        <w:rPr>
          <w:rFonts w:ascii="Arial" w:cs="Arial" w:eastAsia="Arial" w:hAnsi="Arial"/>
          <w:sz w:val="17"/>
          <w:szCs w:val="17"/>
          <w:color w:val="auto"/>
        </w:rPr>
      </w:pPr>
    </w:p>
    <w:p>
      <w:pPr>
        <w:ind w:left="660" w:firstLine="621"/>
        <w:spacing w:after="0" w:line="280" w:lineRule="auto"/>
        <w:tabs>
          <w:tab w:leader="none" w:pos="1737"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519430</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734" w:right="239" w:bottom="1440" w:gutter="0" w:footer="0" w:header="0"/>
        </w:sectPr>
      </w:pPr>
    </w:p>
    <w:bookmarkStart w:id="7" w:name="page8"/>
    <w:bookmarkEnd w:id="7"/>
    <w:p>
      <w:pPr>
        <w:jc w:val="both"/>
        <w:ind w:left="660" w:firstLine="621"/>
        <w:spacing w:after="0" w:line="271" w:lineRule="auto"/>
        <w:tabs>
          <w:tab w:leader="none" w:pos="179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8" w:lineRule="exact"/>
        <w:rPr>
          <w:rFonts w:ascii="Arial" w:cs="Arial" w:eastAsia="Arial" w:hAnsi="Arial"/>
          <w:sz w:val="16"/>
          <w:szCs w:val="16"/>
          <w:color w:val="auto"/>
        </w:rPr>
      </w:pPr>
    </w:p>
    <w:p>
      <w:pPr>
        <w:jc w:val="both"/>
        <w:ind w:left="660" w:firstLine="621"/>
        <w:spacing w:after="0" w:line="262" w:lineRule="auto"/>
        <w:tabs>
          <w:tab w:leader="none" w:pos="166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528955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966" w:right="239" w:bottom="1440" w:gutter="0" w:footer="0" w:header="0"/>
        </w:sectPr>
      </w:pPr>
    </w:p>
    <w:bookmarkStart w:id="8" w:name="page9"/>
    <w:bookmarkEnd w:id="8"/>
    <w:p>
      <w:pPr>
        <w:jc w:val="both"/>
        <w:ind w:left="660" w:firstLine="621"/>
        <w:spacing w:after="0" w:line="256" w:lineRule="auto"/>
        <w:tabs>
          <w:tab w:leader="none" w:pos="1792"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14" w:lineRule="exact"/>
        <w:rPr>
          <w:rFonts w:ascii="Arial" w:cs="Arial" w:eastAsia="Arial" w:hAnsi="Arial"/>
          <w:sz w:val="17"/>
          <w:szCs w:val="17"/>
          <w:color w:val="auto"/>
        </w:rPr>
      </w:pPr>
    </w:p>
    <w:p>
      <w:pPr>
        <w:ind w:left="660" w:firstLine="621"/>
        <w:spacing w:after="0" w:line="280" w:lineRule="auto"/>
        <w:tabs>
          <w:tab w:leader="none" w:pos="1775"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Closing of Books</w:t>
      </w:r>
      <w:r>
        <w:rPr>
          <w:rFonts w:ascii="Arial" w:cs="Arial" w:eastAsia="Arial" w:hAnsi="Arial"/>
          <w:sz w:val="17"/>
          <w:szCs w:val="17"/>
          <w:color w:val="auto"/>
        </w:rPr>
        <w:t>. The Company will not close its stockholder books or records in any manner which prevents the timely exercise of this Warrant, pursuant to the terms hereof.</w:t>
      </w:r>
    </w:p>
    <w:p>
      <w:pPr>
        <w:spacing w:after="0" w:line="189" w:lineRule="exact"/>
        <w:rPr>
          <w:rFonts w:ascii="Arial" w:cs="Arial" w:eastAsia="Arial" w:hAnsi="Arial"/>
          <w:sz w:val="17"/>
          <w:szCs w:val="17"/>
          <w:color w:val="auto"/>
        </w:rPr>
      </w:pPr>
    </w:p>
    <w:p>
      <w:pPr>
        <w:jc w:val="both"/>
        <w:ind w:left="-580" w:firstLine="622"/>
        <w:spacing w:after="0" w:line="272"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528320</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966" w:right="239" w:bottom="1440" w:gutter="0" w:footer="0" w:header="0"/>
        </w:sectPr>
      </w:pPr>
    </w:p>
    <w:bookmarkStart w:id="9" w:name="page10"/>
    <w:bookmarkEnd w:id="9"/>
    <w:p>
      <w:pPr>
        <w:jc w:val="both"/>
        <w:spacing w:after="0" w:line="266" w:lineRule="auto"/>
        <w:rPr>
          <w:sz w:val="20"/>
          <w:szCs w:val="20"/>
          <w:color w:val="auto"/>
        </w:rPr>
      </w:pPr>
      <w:r>
        <w:rPr>
          <w:rFonts w:ascii="Arial" w:cs="Arial" w:eastAsia="Arial" w:hAnsi="Arial"/>
          <w:sz w:val="16"/>
          <w:szCs w:val="16"/>
          <w:color w:val="auto"/>
        </w:rPr>
        <w:t>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 less than 61 days’ prior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such increase or decrease will not be effective until the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532130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0" w:name="page11"/>
    <w:bookmarkEnd w:id="10"/>
    <w:p>
      <w:pPr>
        <w:spacing w:after="0"/>
        <w:tabs>
          <w:tab w:leader="none" w:pos="1620" w:val="left"/>
        </w:tabs>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Certain Adjustments</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73" w:lineRule="auto"/>
        <w:tabs>
          <w:tab w:leader="none" w:pos="12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1" w:lineRule="exact"/>
        <w:rPr>
          <w:rFonts w:ascii="Arial" w:cs="Arial" w:eastAsia="Arial" w:hAnsi="Arial"/>
          <w:sz w:val="16"/>
          <w:szCs w:val="16"/>
          <w:color w:val="auto"/>
        </w:rPr>
      </w:pPr>
    </w:p>
    <w:p>
      <w:pPr>
        <w:ind w:left="1240" w:hanging="618"/>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[RESERVED]</w:t>
      </w:r>
    </w:p>
    <w:p>
      <w:pPr>
        <w:spacing w:after="0" w:line="243" w:lineRule="exact"/>
        <w:rPr>
          <w:rFonts w:ascii="Arial" w:cs="Arial" w:eastAsia="Arial" w:hAnsi="Arial"/>
          <w:sz w:val="17"/>
          <w:szCs w:val="17"/>
          <w:color w:val="auto"/>
        </w:rPr>
      </w:pPr>
    </w:p>
    <w:p>
      <w:pPr>
        <w:jc w:val="both"/>
        <w:ind w:firstLine="622"/>
        <w:spacing w:after="0" w:line="273" w:lineRule="auto"/>
        <w:tabs>
          <w:tab w:leader="none" w:pos="126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527050</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1" w:name="page12"/>
    <w:bookmarkEnd w:id="11"/>
    <w:p>
      <w:pPr>
        <w:jc w:val="both"/>
        <w:ind w:left="-580" w:firstLine="622"/>
        <w:spacing w:after="0" w:line="273" w:lineRule="auto"/>
        <w:tabs>
          <w:tab w:leader="none" w:pos="79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8" w:lineRule="exact"/>
        <w:rPr>
          <w:rFonts w:ascii="Arial" w:cs="Arial" w:eastAsia="Arial" w:hAnsi="Arial"/>
          <w:sz w:val="16"/>
          <w:szCs w:val="16"/>
          <w:color w:val="auto"/>
        </w:rPr>
      </w:pPr>
    </w:p>
    <w:p>
      <w:pPr>
        <w:jc w:val="both"/>
        <w:ind w:left="-580" w:firstLine="622"/>
        <w:spacing w:after="0" w:line="292" w:lineRule="auto"/>
        <w:tabs>
          <w:tab w:leader="none" w:pos="698"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Fundamental Transaction</w:t>
      </w:r>
      <w:r>
        <w:rPr>
          <w:rFonts w:ascii="Arial" w:cs="Arial" w:eastAsia="Arial" w:hAnsi="Arial"/>
          <w:sz w:val="15"/>
          <w:szCs w:val="15"/>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Holder shall have the right to receive, for each Warrant Share that would have been issuable upon such exercise immediately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518795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6"/>
          <w:szCs w:val="16"/>
          <w:color w:val="auto"/>
        </w:rPr>
        <w:t>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527050</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3" w:name="page14"/>
    <w:bookmarkEnd w:id="13"/>
    <w:p>
      <w:pPr>
        <w:jc w:val="both"/>
        <w:ind w:left="-580" w:firstLine="622"/>
        <w:spacing w:after="0" w:line="266" w:lineRule="auto"/>
        <w:tabs>
          <w:tab w:leader="none" w:pos="69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1" w:lineRule="exact"/>
        <w:rPr>
          <w:rFonts w:ascii="Arial" w:cs="Arial" w:eastAsia="Arial" w:hAnsi="Arial"/>
          <w:sz w:val="17"/>
          <w:szCs w:val="17"/>
          <w:color w:val="auto"/>
        </w:rPr>
      </w:pPr>
    </w:p>
    <w:p>
      <w:pPr>
        <w:ind w:left="660" w:hanging="61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Notice to Holder</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660" w:firstLine="621"/>
        <w:spacing w:after="0" w:line="266" w:lineRule="auto"/>
        <w:tabs>
          <w:tab w:leader="none" w:pos="1744"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spacing w:after="0" w:line="201" w:lineRule="exact"/>
        <w:rPr>
          <w:rFonts w:ascii="Arial" w:cs="Arial" w:eastAsia="Arial" w:hAnsi="Arial"/>
          <w:sz w:val="17"/>
          <w:szCs w:val="17"/>
          <w:color w:val="auto"/>
        </w:rPr>
      </w:pPr>
    </w:p>
    <w:p>
      <w:pPr>
        <w:jc w:val="both"/>
        <w:ind w:left="660" w:firstLine="621"/>
        <w:spacing w:after="0" w:line="290" w:lineRule="auto"/>
        <w:tabs>
          <w:tab w:leader="none" w:pos="1753"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Notice to Allow Exercise by Holder</w:t>
      </w:r>
      <w:r>
        <w:rPr>
          <w:rFonts w:ascii="Arial" w:cs="Arial" w:eastAsia="Arial" w:hAnsi="Arial"/>
          <w:sz w:val="15"/>
          <w:szCs w:val="15"/>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654685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4" w:name="page15"/>
    <w:bookmarkEnd w:id="14"/>
    <w:p>
      <w:pPr>
        <w:spacing w:after="0"/>
        <w:tabs>
          <w:tab w:leader="none" w:pos="1620" w:val="left"/>
        </w:tabs>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Transfer of Warrant</w:t>
      </w:r>
      <w:r>
        <w:rPr>
          <w:rFonts w:ascii="Arial" w:cs="Arial" w:eastAsia="Arial" w:hAnsi="Arial"/>
          <w:sz w:val="15"/>
          <w:szCs w:val="15"/>
          <w:color w:val="auto"/>
        </w:rPr>
        <w:t>.</w:t>
      </w:r>
    </w:p>
    <w:p>
      <w:pPr>
        <w:spacing w:after="0" w:line="234" w:lineRule="exact"/>
        <w:rPr>
          <w:sz w:val="20"/>
          <w:szCs w:val="20"/>
          <w:color w:val="auto"/>
        </w:rPr>
      </w:pPr>
    </w:p>
    <w:p>
      <w:pPr>
        <w:jc w:val="both"/>
        <w:ind w:firstLine="622"/>
        <w:spacing w:after="0" w:line="245" w:lineRule="auto"/>
        <w:tabs>
          <w:tab w:leader="none" w:pos="144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Transferability.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211" w:lineRule="exact"/>
        <w:rPr>
          <w:rFonts w:ascii="Arial" w:cs="Arial" w:eastAsia="Arial" w:hAnsi="Arial"/>
          <w:sz w:val="20"/>
          <w:szCs w:val="20"/>
          <w:color w:val="auto"/>
        </w:rPr>
      </w:pPr>
    </w:p>
    <w:p>
      <w:pPr>
        <w:ind w:left="1400" w:hanging="778"/>
        <w:spacing w:after="0"/>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New Warrants</w:t>
      </w:r>
      <w:r>
        <w:rPr>
          <w:rFonts w:ascii="Arial" w:cs="Arial" w:eastAsia="Arial" w:hAnsi="Arial"/>
          <w:sz w:val="16"/>
          <w:szCs w:val="16"/>
          <w:color w:val="auto"/>
        </w:rPr>
        <w:t>. This Warrant may be divided or combined with other Warrants upon presentation hereof at the aforesaid office of the</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211" w:lineRule="exact"/>
        <w:rPr>
          <w:sz w:val="20"/>
          <w:szCs w:val="20"/>
          <w:color w:val="auto"/>
        </w:rPr>
      </w:pPr>
    </w:p>
    <w:p>
      <w:pPr>
        <w:jc w:val="both"/>
        <w:ind w:firstLine="622"/>
        <w:spacing w:after="0" w:line="318" w:lineRule="auto"/>
        <w:tabs>
          <w:tab w:leader="none" w:pos="1252"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Warrant Register</w:t>
      </w:r>
      <w:r>
        <w:rPr>
          <w:rFonts w:ascii="Arial" w:cs="Arial" w:eastAsia="Arial" w:hAnsi="Arial"/>
          <w:sz w:val="15"/>
          <w:szCs w:val="15"/>
          <w:color w:val="auto"/>
        </w:rPr>
        <w:t>. The Company shall register this Warrant, upon records to be maintained by the Company for that purpose (the “</w:t>
      </w:r>
      <w:r>
        <w:rPr>
          <w:rFonts w:ascii="Arial" w:cs="Arial" w:eastAsia="Arial" w:hAnsi="Arial"/>
          <w:sz w:val="15"/>
          <w:szCs w:val="15"/>
          <w:u w:val="single" w:color="auto"/>
          <w:color w:val="auto"/>
        </w:rPr>
        <w:t>Warrant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Register</w:t>
      </w:r>
      <w:r>
        <w:rPr>
          <w:rFonts w:ascii="Arial" w:cs="Arial" w:eastAsia="Arial" w:hAnsi="Arial"/>
          <w:sz w:val="15"/>
          <w:szCs w:val="15"/>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6" w:lineRule="exact"/>
        <w:rPr>
          <w:sz w:val="20"/>
          <w:szCs w:val="20"/>
          <w:color w:val="auto"/>
        </w:rPr>
      </w:pPr>
    </w:p>
    <w:p>
      <w:pPr>
        <w:spacing w:after="0"/>
        <w:tabs>
          <w:tab w:leader="none" w:pos="1620" w:val="left"/>
        </w:tabs>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243" w:lineRule="exact"/>
        <w:rPr>
          <w:sz w:val="20"/>
          <w:szCs w:val="20"/>
          <w:color w:val="auto"/>
        </w:rPr>
      </w:pPr>
    </w:p>
    <w:p>
      <w:pPr>
        <w:ind w:firstLine="622"/>
        <w:spacing w:after="0" w:line="280" w:lineRule="auto"/>
        <w:tabs>
          <w:tab w:leader="none" w:pos="135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519430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5" w:name="page16"/>
    <w:bookmarkEnd w:id="15"/>
    <w:p>
      <w:pPr>
        <w:jc w:val="both"/>
        <w:ind w:left="-580" w:firstLine="622"/>
        <w:spacing w:after="0" w:line="260" w:lineRule="auto"/>
        <w:tabs>
          <w:tab w:leader="none" w:pos="78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5" w:lineRule="exact"/>
        <w:rPr>
          <w:rFonts w:ascii="Arial" w:cs="Arial" w:eastAsia="Arial" w:hAnsi="Arial"/>
          <w:sz w:val="17"/>
          <w:szCs w:val="17"/>
          <w:color w:val="auto"/>
        </w:rPr>
      </w:pPr>
    </w:p>
    <w:p>
      <w:pPr>
        <w:ind w:left="-580" w:firstLine="622"/>
        <w:spacing w:after="0" w:line="312" w:lineRule="auto"/>
        <w:tabs>
          <w:tab w:leader="none" w:pos="801"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6" w:lineRule="exact"/>
        <w:rPr>
          <w:rFonts w:ascii="Arial" w:cs="Arial" w:eastAsia="Arial" w:hAnsi="Arial"/>
          <w:sz w:val="16"/>
          <w:szCs w:val="16"/>
          <w:color w:val="auto"/>
        </w:rPr>
      </w:pPr>
    </w:p>
    <w:p>
      <w:pPr>
        <w:ind w:left="660" w:hanging="61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w:t>
      </w:r>
    </w:p>
    <w:p>
      <w:pPr>
        <w:spacing w:after="0" w:line="218" w:lineRule="exact"/>
        <w:rPr>
          <w:sz w:val="20"/>
          <w:szCs w:val="20"/>
          <w:color w:val="auto"/>
        </w:rPr>
      </w:pPr>
    </w:p>
    <w:p>
      <w:pPr>
        <w:jc w:val="both"/>
        <w:ind w:left="40" w:firstLine="850"/>
        <w:spacing w:after="0" w:line="274"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7" w:lineRule="exact"/>
        <w:rPr>
          <w:sz w:val="20"/>
          <w:szCs w:val="20"/>
          <w:color w:val="auto"/>
        </w:rPr>
      </w:pPr>
    </w:p>
    <w:p>
      <w:pPr>
        <w:jc w:val="both"/>
        <w:ind w:left="40" w:firstLine="619"/>
        <w:spacing w:after="0" w:line="256"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533400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6" w:name="page17"/>
    <w:bookmarkEnd w:id="16"/>
    <w:p>
      <w:pPr>
        <w:jc w:val="both"/>
        <w:ind w:left="40" w:firstLine="619"/>
        <w:spacing w:after="0" w:line="266" w:lineRule="auto"/>
        <w:rPr>
          <w:sz w:val="20"/>
          <w:szCs w:val="20"/>
          <w:color w:val="auto"/>
        </w:rPr>
      </w:pPr>
      <w:r>
        <w:rPr>
          <w:rFonts w:ascii="Arial" w:cs="Arial" w:eastAsia="Arial" w:hAnsi="Arial"/>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2" w:lineRule="exact"/>
        <w:rPr>
          <w:sz w:val="20"/>
          <w:szCs w:val="20"/>
          <w:color w:val="auto"/>
        </w:rPr>
      </w:pPr>
    </w:p>
    <w:p>
      <w:pPr>
        <w:ind w:left="-580" w:firstLine="622"/>
        <w:spacing w:after="0" w:line="280" w:lineRule="auto"/>
        <w:tabs>
          <w:tab w:leader="none" w:pos="78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determined in accordance with the provisions of the Purchase Agreement.</w:t>
      </w:r>
    </w:p>
    <w:p>
      <w:pPr>
        <w:spacing w:after="0" w:line="189" w:lineRule="exact"/>
        <w:rPr>
          <w:rFonts w:ascii="Arial" w:cs="Arial" w:eastAsia="Arial" w:hAnsi="Arial"/>
          <w:sz w:val="17"/>
          <w:szCs w:val="17"/>
          <w:color w:val="auto"/>
        </w:rPr>
      </w:pPr>
    </w:p>
    <w:p>
      <w:pPr>
        <w:ind w:left="-580" w:firstLine="622"/>
        <w:spacing w:after="0" w:line="280" w:lineRule="auto"/>
        <w:tabs>
          <w:tab w:leader="none" w:pos="79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7"/>
          <w:szCs w:val="17"/>
          <w:color w:val="auto"/>
        </w:rPr>
      </w:pPr>
    </w:p>
    <w:p>
      <w:pPr>
        <w:jc w:val="both"/>
        <w:ind w:left="-580" w:firstLine="622"/>
        <w:spacing w:after="0" w:line="258" w:lineRule="auto"/>
        <w:tabs>
          <w:tab w:leader="none" w:pos="68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10" w:lineRule="exact"/>
        <w:rPr>
          <w:rFonts w:ascii="Arial" w:cs="Arial" w:eastAsia="Arial" w:hAnsi="Arial"/>
          <w:sz w:val="17"/>
          <w:szCs w:val="17"/>
          <w:color w:val="auto"/>
        </w:rPr>
      </w:pPr>
    </w:p>
    <w:p>
      <w:pPr>
        <w:ind w:left="-580" w:firstLine="622"/>
        <w:spacing w:after="0" w:line="280" w:lineRule="auto"/>
        <w:tabs>
          <w:tab w:leader="none" w:pos="77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or other document required or permitted to be given or delivered to the Holder by the Company shall be delivered in accordance with the notice provisions of the Purchase Agreement.</w:t>
      </w:r>
    </w:p>
    <w:p>
      <w:pPr>
        <w:spacing w:after="0" w:line="189" w:lineRule="exact"/>
        <w:rPr>
          <w:rFonts w:ascii="Arial" w:cs="Arial" w:eastAsia="Arial" w:hAnsi="Arial"/>
          <w:sz w:val="17"/>
          <w:szCs w:val="17"/>
          <w:color w:val="auto"/>
        </w:rPr>
      </w:pPr>
    </w:p>
    <w:p>
      <w:pPr>
        <w:jc w:val="both"/>
        <w:ind w:left="-580" w:firstLine="622"/>
        <w:spacing w:after="0" w:line="291"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2" w:lineRule="exact"/>
        <w:rPr>
          <w:rFonts w:ascii="Arial" w:cs="Arial" w:eastAsia="Arial" w:hAnsi="Arial"/>
          <w:sz w:val="16"/>
          <w:szCs w:val="16"/>
          <w:color w:val="auto"/>
        </w:rPr>
      </w:pPr>
    </w:p>
    <w:p>
      <w:pPr>
        <w:jc w:val="both"/>
        <w:ind w:left="-580" w:firstLine="622"/>
        <w:spacing w:after="0" w:line="262" w:lineRule="auto"/>
        <w:tabs>
          <w:tab w:leader="none" w:pos="617"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528955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17" w:name="page18"/>
    <w:bookmarkEnd w:id="17"/>
    <w:p>
      <w:pPr>
        <w:jc w:val="both"/>
        <w:ind w:firstLine="622"/>
        <w:spacing w:after="0" w:line="262" w:lineRule="auto"/>
        <w:tabs>
          <w:tab w:leader="none" w:pos="127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4" w:lineRule="exact"/>
        <w:rPr>
          <w:rFonts w:ascii="Arial" w:cs="Arial" w:eastAsia="Arial" w:hAnsi="Arial"/>
          <w:sz w:val="17"/>
          <w:szCs w:val="17"/>
          <w:color w:val="auto"/>
        </w:rPr>
      </w:pPr>
    </w:p>
    <w:p>
      <w:pPr>
        <w:ind w:left="1220" w:hanging="598"/>
        <w:spacing w:after="0"/>
        <w:tabs>
          <w:tab w:leader="none" w:pos="122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Warrant may be modified or amended or the provisions hereof waived with the written consent of the Company and the</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Holder.</w:t>
      </w:r>
    </w:p>
    <w:p>
      <w:pPr>
        <w:spacing w:after="0" w:line="232" w:lineRule="exact"/>
        <w:rPr>
          <w:rFonts w:ascii="Arial" w:cs="Arial" w:eastAsia="Arial" w:hAnsi="Arial"/>
          <w:sz w:val="15"/>
          <w:szCs w:val="15"/>
          <w:color w:val="auto"/>
        </w:rPr>
      </w:pPr>
    </w:p>
    <w:p>
      <w:pPr>
        <w:jc w:val="both"/>
        <w:ind w:firstLine="622"/>
        <w:spacing w:after="0" w:line="291" w:lineRule="auto"/>
        <w:tabs>
          <w:tab w:leader="none" w:pos="138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2" w:lineRule="exact"/>
        <w:rPr>
          <w:rFonts w:ascii="Arial" w:cs="Arial" w:eastAsia="Arial" w:hAnsi="Arial"/>
          <w:sz w:val="16"/>
          <w:szCs w:val="16"/>
          <w:color w:val="auto"/>
        </w:rPr>
      </w:pPr>
    </w:p>
    <w:p>
      <w:pPr>
        <w:ind w:left="1260" w:hanging="638"/>
        <w:spacing w:after="0"/>
        <w:tabs>
          <w:tab w:leader="none" w:pos="126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used in this Warrant are for the convenience of reference only and shall not, for any purpose, be deemed a part of</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Warrant.</w:t>
      </w: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7"/>
          <w:szCs w:val="17"/>
          <w:color w:val="auto"/>
        </w:rPr>
        <w:t>IN WITNESS WHEREOF, the Company has caused this Warrant to be executed by its officer thereunto duly authorized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TAPIMMUNE INC.</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By:__________________________________________</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1268095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NOTICE OF EXERCISE</w:t>
      </w:r>
    </w:p>
    <w:p>
      <w:pPr>
        <w:spacing w:after="0" w:line="24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TAPIMMUNE INC.</w:t>
      </w:r>
    </w:p>
    <w:p>
      <w:pPr>
        <w:spacing w:after="0" w:line="243" w:lineRule="exact"/>
        <w:rPr>
          <w:sz w:val="20"/>
          <w:szCs w:val="20"/>
          <w:color w:val="auto"/>
        </w:rPr>
      </w:pPr>
    </w:p>
    <w:p>
      <w:pPr>
        <w:ind w:firstLine="1242"/>
        <w:spacing w:after="0" w:line="280" w:lineRule="auto"/>
        <w:tabs>
          <w:tab w:leader="none" w:pos="172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89" w:lineRule="exact"/>
        <w:rPr>
          <w:rFonts w:ascii="Arial" w:cs="Arial" w:eastAsia="Arial" w:hAnsi="Arial"/>
          <w:sz w:val="17"/>
          <w:szCs w:val="17"/>
          <w:color w:val="auto"/>
        </w:rPr>
      </w:pPr>
    </w:p>
    <w:p>
      <w:pPr>
        <w:ind w:left="1700" w:hanging="458"/>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 shall take the form of (check applicable box):</w:t>
      </w: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 in lawful money of the United States; or</w:t>
      </w:r>
    </w:p>
    <w:p>
      <w:pPr>
        <w:spacing w:after="0" w:line="243" w:lineRule="exact"/>
        <w:rPr>
          <w:sz w:val="20"/>
          <w:szCs w:val="20"/>
          <w:color w:val="auto"/>
        </w:rPr>
      </w:pPr>
    </w:p>
    <w:p>
      <w:pPr>
        <w:jc w:val="both"/>
        <w:ind w:left="1860" w:firstLine="2"/>
        <w:spacing w:after="0" w:line="266" w:lineRule="auto"/>
        <w:tabs>
          <w:tab w:leader="none" w:pos="1969" w:val="left"/>
        </w:tabs>
        <w:numPr>
          <w:ilvl w:val="1"/>
          <w:numId w:val="20"/>
        </w:numPr>
        <w:rPr>
          <w:rFonts w:ascii="Arial" w:cs="Arial" w:eastAsia="Arial" w:hAnsi="Arial"/>
          <w:sz w:val="17"/>
          <w:szCs w:val="17"/>
          <w:color w:val="auto"/>
        </w:rPr>
      </w:pPr>
      <w:r>
        <w:rPr>
          <w:rFonts w:ascii="Arial" w:cs="Arial" w:eastAsia="Arial" w:hAnsi="Arial"/>
          <w:sz w:val="17"/>
          <w:szCs w:val="17"/>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201" w:lineRule="exact"/>
        <w:rPr>
          <w:rFonts w:ascii="Arial" w:cs="Arial" w:eastAsia="Arial" w:hAnsi="Arial"/>
          <w:sz w:val="17"/>
          <w:szCs w:val="17"/>
          <w:color w:val="auto"/>
        </w:rPr>
      </w:pPr>
    </w:p>
    <w:p>
      <w:pPr>
        <w:ind w:left="1700" w:hanging="458"/>
        <w:spacing w:after="0"/>
        <w:tabs>
          <w:tab w:leader="none" w:pos="1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Please issue said Warrant Shares in the name of the undersigned or in such other name as is specified below:</w:t>
      </w:r>
    </w:p>
    <w:p>
      <w:pPr>
        <w:spacing w:after="0" w:line="2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Warrant Shares shall be delivered to the following DWAC Account Number: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[SIGNATURE OF HOLDER]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Name of Investing Entity: ________________________________________________________________________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Authorized Signatory of Investing Entity</w:t>
      </w:r>
      <w:r>
        <w:rPr>
          <w:rFonts w:ascii="Arial" w:cs="Arial" w:eastAsia="Arial" w:hAnsi="Arial"/>
          <w:sz w:val="17"/>
          <w:szCs w:val="17"/>
          <w:color w:val="auto"/>
        </w:rPr>
        <w:t>: 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Authorized Signatory: 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of Authorized Signatory: ____________________________________________________________________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841375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7"/>
          <w:szCs w:val="17"/>
          <w:b w:val="1"/>
          <w:bCs w:val="1"/>
          <w:color w:val="auto"/>
        </w:rPr>
        <w:t>EXHIBIT B</w:t>
      </w:r>
    </w:p>
    <w:p>
      <w:pPr>
        <w:spacing w:after="0" w:line="24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ASSIGNMENT FORM</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(To assign the foregoing Warrant, execute this form and supply required information. Do not use this form to purchase shares.)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VALUE RECEIVED, the foregoing Warrant and all rights evidenced thereby are hereby assigned to</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(Please Print)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(Please Print)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 __, 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Holder’s Signature: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25741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0219"/>
          </w:cols>
          <w:pgMar w:left="240" w:top="96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193040</wp:posOffset>
            </wp:positionV>
            <wp:extent cx="725741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4.2</w:t>
      </w:r>
    </w:p>
    <w:p>
      <w:pPr>
        <w:spacing w:after="0" w:line="200" w:lineRule="exact"/>
        <w:rPr>
          <w:sz w:val="20"/>
          <w:szCs w:val="20"/>
          <w:color w:val="auto"/>
        </w:rPr>
      </w:pPr>
    </w:p>
    <w:p>
      <w:pPr>
        <w:spacing w:after="0" w:line="261"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PURCHASE WARRANT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TAPIMMUNE INC.</w:t>
      </w:r>
    </w:p>
    <w:p>
      <w:pPr>
        <w:sectPr>
          <w:pgSz w:w="11900" w:h="16838" w:orient="portrait"/>
          <w:cols w:equalWidth="0" w:num="1">
            <w:col w:w="11420"/>
          </w:cols>
          <w:pgMar w:left="240" w:top="422"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Warrant Shares: 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Initial Exercise Date: August __, 2014</w:t>
      </w:r>
    </w:p>
    <w:p>
      <w:pPr>
        <w:spacing w:after="0" w:line="200" w:lineRule="exact"/>
        <w:rPr>
          <w:sz w:val="20"/>
          <w:szCs w:val="20"/>
          <w:color w:val="auto"/>
        </w:rPr>
      </w:pPr>
    </w:p>
    <w:p>
      <w:pPr>
        <w:sectPr>
          <w:pgSz w:w="11900" w:h="16838" w:orient="portrait"/>
          <w:cols w:equalWidth="0" w:num="2">
            <w:col w:w="4260" w:space="720"/>
            <w:col w:w="6440"/>
          </w:cols>
          <w:pgMar w:left="240" w:top="422" w:right="239" w:bottom="1440" w:gutter="0" w:footer="0" w:header="0"/>
          <w:type w:val="continuous"/>
        </w:sectPr>
      </w:pP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w:t>
      </w:r>
    </w:p>
    <w:p>
      <w:pPr>
        <w:spacing w:after="0" w:line="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Date</w:t>
      </w:r>
      <w:r>
        <w:rPr>
          <w:rFonts w:ascii="Arial" w:cs="Arial" w:eastAsia="Arial" w:hAnsi="Arial"/>
          <w:sz w:val="16"/>
          <w:szCs w:val="16"/>
          <w:color w:val="auto"/>
        </w:rPr>
        <w:t>”) and on or prior to the close of business on July 23, 2019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TAPIMMUNE,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Common Stock.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purchase price of one share of Common Stock under this Warrant shall be equal to the Exercise Price, as defined in Section 2(b). This Warrant is issued by the Company as of the date hereof pursuant to Section A.2 of the Engagement Agreement, dated as of July 29, 2014, between the Company and H.C. Wainwright &amp; Co., LLC and Section 4(a)(2) of the Securities Act and Rule 506 promulgated hereunder.</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August 11, 2014,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22" w:name="page23"/>
    <w:bookmarkEnd w:id="22"/>
    <w:p>
      <w:pPr>
        <w:spacing w:after="0"/>
        <w:tabs>
          <w:tab w:leader="none" w:pos="1620" w:val="left"/>
        </w:tabs>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Exercise</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91" w:lineRule="auto"/>
        <w:tabs>
          <w:tab w:leader="none" w:pos="13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in the form annexed hereto. Within three (3) 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5"/>
          <w:szCs w:val="15"/>
          <w:b w:val="1"/>
          <w:bCs w:val="1"/>
          <w:color w:val="auto"/>
        </w:rPr>
        <w:t>The Holder and any assignee, by acceptance of this Warrant,</w:t>
      </w:r>
      <w:r>
        <w:rPr>
          <w:rFonts w:ascii="Arial" w:cs="Arial" w:eastAsia="Arial" w:hAnsi="Arial"/>
          <w:sz w:val="15"/>
          <w:szCs w:val="15"/>
          <w:color w:val="auto"/>
        </w:rPr>
        <w:t xml:space="preserve"> </w:t>
      </w:r>
      <w:r>
        <w:rPr>
          <w:rFonts w:ascii="Arial" w:cs="Arial" w:eastAsia="Arial" w:hAnsi="Arial"/>
          <w:sz w:val="15"/>
          <w:szCs w:val="15"/>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3" w:lineRule="exact"/>
        <w:rPr>
          <w:rFonts w:ascii="Arial" w:cs="Arial" w:eastAsia="Arial" w:hAnsi="Arial"/>
          <w:sz w:val="15"/>
          <w:szCs w:val="15"/>
          <w:color w:val="auto"/>
        </w:rPr>
      </w:pPr>
    </w:p>
    <w:p>
      <w:pPr>
        <w:ind w:firstLine="622"/>
        <w:spacing w:after="0" w:line="287" w:lineRule="auto"/>
        <w:tabs>
          <w:tab w:leader="none" w:pos="132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per share of the Common Stock under this Warrant shall be </w:t>
      </w:r>
      <w:r>
        <w:rPr>
          <w:rFonts w:ascii="Arial" w:cs="Arial" w:eastAsia="Arial" w:hAnsi="Arial"/>
          <w:sz w:val="17"/>
          <w:szCs w:val="17"/>
          <w:b w:val="1"/>
          <w:bCs w:val="1"/>
          <w:color w:val="auto"/>
        </w:rPr>
        <w:t>$1.325</w:t>
      </w:r>
      <w:r>
        <w:rPr>
          <w:rFonts w:ascii="Arial" w:cs="Arial" w:eastAsia="Arial" w:hAnsi="Arial"/>
          <w:sz w:val="17"/>
          <w:szCs w:val="17"/>
          <w:color w:val="auto"/>
        </w:rPr>
        <w:t>, subject to adjustment hereunder (the “</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622"/>
        <w:spacing w:after="0" w:line="262" w:lineRule="auto"/>
        <w:tabs>
          <w:tab w:leader="none" w:pos="136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528955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23" w:name="page24"/>
    <w:bookmarkEnd w:id="23"/>
    <w:p>
      <w:pPr>
        <w:ind w:left="1080" w:firstLine="7"/>
        <w:spacing w:after="0" w:line="280" w:lineRule="auto"/>
        <w:tabs>
          <w:tab w:leader="none" w:pos="139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the VWAP on the Trading Day immediately preceding the date on which Holder elects to exercise this Warrant by means of a “cashless exercise,” as set forth in the applicable Notice of Exercise;</w:t>
      </w:r>
    </w:p>
    <w:p>
      <w:pPr>
        <w:spacing w:after="0" w:line="189" w:lineRule="exact"/>
        <w:rPr>
          <w:rFonts w:ascii="Arial" w:cs="Arial" w:eastAsia="Arial" w:hAnsi="Arial"/>
          <w:sz w:val="17"/>
          <w:szCs w:val="17"/>
          <w:color w:val="auto"/>
        </w:rPr>
      </w:pPr>
    </w:p>
    <w:p>
      <w:pPr>
        <w:ind w:left="1360" w:hanging="273"/>
        <w:spacing w:after="0"/>
        <w:tabs>
          <w:tab w:leader="none" w:pos="1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the Exercise Price of this Warrant, as adjusted hereunder; and</w:t>
      </w:r>
    </w:p>
    <w:p>
      <w:pPr>
        <w:spacing w:after="0" w:line="243" w:lineRule="exact"/>
        <w:rPr>
          <w:sz w:val="20"/>
          <w:szCs w:val="20"/>
          <w:color w:val="auto"/>
        </w:rPr>
      </w:pPr>
    </w:p>
    <w:p>
      <w:pPr>
        <w:ind w:left="1080" w:firstLine="7"/>
        <w:spacing w:after="0" w:line="280" w:lineRule="auto"/>
        <w:tabs>
          <w:tab w:leader="none" w:pos="13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 Bulletin Board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Notwithstanding anything herein to the contrary, on the Termination Date, this Warrant shall be automatically exercised via cashless exercise pursuant to this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371475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734" w:right="239" w:bottom="1440" w:gutter="0" w:footer="0" w:header="0"/>
        </w:sectPr>
      </w:pPr>
    </w:p>
    <w:bookmarkStart w:id="24" w:name="page25"/>
    <w:bookmarkEnd w:id="24"/>
    <w:p>
      <w:pPr>
        <w:ind w:left="660" w:hanging="61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660" w:firstLine="621"/>
        <w:spacing w:after="0" w:line="272" w:lineRule="auto"/>
        <w:tabs>
          <w:tab w:leader="none" w:pos="177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prime broker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to the address specified by the Holder in the Notice of Exercise by the date that is one (1) Trading Day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w:t>
      </w:r>
    </w:p>
    <w:p>
      <w:pPr>
        <w:spacing w:after="0" w:line="201" w:lineRule="exact"/>
        <w:rPr>
          <w:rFonts w:ascii="Arial" w:cs="Arial" w:eastAsia="Arial" w:hAnsi="Arial"/>
          <w:sz w:val="16"/>
          <w:szCs w:val="16"/>
          <w:color w:val="auto"/>
        </w:rPr>
      </w:pPr>
    </w:p>
    <w:p>
      <w:pPr>
        <w:jc w:val="both"/>
        <w:ind w:left="660" w:firstLine="621"/>
        <w:spacing w:after="0" w:line="262" w:lineRule="auto"/>
        <w:tabs>
          <w:tab w:leader="none" w:pos="1766"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4" w:lineRule="exact"/>
        <w:rPr>
          <w:rFonts w:ascii="Arial" w:cs="Arial" w:eastAsia="Arial" w:hAnsi="Arial"/>
          <w:sz w:val="17"/>
          <w:szCs w:val="17"/>
          <w:color w:val="auto"/>
        </w:rPr>
      </w:pPr>
    </w:p>
    <w:p>
      <w:pPr>
        <w:ind w:left="660" w:firstLine="621"/>
        <w:spacing w:after="0" w:line="280" w:lineRule="auto"/>
        <w:tabs>
          <w:tab w:leader="none" w:pos="1737"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519430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734" w:right="239" w:bottom="1440" w:gutter="0" w:footer="0" w:header="0"/>
        </w:sectPr>
      </w:pPr>
    </w:p>
    <w:bookmarkStart w:id="25" w:name="page26"/>
    <w:bookmarkEnd w:id="25"/>
    <w:p>
      <w:pPr>
        <w:jc w:val="both"/>
        <w:ind w:left="660" w:firstLine="621"/>
        <w:spacing w:after="0" w:line="271" w:lineRule="auto"/>
        <w:tabs>
          <w:tab w:leader="none" w:pos="179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8" w:lineRule="exact"/>
        <w:rPr>
          <w:rFonts w:ascii="Arial" w:cs="Arial" w:eastAsia="Arial" w:hAnsi="Arial"/>
          <w:sz w:val="16"/>
          <w:szCs w:val="16"/>
          <w:color w:val="auto"/>
        </w:rPr>
      </w:pPr>
    </w:p>
    <w:p>
      <w:pPr>
        <w:jc w:val="both"/>
        <w:ind w:left="660" w:firstLine="621"/>
        <w:spacing w:after="0" w:line="262" w:lineRule="auto"/>
        <w:tabs>
          <w:tab w:leader="none" w:pos="166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528955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734" w:right="239" w:bottom="1440" w:gutter="0" w:footer="0" w:header="0"/>
        </w:sectPr>
      </w:pPr>
    </w:p>
    <w:bookmarkStart w:id="26" w:name="page27"/>
    <w:bookmarkEnd w:id="26"/>
    <w:p>
      <w:pPr>
        <w:jc w:val="both"/>
        <w:ind w:left="660" w:firstLine="621"/>
        <w:spacing w:after="0" w:line="256" w:lineRule="auto"/>
        <w:tabs>
          <w:tab w:leader="none" w:pos="1792"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14" w:lineRule="exact"/>
        <w:rPr>
          <w:rFonts w:ascii="Arial" w:cs="Arial" w:eastAsia="Arial" w:hAnsi="Arial"/>
          <w:sz w:val="17"/>
          <w:szCs w:val="17"/>
          <w:color w:val="auto"/>
        </w:rPr>
      </w:pPr>
    </w:p>
    <w:p>
      <w:pPr>
        <w:ind w:left="660" w:firstLine="621"/>
        <w:spacing w:after="0" w:line="280" w:lineRule="auto"/>
        <w:tabs>
          <w:tab w:leader="none" w:pos="1775"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Closing of Books</w:t>
      </w:r>
      <w:r>
        <w:rPr>
          <w:rFonts w:ascii="Arial" w:cs="Arial" w:eastAsia="Arial" w:hAnsi="Arial"/>
          <w:sz w:val="17"/>
          <w:szCs w:val="17"/>
          <w:color w:val="auto"/>
        </w:rPr>
        <w:t>. The Company will not close its stockholder books or records in any manner which prevents the timely exercise of this Warrant, pursuant to the terms hereof.</w:t>
      </w:r>
    </w:p>
    <w:p>
      <w:pPr>
        <w:spacing w:after="0" w:line="189" w:lineRule="exact"/>
        <w:rPr>
          <w:rFonts w:ascii="Arial" w:cs="Arial" w:eastAsia="Arial" w:hAnsi="Arial"/>
          <w:sz w:val="17"/>
          <w:szCs w:val="17"/>
          <w:color w:val="auto"/>
        </w:rPr>
      </w:pPr>
    </w:p>
    <w:p>
      <w:pPr>
        <w:jc w:val="both"/>
        <w:ind w:left="-580" w:firstLine="622"/>
        <w:spacing w:after="0" w:line="291" w:lineRule="auto"/>
        <w:tabs>
          <w:tab w:leader="none" w:pos="84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Holder’s Exercise Limitations</w:t>
      </w:r>
      <w:r>
        <w:rPr>
          <w:rFonts w:ascii="Arial" w:cs="Arial" w:eastAsia="Arial" w:hAnsi="Arial"/>
          <w:sz w:val="15"/>
          <w:szCs w:val="15"/>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521335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27" w:name="page28"/>
    <w:bookmarkEnd w:id="27"/>
    <w:p>
      <w:pPr>
        <w:jc w:val="both"/>
        <w:spacing w:after="0" w:line="266" w:lineRule="auto"/>
        <w:rPr>
          <w:sz w:val="20"/>
          <w:szCs w:val="20"/>
          <w:color w:val="auto"/>
        </w:rPr>
      </w:pPr>
      <w:r>
        <w:rPr>
          <w:rFonts w:ascii="Arial" w:cs="Arial" w:eastAsia="Arial" w:hAnsi="Arial"/>
          <w:sz w:val="16"/>
          <w:szCs w:val="16"/>
          <w:color w:val="auto"/>
        </w:rPr>
        <w:t>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 less than 61 days’ prior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such increase or decrease will not be effective until the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530860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28" w:name="page29"/>
    <w:bookmarkEnd w:id="28"/>
    <w:p>
      <w:pPr>
        <w:spacing w:after="0"/>
        <w:tabs>
          <w:tab w:leader="none" w:pos="1620" w:val="left"/>
        </w:tabs>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Certain Adjustments</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73" w:lineRule="auto"/>
        <w:tabs>
          <w:tab w:leader="none" w:pos="125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1" w:lineRule="exact"/>
        <w:rPr>
          <w:rFonts w:ascii="Arial" w:cs="Arial" w:eastAsia="Arial" w:hAnsi="Arial"/>
          <w:sz w:val="16"/>
          <w:szCs w:val="16"/>
          <w:color w:val="auto"/>
        </w:rPr>
      </w:pPr>
    </w:p>
    <w:p>
      <w:pPr>
        <w:ind w:left="1240" w:hanging="618"/>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[RESERVED]</w:t>
      </w:r>
    </w:p>
    <w:p>
      <w:pPr>
        <w:spacing w:after="0" w:line="243" w:lineRule="exact"/>
        <w:rPr>
          <w:rFonts w:ascii="Arial" w:cs="Arial" w:eastAsia="Arial" w:hAnsi="Arial"/>
          <w:sz w:val="17"/>
          <w:szCs w:val="17"/>
          <w:color w:val="auto"/>
        </w:rPr>
      </w:pPr>
    </w:p>
    <w:p>
      <w:pPr>
        <w:jc w:val="both"/>
        <w:ind w:firstLine="622"/>
        <w:spacing w:after="0" w:line="273" w:lineRule="auto"/>
        <w:tabs>
          <w:tab w:leader="none" w:pos="126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527050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29" w:name="page30"/>
    <w:bookmarkEnd w:id="29"/>
    <w:p>
      <w:pPr>
        <w:jc w:val="both"/>
        <w:ind w:left="-580" w:firstLine="622"/>
        <w:spacing w:after="0" w:line="273" w:lineRule="auto"/>
        <w:tabs>
          <w:tab w:leader="none" w:pos="79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8" w:lineRule="exact"/>
        <w:rPr>
          <w:rFonts w:ascii="Arial" w:cs="Arial" w:eastAsia="Arial" w:hAnsi="Arial"/>
          <w:sz w:val="16"/>
          <w:szCs w:val="16"/>
          <w:color w:val="auto"/>
        </w:rPr>
      </w:pPr>
    </w:p>
    <w:p>
      <w:pPr>
        <w:jc w:val="both"/>
        <w:ind w:left="-580" w:firstLine="622"/>
        <w:spacing w:after="0" w:line="272" w:lineRule="auto"/>
        <w:tabs>
          <w:tab w:leader="none" w:pos="698"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527050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6"/>
          <w:szCs w:val="16"/>
          <w:color w:val="auto"/>
        </w:rPr>
        <w:t>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528320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1" w:name="page32"/>
    <w:bookmarkEnd w:id="31"/>
    <w:p>
      <w:pPr>
        <w:jc w:val="both"/>
        <w:ind w:left="-580" w:firstLine="622"/>
        <w:spacing w:after="0" w:line="266" w:lineRule="auto"/>
        <w:tabs>
          <w:tab w:leader="none" w:pos="69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1" w:lineRule="exact"/>
        <w:rPr>
          <w:rFonts w:ascii="Arial" w:cs="Arial" w:eastAsia="Arial" w:hAnsi="Arial"/>
          <w:sz w:val="17"/>
          <w:szCs w:val="17"/>
          <w:color w:val="auto"/>
        </w:rPr>
      </w:pPr>
    </w:p>
    <w:p>
      <w:pPr>
        <w:ind w:left="660" w:hanging="61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Notice to Holder</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660" w:firstLine="621"/>
        <w:spacing w:after="0" w:line="266" w:lineRule="auto"/>
        <w:tabs>
          <w:tab w:leader="none" w:pos="174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w:t>
      </w:r>
      <w:r>
        <w:rPr>
          <w:rFonts w:ascii="Arial" w:cs="Arial" w:eastAsia="Arial" w:hAnsi="Arial"/>
          <w:sz w:val="17"/>
          <w:szCs w:val="17"/>
          <w:color w:val="auto"/>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spacing w:after="0" w:line="201" w:lineRule="exact"/>
        <w:rPr>
          <w:rFonts w:ascii="Arial" w:cs="Arial" w:eastAsia="Arial" w:hAnsi="Arial"/>
          <w:sz w:val="17"/>
          <w:szCs w:val="17"/>
          <w:color w:val="auto"/>
        </w:rPr>
      </w:pPr>
    </w:p>
    <w:p>
      <w:pPr>
        <w:jc w:val="both"/>
        <w:ind w:left="660" w:firstLine="621"/>
        <w:spacing w:after="0" w:line="290" w:lineRule="auto"/>
        <w:tabs>
          <w:tab w:leader="none" w:pos="1753"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t>Notice to Allow Exercise by Holder</w:t>
      </w:r>
      <w:r>
        <w:rPr>
          <w:rFonts w:ascii="Arial" w:cs="Arial" w:eastAsia="Arial" w:hAnsi="Arial"/>
          <w:sz w:val="15"/>
          <w:szCs w:val="15"/>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654685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966" w:right="239" w:bottom="1440" w:gutter="0" w:footer="0" w:header="0"/>
        </w:sectPr>
      </w:pPr>
    </w:p>
    <w:bookmarkStart w:id="32" w:name="page33"/>
    <w:bookmarkEnd w:id="32"/>
    <w:p>
      <w:pPr>
        <w:spacing w:after="0"/>
        <w:tabs>
          <w:tab w:leader="none" w:pos="1620" w:val="left"/>
        </w:tabs>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Transfer of Warrant</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62" w:lineRule="auto"/>
        <w:tabs>
          <w:tab w:leader="none" w:pos="1355"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205" w:lineRule="exact"/>
        <w:rPr>
          <w:sz w:val="20"/>
          <w:szCs w:val="20"/>
          <w:color w:val="auto"/>
        </w:rPr>
      </w:pPr>
    </w:p>
    <w:p>
      <w:pPr>
        <w:ind w:left="1240" w:hanging="618"/>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by operation of law or by reason of reorganization of the Company;</w:t>
      </w:r>
    </w:p>
    <w:p>
      <w:pPr>
        <w:spacing w:after="0" w:line="243" w:lineRule="exact"/>
        <w:rPr>
          <w:rFonts w:ascii="Arial" w:cs="Arial" w:eastAsia="Arial" w:hAnsi="Arial"/>
          <w:sz w:val="17"/>
          <w:szCs w:val="17"/>
          <w:color w:val="auto"/>
        </w:rPr>
      </w:pPr>
    </w:p>
    <w:p>
      <w:pPr>
        <w:ind w:left="1240" w:hanging="618"/>
        <w:spacing w:after="0" w:line="280"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89" w:lineRule="exact"/>
        <w:rPr>
          <w:rFonts w:ascii="Arial" w:cs="Arial" w:eastAsia="Arial" w:hAnsi="Arial"/>
          <w:sz w:val="17"/>
          <w:szCs w:val="17"/>
          <w:color w:val="auto"/>
        </w:rPr>
      </w:pPr>
    </w:p>
    <w:p>
      <w:pPr>
        <w:ind w:left="1240" w:hanging="618"/>
        <w:spacing w:after="0" w:line="280"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aggregate amount of securities of the Company held by the Holder or related person do not exceed 1% of the securities being offered;</w:t>
      </w:r>
    </w:p>
    <w:p>
      <w:pPr>
        <w:spacing w:after="0" w:line="189" w:lineRule="exact"/>
        <w:rPr>
          <w:rFonts w:ascii="Arial" w:cs="Arial" w:eastAsia="Arial" w:hAnsi="Arial"/>
          <w:sz w:val="17"/>
          <w:szCs w:val="17"/>
          <w:color w:val="auto"/>
        </w:rPr>
      </w:pPr>
    </w:p>
    <w:p>
      <w:pPr>
        <w:jc w:val="both"/>
        <w:ind w:left="1240" w:hanging="618"/>
        <w:spacing w:after="0" w:line="26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201" w:lineRule="exact"/>
        <w:rPr>
          <w:rFonts w:ascii="Arial" w:cs="Arial" w:eastAsia="Arial" w:hAnsi="Arial"/>
          <w:sz w:val="17"/>
          <w:szCs w:val="17"/>
          <w:color w:val="auto"/>
        </w:rPr>
      </w:pPr>
    </w:p>
    <w:p>
      <w:pPr>
        <w:ind w:left="1240" w:hanging="618"/>
        <w:spacing w:after="0" w:line="280"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exercise or conversion of any security, if all securities received remain subject to the lock-up restriction in this Section 4(a) for the remainder of the time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Subject to the foregoing restriction,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525780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734" w:right="239" w:bottom="1440" w:gutter="0" w:footer="0" w:header="0"/>
        </w:sectPr>
      </w:pPr>
    </w:p>
    <w:bookmarkStart w:id="33" w:name="page34"/>
    <w:bookmarkEnd w:id="33"/>
    <w:p>
      <w:pPr>
        <w:jc w:val="both"/>
        <w:ind w:left="-580" w:firstLine="622"/>
        <w:spacing w:after="0" w:line="258" w:lineRule="auto"/>
        <w:tabs>
          <w:tab w:leader="none" w:pos="81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210" w:lineRule="exact"/>
        <w:rPr>
          <w:rFonts w:ascii="Arial" w:cs="Arial" w:eastAsia="Arial" w:hAnsi="Arial"/>
          <w:sz w:val="17"/>
          <w:szCs w:val="17"/>
          <w:color w:val="auto"/>
        </w:rPr>
      </w:pPr>
    </w:p>
    <w:p>
      <w:pPr>
        <w:jc w:val="both"/>
        <w:ind w:left="-580" w:firstLine="622"/>
        <w:spacing w:after="0" w:line="318" w:lineRule="auto"/>
        <w:tabs>
          <w:tab w:leader="none" w:pos="672"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Warrant Register</w:t>
      </w:r>
      <w:r>
        <w:rPr>
          <w:rFonts w:ascii="Arial" w:cs="Arial" w:eastAsia="Arial" w:hAnsi="Arial"/>
          <w:sz w:val="15"/>
          <w:szCs w:val="15"/>
          <w:color w:val="auto"/>
        </w:rPr>
        <w:t>. The Company shall register this Warrant, upon records to be maintained by the Company for that purpose (the “</w:t>
      </w:r>
      <w:r>
        <w:rPr>
          <w:rFonts w:ascii="Arial" w:cs="Arial" w:eastAsia="Arial" w:hAnsi="Arial"/>
          <w:sz w:val="15"/>
          <w:szCs w:val="15"/>
          <w:u w:val="single" w:color="auto"/>
          <w:color w:val="auto"/>
        </w:rPr>
        <w:t>Warrant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Register</w:t>
      </w:r>
      <w:r>
        <w:rPr>
          <w:rFonts w:ascii="Arial" w:cs="Arial" w:eastAsia="Arial" w:hAnsi="Arial"/>
          <w:sz w:val="15"/>
          <w:szCs w:val="15"/>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57" w:lineRule="exact"/>
        <w:rPr>
          <w:rFonts w:ascii="Arial" w:cs="Arial" w:eastAsia="Arial" w:hAnsi="Arial"/>
          <w:sz w:val="15"/>
          <w:szCs w:val="15"/>
          <w:color w:val="auto"/>
        </w:rPr>
      </w:pPr>
    </w:p>
    <w:p>
      <w:pPr>
        <w:jc w:val="both"/>
        <w:ind w:left="-1200" w:firstLine="1751"/>
        <w:spacing w:after="0" w:line="248" w:lineRule="auto"/>
        <w:tabs>
          <w:tab w:leader="none" w:pos="1321"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Transfer Restrictions</w:t>
      </w:r>
      <w:r>
        <w:rPr>
          <w:rFonts w:ascii="Arial" w:cs="Arial" w:eastAsia="Arial" w:hAnsi="Arial"/>
          <w:sz w:val="20"/>
          <w:szCs w:val="20"/>
          <w:color w:val="auto"/>
        </w:rPr>
        <w:t>. If, at the time of the surrender of this Warrant in connection with any transfer of this Warrant or the sale of Warrant Shares, the transfer of this Warrant or the Warrant Shares, as applicable, shall not be either (i) 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or sale, that the Holder provide to the Company an opinion of counsel selected by the Holder, the form and substance of which opinion shall be reasonably satisfactory to the Company, to the effect that such transfer or sale does not require registration of such transferred security under the Securities Act.</w:t>
      </w:r>
    </w:p>
    <w:p>
      <w:pPr>
        <w:spacing w:after="0" w:line="195" w:lineRule="exact"/>
        <w:rPr>
          <w:sz w:val="20"/>
          <w:szCs w:val="20"/>
          <w:color w:val="auto"/>
        </w:rPr>
      </w:pPr>
    </w:p>
    <w:p>
      <w:pPr>
        <w:jc w:val="both"/>
        <w:ind w:left="-580" w:firstLine="622"/>
        <w:spacing w:after="0" w:line="265" w:lineRule="auto"/>
        <w:tabs>
          <w:tab w:leader="none" w:pos="102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Representations by the Holder</w:t>
      </w:r>
      <w:r>
        <w:rPr>
          <w:rFonts w:ascii="Arial" w:cs="Arial" w:eastAsia="Arial" w:hAnsi="Arial"/>
          <w:sz w:val="19"/>
          <w:szCs w:val="19"/>
          <w:color w:val="auto"/>
        </w:rPr>
        <w:t>. The Holder, by the acceptance hereof, represents and warrants that (a)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(b) at the time the Holder was offered this Warrant, it was, and as of the date hereof it is, and on each date on which it exercises this Warrants, it will be an “accredited investor” as defined in Rule 501(a)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518160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966" w:right="239" w:bottom="1440" w:gutter="0" w:footer="0" w:header="0"/>
        </w:sectPr>
      </w:pPr>
    </w:p>
    <w:bookmarkStart w:id="34" w:name="page35"/>
    <w:bookmarkEnd w:id="34"/>
    <w:p>
      <w:pPr>
        <w:spacing w:after="0"/>
        <w:tabs>
          <w:tab w:leader="none" w:pos="1620" w:val="left"/>
        </w:tabs>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243" w:lineRule="exact"/>
        <w:rPr>
          <w:sz w:val="20"/>
          <w:szCs w:val="20"/>
          <w:color w:val="auto"/>
        </w:rPr>
      </w:pPr>
    </w:p>
    <w:p>
      <w:pPr>
        <w:ind w:firstLine="622"/>
        <w:spacing w:after="0" w:line="280" w:lineRule="auto"/>
        <w:tabs>
          <w:tab w:leader="none" w:pos="135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89" w:lineRule="exact"/>
        <w:rPr>
          <w:rFonts w:ascii="Arial" w:cs="Arial" w:eastAsia="Arial" w:hAnsi="Arial"/>
          <w:sz w:val="17"/>
          <w:szCs w:val="17"/>
          <w:color w:val="auto"/>
        </w:rPr>
      </w:pPr>
    </w:p>
    <w:p>
      <w:pPr>
        <w:jc w:val="both"/>
        <w:ind w:firstLine="622"/>
        <w:spacing w:after="0" w:line="260" w:lineRule="auto"/>
        <w:tabs>
          <w:tab w:leader="none" w:pos="136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5" w:lineRule="exact"/>
        <w:rPr>
          <w:rFonts w:ascii="Arial" w:cs="Arial" w:eastAsia="Arial" w:hAnsi="Arial"/>
          <w:sz w:val="17"/>
          <w:szCs w:val="17"/>
          <w:color w:val="auto"/>
        </w:rPr>
      </w:pPr>
    </w:p>
    <w:p>
      <w:pPr>
        <w:ind w:firstLine="622"/>
        <w:spacing w:after="0" w:line="312" w:lineRule="auto"/>
        <w:tabs>
          <w:tab w:leader="none" w:pos="138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6" w:lineRule="exact"/>
        <w:rPr>
          <w:rFonts w:ascii="Arial" w:cs="Arial" w:eastAsia="Arial" w:hAnsi="Arial"/>
          <w:sz w:val="16"/>
          <w:szCs w:val="16"/>
          <w:color w:val="auto"/>
        </w:rPr>
      </w:pPr>
    </w:p>
    <w:p>
      <w:pPr>
        <w:ind w:left="1240" w:hanging="618"/>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w:t>
      </w:r>
    </w:p>
    <w:p>
      <w:pPr>
        <w:spacing w:after="0" w:line="243" w:lineRule="exact"/>
        <w:rPr>
          <w:sz w:val="20"/>
          <w:szCs w:val="20"/>
          <w:color w:val="auto"/>
        </w:rPr>
      </w:pPr>
    </w:p>
    <w:p>
      <w:pPr>
        <w:jc w:val="both"/>
        <w:ind w:left="620" w:firstLine="1239"/>
        <w:spacing w:after="0" w:line="274"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523875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35" w:name="page36"/>
    <w:bookmarkEnd w:id="35"/>
    <w:p>
      <w:pPr>
        <w:jc w:val="both"/>
        <w:ind w:left="40" w:firstLine="619"/>
        <w:spacing w:after="0" w:line="256"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12" w:lineRule="exact"/>
        <w:rPr>
          <w:sz w:val="20"/>
          <w:szCs w:val="20"/>
          <w:color w:val="auto"/>
        </w:rPr>
      </w:pPr>
    </w:p>
    <w:p>
      <w:pPr>
        <w:jc w:val="both"/>
        <w:ind w:left="40" w:firstLine="619"/>
        <w:spacing w:after="0" w:line="266" w:lineRule="auto"/>
        <w:rPr>
          <w:sz w:val="20"/>
          <w:szCs w:val="20"/>
          <w:color w:val="auto"/>
        </w:rPr>
      </w:pPr>
      <w:r>
        <w:rPr>
          <w:rFonts w:ascii="Arial" w:cs="Arial" w:eastAsia="Arial" w:hAnsi="Arial"/>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2" w:lineRule="exact"/>
        <w:rPr>
          <w:sz w:val="20"/>
          <w:szCs w:val="20"/>
          <w:color w:val="auto"/>
        </w:rPr>
      </w:pPr>
    </w:p>
    <w:p>
      <w:pPr>
        <w:ind w:left="-580" w:firstLine="622"/>
        <w:spacing w:after="0" w:line="280" w:lineRule="auto"/>
        <w:tabs>
          <w:tab w:leader="none" w:pos="78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determined in accordance with the provisions of the Purchase Agreement.</w:t>
      </w:r>
    </w:p>
    <w:p>
      <w:pPr>
        <w:spacing w:after="0" w:line="189" w:lineRule="exact"/>
        <w:rPr>
          <w:rFonts w:ascii="Arial" w:cs="Arial" w:eastAsia="Arial" w:hAnsi="Arial"/>
          <w:sz w:val="17"/>
          <w:szCs w:val="17"/>
          <w:color w:val="auto"/>
        </w:rPr>
      </w:pPr>
    </w:p>
    <w:p>
      <w:pPr>
        <w:ind w:left="-580" w:firstLine="622"/>
        <w:spacing w:after="0" w:line="280" w:lineRule="auto"/>
        <w:tabs>
          <w:tab w:leader="none" w:pos="82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9" w:lineRule="exact"/>
        <w:rPr>
          <w:rFonts w:ascii="Arial" w:cs="Arial" w:eastAsia="Arial" w:hAnsi="Arial"/>
          <w:sz w:val="17"/>
          <w:szCs w:val="17"/>
          <w:color w:val="auto"/>
        </w:rPr>
      </w:pPr>
    </w:p>
    <w:p>
      <w:pPr>
        <w:jc w:val="both"/>
        <w:ind w:left="-580" w:firstLine="622"/>
        <w:spacing w:after="0" w:line="258" w:lineRule="auto"/>
        <w:tabs>
          <w:tab w:leader="none" w:pos="68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532765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36" w:name="page37"/>
    <w:bookmarkEnd w:id="36"/>
    <w:p>
      <w:pPr>
        <w:ind w:firstLine="622"/>
        <w:spacing w:after="0" w:line="280" w:lineRule="auto"/>
        <w:tabs>
          <w:tab w:leader="none" w:pos="135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or other document required or permitted to be given or delivered to the Holder by the Company shall be delivered in accordance with the notice provisions of the Purchase Agreement.</w:t>
      </w:r>
    </w:p>
    <w:p>
      <w:pPr>
        <w:spacing w:after="0" w:line="189" w:lineRule="exact"/>
        <w:rPr>
          <w:rFonts w:ascii="Arial" w:cs="Arial" w:eastAsia="Arial" w:hAnsi="Arial"/>
          <w:sz w:val="17"/>
          <w:szCs w:val="17"/>
          <w:color w:val="auto"/>
        </w:rPr>
      </w:pPr>
    </w:p>
    <w:p>
      <w:pPr>
        <w:jc w:val="both"/>
        <w:ind w:firstLine="622"/>
        <w:spacing w:after="0" w:line="291" w:lineRule="auto"/>
        <w:tabs>
          <w:tab w:leader="none" w:pos="12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2" w:lineRule="exact"/>
        <w:rPr>
          <w:rFonts w:ascii="Arial" w:cs="Arial" w:eastAsia="Arial" w:hAnsi="Arial"/>
          <w:sz w:val="16"/>
          <w:szCs w:val="16"/>
          <w:color w:val="auto"/>
        </w:rPr>
      </w:pPr>
    </w:p>
    <w:p>
      <w:pPr>
        <w:jc w:val="both"/>
        <w:ind w:firstLine="622"/>
        <w:spacing w:after="0" w:line="262" w:lineRule="auto"/>
        <w:tabs>
          <w:tab w:leader="none" w:pos="119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4" w:lineRule="exact"/>
        <w:rPr>
          <w:rFonts w:ascii="Arial" w:cs="Arial" w:eastAsia="Arial" w:hAnsi="Arial"/>
          <w:sz w:val="17"/>
          <w:szCs w:val="17"/>
          <w:color w:val="auto"/>
        </w:rPr>
      </w:pPr>
    </w:p>
    <w:p>
      <w:pPr>
        <w:jc w:val="both"/>
        <w:ind w:firstLine="622"/>
        <w:spacing w:after="0" w:line="262" w:lineRule="auto"/>
        <w:tabs>
          <w:tab w:leader="none" w:pos="127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4" w:lineRule="exact"/>
        <w:rPr>
          <w:rFonts w:ascii="Arial" w:cs="Arial" w:eastAsia="Arial" w:hAnsi="Arial"/>
          <w:sz w:val="17"/>
          <w:szCs w:val="17"/>
          <w:color w:val="auto"/>
        </w:rPr>
      </w:pPr>
    </w:p>
    <w:p>
      <w:pPr>
        <w:ind w:left="1240" w:hanging="618"/>
        <w:spacing w:after="0"/>
        <w:tabs>
          <w:tab w:leader="none" w:pos="124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Warrant may be modified or amended or the provisions hereof waived with the written consent of the Company and the</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Holder.</w:t>
      </w:r>
    </w:p>
    <w:p>
      <w:pPr>
        <w:spacing w:after="0" w:line="232" w:lineRule="exact"/>
        <w:rPr>
          <w:rFonts w:ascii="Arial" w:cs="Arial" w:eastAsia="Arial" w:hAnsi="Arial"/>
          <w:sz w:val="15"/>
          <w:szCs w:val="15"/>
          <w:color w:val="auto"/>
        </w:rPr>
      </w:pPr>
    </w:p>
    <w:p>
      <w:pPr>
        <w:jc w:val="both"/>
        <w:ind w:firstLine="622"/>
        <w:spacing w:after="0" w:line="291" w:lineRule="auto"/>
        <w:tabs>
          <w:tab w:leader="none" w:pos="138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2" w:lineRule="exact"/>
        <w:rPr>
          <w:rFonts w:ascii="Arial" w:cs="Arial" w:eastAsia="Arial" w:hAnsi="Arial"/>
          <w:sz w:val="16"/>
          <w:szCs w:val="16"/>
          <w:color w:val="auto"/>
        </w:rPr>
      </w:pPr>
    </w:p>
    <w:p>
      <w:pPr>
        <w:ind w:left="1260" w:hanging="638"/>
        <w:spacing w:after="0"/>
        <w:tabs>
          <w:tab w:leader="none" w:pos="126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used in this Warrant are for the convenience of reference only and shall not, for any purpose, be deemed a part of</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Warrant.</w:t>
      </w:r>
    </w:p>
    <w:p>
      <w:pPr>
        <w:spacing w:after="0" w:line="200" w:lineRule="exact"/>
        <w:rPr>
          <w:sz w:val="20"/>
          <w:szCs w:val="20"/>
          <w:color w:val="auto"/>
        </w:rPr>
      </w:pPr>
    </w:p>
    <w:p>
      <w:pPr>
        <w:spacing w:after="0" w:line="26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73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color w:val="auto"/>
        </w:rPr>
        <w:t>IN WITNESS WHEREOF, the Company has caused this Warrant to be executed by its officer thereunto duly authorized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TAPIMMUNE INC.</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By:__________________________________________</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NOTICE OF EXERCISE</w:t>
      </w:r>
    </w:p>
    <w:p>
      <w:pPr>
        <w:spacing w:after="0" w:line="24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TAPIMMUNE INC.</w:t>
      </w:r>
    </w:p>
    <w:p>
      <w:pPr>
        <w:spacing w:after="0" w:line="243" w:lineRule="exact"/>
        <w:rPr>
          <w:sz w:val="20"/>
          <w:szCs w:val="20"/>
          <w:color w:val="auto"/>
        </w:rPr>
      </w:pPr>
    </w:p>
    <w:p>
      <w:pPr>
        <w:ind w:firstLine="1242"/>
        <w:spacing w:after="0" w:line="280" w:lineRule="auto"/>
        <w:tabs>
          <w:tab w:leader="none" w:pos="172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89" w:lineRule="exact"/>
        <w:rPr>
          <w:rFonts w:ascii="Arial" w:cs="Arial" w:eastAsia="Arial" w:hAnsi="Arial"/>
          <w:sz w:val="17"/>
          <w:szCs w:val="17"/>
          <w:color w:val="auto"/>
        </w:rPr>
      </w:pPr>
    </w:p>
    <w:p>
      <w:pPr>
        <w:ind w:left="1700" w:hanging="458"/>
        <w:spacing w:after="0"/>
        <w:tabs>
          <w:tab w:leader="none" w:pos="1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Payment shall take the form of (check applicable box):</w:t>
      </w: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 in lawful money of the United States; or</w:t>
      </w:r>
    </w:p>
    <w:p>
      <w:pPr>
        <w:spacing w:after="0" w:line="243" w:lineRule="exact"/>
        <w:rPr>
          <w:sz w:val="20"/>
          <w:szCs w:val="20"/>
          <w:color w:val="auto"/>
        </w:rPr>
      </w:pPr>
    </w:p>
    <w:p>
      <w:pPr>
        <w:jc w:val="both"/>
        <w:ind w:left="1860" w:firstLine="2"/>
        <w:spacing w:after="0" w:line="266" w:lineRule="auto"/>
        <w:tabs>
          <w:tab w:leader="none" w:pos="1969" w:val="left"/>
        </w:tabs>
        <w:numPr>
          <w:ilvl w:val="1"/>
          <w:numId w:val="39"/>
        </w:numPr>
        <w:rPr>
          <w:rFonts w:ascii="Arial" w:cs="Arial" w:eastAsia="Arial" w:hAnsi="Arial"/>
          <w:sz w:val="17"/>
          <w:szCs w:val="17"/>
          <w:color w:val="auto"/>
        </w:rPr>
      </w:pPr>
      <w:r>
        <w:rPr>
          <w:rFonts w:ascii="Arial" w:cs="Arial" w:eastAsia="Arial" w:hAnsi="Arial"/>
          <w:sz w:val="17"/>
          <w:szCs w:val="17"/>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201" w:lineRule="exact"/>
        <w:rPr>
          <w:rFonts w:ascii="Arial" w:cs="Arial" w:eastAsia="Arial" w:hAnsi="Arial"/>
          <w:sz w:val="17"/>
          <w:szCs w:val="17"/>
          <w:color w:val="auto"/>
        </w:rPr>
      </w:pPr>
    </w:p>
    <w:p>
      <w:pPr>
        <w:ind w:left="1700" w:hanging="458"/>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Please issue said Warrant Shares in the name of the undersigned or in such other name as is specified below:</w:t>
      </w:r>
    </w:p>
    <w:p>
      <w:pPr>
        <w:spacing w:after="0" w:line="2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Warrant Shares shall be delivered to the following DWAC Account Number: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[SIGNATURE OF HOLDER]</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Name of Investing Entity: ________________________________________________________________________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Authorized Signatory of Investing Entity</w:t>
      </w:r>
      <w:r>
        <w:rPr>
          <w:rFonts w:ascii="Arial" w:cs="Arial" w:eastAsia="Arial" w:hAnsi="Arial"/>
          <w:sz w:val="17"/>
          <w:szCs w:val="17"/>
          <w:color w:val="auto"/>
        </w:rPr>
        <w:t>: 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Authorized Signatory: 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of Authorized Signatory: ____________________________________________________________________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841375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9" w:name="page40"/>
    <w:bookmarkEnd w:id="39"/>
    <w:p>
      <w:pPr>
        <w:ind w:left="40"/>
        <w:spacing w:after="0"/>
        <w:rPr>
          <w:sz w:val="20"/>
          <w:szCs w:val="20"/>
          <w:color w:val="auto"/>
        </w:rPr>
      </w:pPr>
      <w:r>
        <w:rPr>
          <w:rFonts w:ascii="Arial" w:cs="Arial" w:eastAsia="Arial" w:hAnsi="Arial"/>
          <w:sz w:val="17"/>
          <w:szCs w:val="17"/>
          <w:b w:val="1"/>
          <w:bCs w:val="1"/>
          <w:color w:val="auto"/>
        </w:rPr>
        <w:t>EXHIBIT B</w:t>
      </w:r>
    </w:p>
    <w:p>
      <w:pPr>
        <w:spacing w:after="0" w:line="24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ASSIGNMENT FORM</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(To assign the foregoing Warrant, execute this form and supply required information. Do not use this form to purchase shares.)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VALUE RECEIVED, the foregoing Warrant and all rights evidenced thereby are hereby assigned to</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(Please Print)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(Please Print)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_______________ __, 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Holder’s Signature: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1111885</wp:posOffset>
            </wp:positionV>
            <wp:extent cx="7257415"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0219"/>
          </w:cols>
          <w:pgMar w:left="240" w:top="960"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193040</wp:posOffset>
            </wp:positionV>
            <wp:extent cx="725741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5.1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Sanders Ortoli Vaughn-Flam Rosenstadt LLP</w:t>
      </w:r>
    </w:p>
    <w:p>
      <w:pPr>
        <w:spacing w:after="0" w:line="218" w:lineRule="exact"/>
        <w:rPr>
          <w:sz w:val="20"/>
          <w:szCs w:val="20"/>
          <w:color w:val="auto"/>
        </w:rPr>
      </w:pPr>
    </w:p>
    <w:p>
      <w:pPr>
        <w:ind w:left="10280"/>
        <w:spacing w:after="0"/>
        <w:rPr>
          <w:sz w:val="20"/>
          <w:szCs w:val="20"/>
          <w:color w:val="auto"/>
        </w:rPr>
      </w:pPr>
      <w:r>
        <w:rPr>
          <w:rFonts w:ascii="Arial" w:cs="Arial" w:eastAsia="Arial" w:hAnsi="Arial"/>
          <w:sz w:val="15"/>
          <w:szCs w:val="15"/>
          <w:color w:val="auto"/>
        </w:rPr>
        <w:t>August 14, 2014</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TapImmune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1551 Eastlake Avenue East,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Suite 100, Seattle, WA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8" w:lineRule="exact"/>
        <w:rPr>
          <w:sz w:val="20"/>
          <w:szCs w:val="20"/>
          <w:color w:val="auto"/>
        </w:rPr>
      </w:pPr>
    </w:p>
    <w:p>
      <w:pPr>
        <w:jc w:val="both"/>
        <w:ind w:firstLine="620"/>
        <w:spacing w:after="0" w:line="296" w:lineRule="auto"/>
        <w:rPr>
          <w:sz w:val="20"/>
          <w:szCs w:val="20"/>
          <w:color w:val="auto"/>
        </w:rPr>
      </w:pPr>
      <w:r>
        <w:rPr>
          <w:rFonts w:ascii="Arial" w:cs="Arial" w:eastAsia="Arial" w:hAnsi="Arial"/>
          <w:sz w:val="15"/>
          <w:szCs w:val="15"/>
          <w:color w:val="auto"/>
        </w:rPr>
        <w:t>We have acted as counsel to TapImmune Inc., a Nevada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the issuance and sale by the Company of (i) 1,866,792 of the Company’s units each consisting of a share of the Company’s common stock, par value $0.001, and a warrant to purchase a share of the Company’s common stock (the (“Units”), (ii) 1,866,792 of the Company’s common stock (the “Common Stock Shares”), (iii) warrants to purchase up to 1,886,792 shares of common stock (“Warrants”) and (iv) 1,866,792 shares of common stock to be issued upon the exercise of the Warrants (“Warrant Shares”), all pursuant to that certain Registration Statement on Form S-3, as amended (Registration Statement No. 333-196115) (“Registration Statement”), filed with the Securities and Exchange Commission (“Commission”) under the Securities Act of 1933, as amended (“Act”), and supplemented by the Prospectus Supplement relating to the Units, Common Stock Shares, Warrants and Warrant Shares filed with the Commission pursuant to Rule 424(b) of the Rules and Regulations of the Act (“Prospectus Supplement”). All of the Units, Common Stock Shares, Warrants and Warrant Shares are to be sold by the Company as described in the Prospectus Supplement.</w:t>
      </w:r>
    </w:p>
    <w:p>
      <w:pPr>
        <w:spacing w:after="0" w:line="157"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You have requested our opinion as to the matters set forth below in connection with the Prospectus Supplement. For purposes of rendering that opinion, we have examined the Registration Statement, the Prospectus Supplement, the Company’s Articles of Incorporation, as amended, and Bylaws, as amended, and the corporate action of the Company that provides for the issuance of the Units, Common Stock Shares, Warrants and Warrant Shares, and we have made such other investigation as we have deemed appropriate. We have examined and relied upon certificates of public officials and, as to certain matters of fact that are material to our opinion, we have also relied upon the representations and warranties of the Company contained in those certain documents included as Exhibits to the Registration Statement and on a certificate of an officer of the Company.</w:t>
      </w:r>
    </w:p>
    <w:p>
      <w:pPr>
        <w:spacing w:after="0" w:line="21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Based upon and subject to the foregoing, it is our opinion that the Units, Common Stock Shares and Warrants have been duly and validly authorized and upon issuance, delivery and payment therefor in the manner contemplated by the Registration Statement, the Prospectus and the Prospectus Supplement will be legally issued, fully paid and nonassessable. It is further our opinion that the Warrant Shares have been duly authorized and, upon issuance, payment therefor and delivery in accordance with the terms of the Warrants, will be legally issued, fully paid and non-assessable.</w:t>
      </w:r>
    </w:p>
    <w:p>
      <w:pPr>
        <w:spacing w:after="0" w:line="179" w:lineRule="exact"/>
        <w:rPr>
          <w:sz w:val="20"/>
          <w:szCs w:val="20"/>
          <w:color w:val="auto"/>
        </w:rPr>
      </w:pPr>
    </w:p>
    <w:p>
      <w:pPr>
        <w:jc w:val="both"/>
        <w:ind w:firstLine="465"/>
        <w:spacing w:after="0" w:line="266" w:lineRule="auto"/>
        <w:rPr>
          <w:sz w:val="20"/>
          <w:szCs w:val="20"/>
          <w:color w:val="auto"/>
        </w:rPr>
      </w:pPr>
      <w:r>
        <w:rPr>
          <w:rFonts w:ascii="Arial" w:cs="Arial" w:eastAsia="Arial" w:hAnsi="Arial"/>
          <w:sz w:val="17"/>
          <w:szCs w:val="17"/>
          <w:color w:val="auto"/>
        </w:rPr>
        <w:t>We hereby consent to the use of our name wherever it appears in the Registration Statement and the Prospectus, and in any amendment or supplement thereto, the filing of this opinion as an exhibit to a current report on Form 8-K of the Company and the incorporation by reference of this opinion in the Registration Statement.</w:t>
      </w:r>
    </w:p>
    <w:p>
      <w:pPr>
        <w:spacing w:after="0" w:line="176" w:lineRule="exact"/>
        <w:rPr>
          <w:sz w:val="20"/>
          <w:szCs w:val="20"/>
          <w:color w:val="auto"/>
        </w:rPr>
      </w:pPr>
    </w:p>
    <w:p>
      <w:pPr>
        <w:jc w:val="both"/>
        <w:ind w:firstLine="465"/>
        <w:spacing w:after="0" w:line="280" w:lineRule="auto"/>
        <w:rPr>
          <w:sz w:val="20"/>
          <w:szCs w:val="20"/>
          <w:color w:val="auto"/>
        </w:rPr>
      </w:pPr>
      <w:r>
        <w:rPr>
          <w:rFonts w:ascii="Arial" w:cs="Arial" w:eastAsia="Arial" w:hAnsi="Arial"/>
          <w:sz w:val="17"/>
          <w:szCs w:val="17"/>
          <w:color w:val="auto"/>
        </w:rPr>
        <w:t>In giving this consent, we do not admit that we are within the category of persons whose consent is required by Section 7 of the Securities Act or the rules and regulations promulgated thereunder by the Commission.</w:t>
      </w:r>
    </w:p>
    <w:p>
      <w:pPr>
        <w:spacing w:after="0" w:line="189" w:lineRule="exact"/>
        <w:rPr>
          <w:sz w:val="20"/>
          <w:szCs w:val="20"/>
          <w:color w:val="auto"/>
        </w:rPr>
      </w:pPr>
    </w:p>
    <w:p>
      <w:pPr>
        <w:jc w:val="both"/>
        <w:ind w:firstLine="465"/>
        <w:spacing w:after="0" w:line="262" w:lineRule="auto"/>
        <w:rPr>
          <w:sz w:val="20"/>
          <w:szCs w:val="20"/>
          <w:color w:val="auto"/>
        </w:rPr>
      </w:pPr>
      <w:r>
        <w:rPr>
          <w:rFonts w:ascii="Arial" w:cs="Arial" w:eastAsia="Arial" w:hAnsi="Arial"/>
          <w:sz w:val="17"/>
          <w:szCs w:val="17"/>
          <w:color w:val="auto"/>
        </w:rPr>
        <w:t>We are admitted to practice in the State of New York, and are not admitted to practice in the State of Nevada. However, for the limited purposes of our opinions set forth below, we are generally familiar with 78 NRS, the applicable provisions of the Constitution of the State of Nevada and reported judicial decisions under Nevada law and have made such inquiries as we consider necessary to render this opinion with respect to a Nevada corporation. This opinion is limited to the Nevada Revised Statutes and all applicable provisions of reported judicial decisions interpreting these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27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 Sanders Ortoli Vaughn-Flam Rosenstadt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824230</wp:posOffset>
            </wp:positionV>
            <wp:extent cx="725741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152400</wp:posOffset>
            </wp:positionH>
            <wp:positionV relativeFrom="page">
              <wp:posOffset>193040</wp:posOffset>
            </wp:positionV>
            <wp:extent cx="725741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10.1</w:t>
      </w:r>
    </w:p>
    <w:p>
      <w:pPr>
        <w:spacing w:after="0" w:line="200" w:lineRule="exact"/>
        <w:rPr>
          <w:sz w:val="20"/>
          <w:szCs w:val="20"/>
          <w:color w:val="auto"/>
        </w:rPr>
      </w:pPr>
    </w:p>
    <w:p>
      <w:pPr>
        <w:spacing w:after="0" w:line="25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SECURITIES PURCHASE AGREEMENT</w:t>
      </w:r>
    </w:p>
    <w:p>
      <w:pPr>
        <w:spacing w:after="0" w:line="249"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This Securities Purchase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dated as of August 11, 2014, between TapImmune, Inc., a Nevada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each purchaser identified on the signature pages hereto (each, including its successors and assigns, a “</w:t>
      </w:r>
      <w:r>
        <w:rPr>
          <w:rFonts w:ascii="Arial" w:cs="Arial" w:eastAsia="Arial" w:hAnsi="Arial"/>
          <w:sz w:val="15"/>
          <w:szCs w:val="15"/>
          <w:u w:val="single" w:color="auto"/>
          <w:color w:val="auto"/>
        </w:rPr>
        <w:t>Purchaser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Purchasers</w:t>
      </w:r>
      <w:r>
        <w:rPr>
          <w:rFonts w:ascii="Arial" w:cs="Arial" w:eastAsia="Arial" w:hAnsi="Arial"/>
          <w:sz w:val="15"/>
          <w:szCs w:val="15"/>
          <w:color w:val="auto"/>
        </w:rPr>
        <w:t>”).</w:t>
      </w:r>
    </w:p>
    <w:p>
      <w:pPr>
        <w:spacing w:after="0" w:line="144"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WHEREAS, subject to the terms and conditions set forth in this Agreement and pursuant to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0240" w:type="dxa"/>
            <w:vAlign w:val="bottom"/>
          </w:tcPr>
          <w:p>
            <w:pPr>
              <w:jc w:val="center"/>
              <w:ind w:right="1094"/>
              <w:spacing w:after="0"/>
              <w:rPr>
                <w:sz w:val="20"/>
                <w:szCs w:val="20"/>
                <w:color w:val="auto"/>
              </w:rPr>
            </w:pPr>
            <w:r>
              <w:rPr>
                <w:rFonts w:ascii="Arial" w:cs="Arial" w:eastAsia="Arial" w:hAnsi="Arial"/>
                <w:sz w:val="17"/>
                <w:szCs w:val="17"/>
                <w:b w:val="1"/>
                <w:bCs w:val="1"/>
                <w:color w:val="auto"/>
              </w:rPr>
              <w:t>ARTICLE I.</w:t>
            </w:r>
          </w:p>
        </w:tc>
      </w:tr>
      <w:tr>
        <w:trPr>
          <w:trHeight w:val="439"/>
        </w:trPr>
        <w:tc>
          <w:tcPr>
            <w:tcW w:w="560" w:type="dxa"/>
            <w:vAlign w:val="bottom"/>
          </w:tcPr>
          <w:p>
            <w:pPr>
              <w:spacing w:after="0"/>
              <w:rPr>
                <w:sz w:val="24"/>
                <w:szCs w:val="24"/>
                <w:color w:val="auto"/>
              </w:rPr>
            </w:pPr>
          </w:p>
        </w:tc>
        <w:tc>
          <w:tcPr>
            <w:tcW w:w="10240" w:type="dxa"/>
            <w:vAlign w:val="bottom"/>
          </w:tcPr>
          <w:p>
            <w:pPr>
              <w:jc w:val="center"/>
              <w:ind w:right="1094"/>
              <w:spacing w:after="0"/>
              <w:rPr>
                <w:sz w:val="20"/>
                <w:szCs w:val="20"/>
                <w:color w:val="auto"/>
              </w:rPr>
            </w:pPr>
            <w:r>
              <w:rPr>
                <w:rFonts w:ascii="Arial" w:cs="Arial" w:eastAsia="Arial" w:hAnsi="Arial"/>
                <w:sz w:val="17"/>
                <w:szCs w:val="17"/>
                <w:color w:val="auto"/>
                <w:w w:val="98"/>
              </w:rPr>
              <w:t>DEFINITIONS</w:t>
            </w:r>
          </w:p>
        </w:tc>
      </w:tr>
      <w:tr>
        <w:trPr>
          <w:trHeight w:val="439"/>
        </w:trPr>
        <w:tc>
          <w:tcPr>
            <w:tcW w:w="560" w:type="dxa"/>
            <w:vAlign w:val="bottom"/>
          </w:tcPr>
          <w:p>
            <w:pPr>
              <w:jc w:val="right"/>
              <w:ind w:right="254"/>
              <w:spacing w:after="0"/>
              <w:rPr>
                <w:sz w:val="20"/>
                <w:szCs w:val="20"/>
                <w:color w:val="auto"/>
              </w:rPr>
            </w:pPr>
            <w:r>
              <w:rPr>
                <w:rFonts w:ascii="Arial" w:cs="Arial" w:eastAsia="Arial" w:hAnsi="Arial"/>
                <w:sz w:val="17"/>
                <w:szCs w:val="17"/>
                <w:color w:val="auto"/>
                <w:w w:val="84"/>
              </w:rPr>
              <w:t>1.1</w:t>
            </w:r>
          </w:p>
        </w:tc>
        <w:tc>
          <w:tcPr>
            <w:tcW w:w="10240" w:type="dxa"/>
            <w:vAlign w:val="bottom"/>
          </w:tcPr>
          <w:p>
            <w:pPr>
              <w:ind w:left="340"/>
              <w:spacing w:after="0"/>
              <w:rPr>
                <w:sz w:val="20"/>
                <w:szCs w:val="20"/>
                <w:color w:val="auto"/>
              </w:rPr>
            </w:pPr>
            <w:r>
              <w:rPr>
                <w:rFonts w:ascii="Arial" w:cs="Arial" w:eastAsia="Arial" w:hAnsi="Arial"/>
                <w:sz w:val="17"/>
                <w:szCs w:val="17"/>
                <w:u w:val="single" w:color="auto"/>
                <w:color w:val="auto"/>
                <w:w w:val="95"/>
              </w:rPr>
              <w:t>Definitions</w:t>
            </w:r>
            <w:r>
              <w:rPr>
                <w:rFonts w:ascii="Arial" w:cs="Arial" w:eastAsia="Arial" w:hAnsi="Arial"/>
                <w:sz w:val="17"/>
                <w:szCs w:val="17"/>
                <w:color w:val="auto"/>
                <w:w w:val="95"/>
              </w:rPr>
              <w:t>.  In addition to the terms defined elsewhere in this Agreement, for all purposes of this Agreement, the following terms have the</w:t>
            </w:r>
          </w:p>
        </w:tc>
      </w:tr>
    </w:tbl>
    <w:p>
      <w:pPr>
        <w:spacing w:after="0"/>
        <w:rPr>
          <w:sz w:val="20"/>
          <w:szCs w:val="20"/>
          <w:color w:val="auto"/>
        </w:rPr>
      </w:pPr>
      <w:r>
        <w:rPr>
          <w:rFonts w:ascii="Arial" w:cs="Arial" w:eastAsia="Arial" w:hAnsi="Arial"/>
          <w:sz w:val="17"/>
          <w:szCs w:val="17"/>
          <w:color w:val="auto"/>
        </w:rPr>
        <w:t>meanings set forth in this Section 1.1:</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shall have the meaning ascribed to such term in Section 4.5.</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shall have the meaning ascribed to such term in Section 3.1(j).</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the board of directors of the Company.</w:t>
      </w:r>
    </w:p>
    <w:p>
      <w:pPr>
        <w:spacing w:after="0" w:line="243"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means the closing of the purchase and sale of the Securities pursuant to Section 2.1.</w:t>
      </w:r>
    </w:p>
    <w:p>
      <w:pPr>
        <w:spacing w:after="0" w:line="243" w:lineRule="exact"/>
        <w:rPr>
          <w:sz w:val="20"/>
          <w:szCs w:val="20"/>
          <w:color w:val="auto"/>
        </w:rPr>
      </w:pPr>
    </w:p>
    <w:p>
      <w:pPr>
        <w:jc w:val="both"/>
        <w:ind w:left="620"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third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United States Securities and Exchange Commission.</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 par value $0.001 per share, and any other class of securities into which such securities may hereafter be reclassified or changed.</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Counsel</w:t>
      </w:r>
      <w:r>
        <w:rPr>
          <w:rFonts w:ascii="Arial" w:cs="Arial" w:eastAsia="Arial" w:hAnsi="Arial"/>
          <w:sz w:val="15"/>
          <w:szCs w:val="15"/>
          <w:color w:val="auto"/>
        </w:rPr>
        <w:t>” means Sanders Ortoli Vaughn-Flam Rosenstadt LLP, with offices located at 501 Madison Avenue, 14</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Floor, New York, NY</w:t>
      </w:r>
    </w:p>
    <w:p>
      <w:pPr>
        <w:spacing w:after="0"/>
        <w:rPr>
          <w:sz w:val="20"/>
          <w:szCs w:val="20"/>
          <w:color w:val="auto"/>
        </w:rPr>
      </w:pPr>
      <w:r>
        <w:rPr>
          <w:rFonts w:ascii="Arial" w:cs="Arial" w:eastAsia="Arial" w:hAnsi="Arial"/>
          <w:sz w:val="17"/>
          <w:szCs w:val="17"/>
          <w:color w:val="auto"/>
        </w:rPr>
        <w:t>10022.</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means the Disclosure Schedules of the Company delivered concurrently herewith.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10105-0302.</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Agent</w:t>
      </w:r>
      <w:r>
        <w:rPr>
          <w:rFonts w:ascii="Arial" w:cs="Arial" w:eastAsia="Arial" w:hAnsi="Arial"/>
          <w:sz w:val="16"/>
          <w:szCs w:val="16"/>
          <w:color w:val="auto"/>
        </w:rPr>
        <w:t>” means Signature Bank, a New York State chartered bank, with offices at 261 Madison Avenue, New York, New York 10016.</w:t>
      </w:r>
    </w:p>
    <w:p>
      <w:pPr>
        <w:spacing w:after="0" w:line="25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Agreement</w:t>
      </w:r>
      <w:r>
        <w:rPr>
          <w:rFonts w:ascii="Arial" w:cs="Arial" w:eastAsia="Arial" w:hAnsi="Arial"/>
          <w:sz w:val="17"/>
          <w:szCs w:val="17"/>
          <w:color w:val="auto"/>
        </w:rPr>
        <w:t>” means the escrow agreement entered into prior to the date hereof, by and among the Company, the Escrow Agent and the Placement Agent pursuant to which the Purchasers shall deposit Subscription Amounts with the Escrow Agent to be applied to the transactions contemplated hereunder.</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Evaluation Date</w:t>
      </w:r>
      <w:r>
        <w:rPr>
          <w:rFonts w:ascii="Arial" w:cs="Arial" w:eastAsia="Arial" w:hAnsi="Arial"/>
          <w:sz w:val="17"/>
          <w:szCs w:val="17"/>
          <w:color w:val="auto"/>
        </w:rPr>
        <w:t>” shall have the meaning ascribed to such term in Section 3.1(r).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Exempt Issuance</w:t>
      </w:r>
      <w:r>
        <w:rPr>
          <w:rFonts w:ascii="Arial" w:cs="Arial" w:eastAsia="Arial" w:hAnsi="Arial"/>
          <w:sz w:val="15"/>
          <w:szCs w:val="15"/>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and (c) securities issued pursuant to acquisitions or strategic transactions approved by a majority of the disinterested directors of the Company,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516255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3" w:name="page44"/>
    <w:bookmarkEnd w:id="43"/>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FCPA</w:t>
      </w:r>
      <w:r>
        <w:rPr>
          <w:rFonts w:ascii="Arial" w:cs="Arial" w:eastAsia="Arial" w:hAnsi="Arial"/>
          <w:sz w:val="17"/>
          <w:szCs w:val="17"/>
          <w:color w:val="auto"/>
        </w:rPr>
        <w:t>” means the Foreign Corrupt Practices Act of 1977, as amended.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FDA</w:t>
      </w:r>
      <w:r>
        <w:rPr>
          <w:rFonts w:ascii="Arial" w:cs="Arial" w:eastAsia="Arial" w:hAnsi="Arial"/>
          <w:sz w:val="17"/>
          <w:szCs w:val="17"/>
          <w:color w:val="auto"/>
        </w:rPr>
        <w:t>” shall have the meaning ascribed to such term in Section 3.1(gg).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FDCA</w:t>
      </w:r>
      <w:r>
        <w:rPr>
          <w:rFonts w:ascii="Arial" w:cs="Arial" w:eastAsia="Arial" w:hAnsi="Arial"/>
          <w:sz w:val="17"/>
          <w:szCs w:val="17"/>
          <w:color w:val="auto"/>
        </w:rPr>
        <w:t>” shall have the meaning ascribed to such term in Section 3.1(gg).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have the meaning ascribed to such term in Section 3.1(h).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shall have the meaning ascribed to such term in Section 3.1(z).</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have the meaning ascribed to such term in Section 3.1(o).</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have the meaning assigned to such term in Section 3.1(b).</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Permits</w:t>
      </w:r>
      <w:r>
        <w:rPr>
          <w:rFonts w:ascii="Arial" w:cs="Arial" w:eastAsia="Arial" w:hAnsi="Arial"/>
          <w:sz w:val="17"/>
          <w:szCs w:val="17"/>
          <w:color w:val="auto"/>
        </w:rPr>
        <w:t>” shall have the meaning ascribed to such term in Section 3.1(m).</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Participation Maximum</w:t>
      </w:r>
      <w:r>
        <w:rPr>
          <w:rFonts w:ascii="Arial" w:cs="Arial" w:eastAsia="Arial" w:hAnsi="Arial"/>
          <w:sz w:val="17"/>
          <w:szCs w:val="17"/>
          <w:color w:val="auto"/>
        </w:rPr>
        <w:t>” shall have the meaning ascribed to such term in Section 4.11(a).</w:t>
      </w:r>
    </w:p>
    <w:p>
      <w:pPr>
        <w:spacing w:after="0" w:line="243" w:lineRule="exact"/>
        <w:rPr>
          <w:sz w:val="20"/>
          <w:szCs w:val="20"/>
          <w:color w:val="auto"/>
        </w:rPr>
      </w:pPr>
    </w:p>
    <w:p>
      <w:pPr>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equals $1.06, subject to adjustment for reverse and forward stock splits, stock dividends, stock combinations and other similar transactions of the Common Stock that occur after the date of this Agreement.</w:t>
      </w:r>
    </w:p>
    <w:p>
      <w:pPr>
        <w:spacing w:after="0" w:line="189" w:lineRule="exact"/>
        <w:rPr>
          <w:sz w:val="20"/>
          <w:szCs w:val="20"/>
          <w:color w:val="auto"/>
        </w:rPr>
      </w:pPr>
    </w:p>
    <w:p>
      <w:pPr>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Pharmaceutical Product</w:t>
      </w:r>
      <w:r>
        <w:rPr>
          <w:rFonts w:ascii="Arial" w:cs="Arial" w:eastAsia="Arial" w:hAnsi="Arial"/>
          <w:sz w:val="17"/>
          <w:szCs w:val="17"/>
          <w:color w:val="auto"/>
        </w:rPr>
        <w:t>” shall have the meaning ascribed to such term in Section 3.1(gg).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Placement Agent</w:t>
      </w:r>
      <w:r>
        <w:rPr>
          <w:rFonts w:ascii="Arial" w:cs="Arial" w:eastAsia="Arial" w:hAnsi="Arial"/>
          <w:sz w:val="17"/>
          <w:szCs w:val="17"/>
          <w:color w:val="auto"/>
        </w:rPr>
        <w:t>” means H.C. Wainwright &amp; Co., LLC.</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Pre-Notice</w:t>
      </w:r>
      <w:r>
        <w:rPr>
          <w:rFonts w:ascii="Arial" w:cs="Arial" w:eastAsia="Arial" w:hAnsi="Arial"/>
          <w:sz w:val="17"/>
          <w:szCs w:val="17"/>
          <w:color w:val="auto"/>
        </w:rPr>
        <w:t>” shall have the meaning ascribed to such term in Section 4.11(b).</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Rata Portion</w:t>
      </w:r>
      <w:r>
        <w:rPr>
          <w:rFonts w:ascii="Arial" w:cs="Arial" w:eastAsia="Arial" w:hAnsi="Arial"/>
          <w:sz w:val="17"/>
          <w:szCs w:val="17"/>
          <w:color w:val="auto"/>
        </w:rPr>
        <w:t>” shall have the meaning ascribed to such term in Section 4.11(e).</w:t>
      </w:r>
    </w:p>
    <w:p>
      <w:pPr>
        <w:spacing w:after="0" w:line="243" w:lineRule="exact"/>
        <w:rPr>
          <w:sz w:val="20"/>
          <w:szCs w:val="20"/>
          <w:color w:val="auto"/>
        </w:rPr>
      </w:pPr>
    </w:p>
    <w:p>
      <w:pPr>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 action, claim, suit, investigation or proceeding (including, without limitation, an informal investigation or partial proceeding, such as a deposition), whether commenced or threatened.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final prospectus filed for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553720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4" w:name="page45"/>
    <w:bookmarkEnd w:id="44"/>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means the supplement to the Prospectus complying with Rule 424(b) of the Securities Act that is filed with the Commission and delivered by the Company to each Purchaser at the Closing.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Party</w:t>
      </w:r>
      <w:r>
        <w:rPr>
          <w:rFonts w:ascii="Arial" w:cs="Arial" w:eastAsia="Arial" w:hAnsi="Arial"/>
          <w:sz w:val="17"/>
          <w:szCs w:val="17"/>
          <w:color w:val="auto"/>
        </w:rPr>
        <w:t>” shall have the meaning ascribed to such term in Section 4.8.</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effective registration statement with Commission file No. 333-196115 which registers the sale of the Shares, the Warrants and the Warrant Shares to the Purchasers.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Approvals</w:t>
      </w:r>
      <w:r>
        <w:rPr>
          <w:rFonts w:ascii="Arial" w:cs="Arial" w:eastAsia="Arial" w:hAnsi="Arial"/>
          <w:sz w:val="17"/>
          <w:szCs w:val="17"/>
          <w:color w:val="auto"/>
        </w:rPr>
        <w:t>” shall have the meaning ascribed to such term in Section 3.1(e).</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 Reports</w:t>
      </w:r>
      <w:r>
        <w:rPr>
          <w:rFonts w:ascii="Arial" w:cs="Arial" w:eastAsia="Arial" w:hAnsi="Arial"/>
          <w:sz w:val="17"/>
          <w:szCs w:val="17"/>
          <w:color w:val="auto"/>
        </w:rPr>
        <w:t>” shall have the meaning ascribed to such term in Section 3.1(h).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the Shares, the Warrants and the Warrant Shares.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means the shares of Common Stock issued or issuable to each Purchaser pursuant to this Agreement.</w:t>
      </w:r>
    </w:p>
    <w:p>
      <w:pPr>
        <w:spacing w:after="0" w:line="243"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 Sales</w:t>
      </w:r>
      <w:r>
        <w:rPr>
          <w:rFonts w:ascii="Arial" w:cs="Arial" w:eastAsia="Arial" w:hAnsi="Arial"/>
          <w:sz w:val="17"/>
          <w:szCs w:val="17"/>
          <w:color w:val="auto"/>
        </w:rPr>
        <w:t>” means all “short sales” as defined in Rule 200 of Regulation SHO under the Exchange Act (but shall not be deemed to include the location and/or reservation of borrowable shares of Common Stock).</w:t>
      </w:r>
    </w:p>
    <w:p>
      <w:pPr>
        <w:spacing w:after="0" w:line="189" w:lineRule="exact"/>
        <w:rPr>
          <w:sz w:val="20"/>
          <w:szCs w:val="20"/>
          <w:color w:val="auto"/>
        </w:rPr>
      </w:pPr>
    </w:p>
    <w:p>
      <w:pPr>
        <w:jc w:val="both"/>
        <w:ind w:firstLine="662"/>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Subscription Amount</w:t>
      </w:r>
      <w:r>
        <w:rPr>
          <w:rFonts w:ascii="Arial" w:cs="Arial" w:eastAsia="Arial" w:hAnsi="Arial"/>
          <w:sz w:val="17"/>
          <w:szCs w:val="17"/>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Financing</w:t>
      </w:r>
      <w:r>
        <w:rPr>
          <w:rFonts w:ascii="Arial" w:cs="Arial" w:eastAsia="Arial" w:hAnsi="Arial"/>
          <w:sz w:val="17"/>
          <w:szCs w:val="17"/>
          <w:color w:val="auto"/>
        </w:rPr>
        <w:t>” shall have the meaning ascribed to such term in Section 4.11(a).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Subsequent Financing Notice</w:t>
      </w:r>
      <w:r>
        <w:rPr>
          <w:rFonts w:ascii="Arial" w:cs="Arial" w:eastAsia="Arial" w:hAnsi="Arial"/>
          <w:sz w:val="17"/>
          <w:szCs w:val="17"/>
          <w:color w:val="auto"/>
        </w:rPr>
        <w:t>” shall have the meaning ascribed to such term in Section 4.11(b).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553720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5" w:name="page46"/>
    <w:bookmarkEnd w:id="45"/>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xml:space="preserve">” means any subsidiary of the Company as set forth on </w:t>
      </w:r>
      <w:r>
        <w:rPr>
          <w:rFonts w:ascii="Arial" w:cs="Arial" w:eastAsia="Arial" w:hAnsi="Arial"/>
          <w:sz w:val="17"/>
          <w:szCs w:val="17"/>
          <w:u w:val="single" w:color="auto"/>
          <w:color w:val="auto"/>
        </w:rPr>
        <w:t>Schedule 3.1(a)</w:t>
      </w:r>
      <w:r>
        <w:rPr>
          <w:rFonts w:ascii="Arial" w:cs="Arial" w:eastAsia="Arial" w:hAnsi="Arial"/>
          <w:sz w:val="17"/>
          <w:szCs w:val="17"/>
          <w:color w:val="auto"/>
        </w:rPr>
        <w:t>, and shall, where applicable, also include any direct or indirect subsidiary of the Company formed or acquired after the date hereof.</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principal Trading Market is open for trading.</w:t>
      </w:r>
    </w:p>
    <w:p>
      <w:pPr>
        <w:spacing w:after="0" w:line="243" w:lineRule="exact"/>
        <w:rPr>
          <w:sz w:val="20"/>
          <w:szCs w:val="20"/>
          <w:color w:val="auto"/>
        </w:rPr>
      </w:pPr>
    </w:p>
    <w:p>
      <w:pPr>
        <w:jc w:val="both"/>
        <w:ind w:left="620" w:firstLine="61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or the OTC Bulletin Board (or any successors to any of the foregoing).</w:t>
      </w:r>
    </w:p>
    <w:p>
      <w:pPr>
        <w:spacing w:after="0" w:line="202" w:lineRule="exact"/>
        <w:rPr>
          <w:sz w:val="20"/>
          <w:szCs w:val="20"/>
          <w:color w:val="auto"/>
        </w:rPr>
      </w:pPr>
    </w:p>
    <w:p>
      <w:pPr>
        <w:jc w:val="both"/>
        <w:ind w:left="620" w:firstLine="6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Warrants and any other documents or agreements executed in connection with the transactions contemplated hereunder.</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Agent</w:t>
      </w:r>
      <w:r>
        <w:rPr>
          <w:rFonts w:ascii="Arial" w:cs="Arial" w:eastAsia="Arial" w:hAnsi="Arial"/>
          <w:sz w:val="15"/>
          <w:szCs w:val="15"/>
          <w:color w:val="auto"/>
        </w:rPr>
        <w:t>” means _____________________, the current transfer agent of the Company, with a mailing address of ___________________</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and a facsimile number of _______________, and any successor transfer agent of the Company.</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Variable Rate Transaction</w:t>
      </w:r>
      <w:r>
        <w:rPr>
          <w:rFonts w:ascii="Arial" w:cs="Arial" w:eastAsia="Arial" w:hAnsi="Arial"/>
          <w:sz w:val="17"/>
          <w:szCs w:val="17"/>
          <w:color w:val="auto"/>
        </w:rPr>
        <w:t>” shall have the meaning ascribed to such term in Section 4.12(b).</w:t>
      </w:r>
    </w:p>
    <w:p>
      <w:pPr>
        <w:spacing w:after="0" w:line="243" w:lineRule="exact"/>
        <w:rPr>
          <w:sz w:val="20"/>
          <w:szCs w:val="20"/>
          <w:color w:val="auto"/>
        </w:rPr>
      </w:pPr>
    </w:p>
    <w:p>
      <w:pPr>
        <w:jc w:val="both"/>
        <w:ind w:left="620" w:firstLine="619"/>
        <w:spacing w:after="0" w:line="3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Warrants</w:t>
      </w:r>
      <w:r>
        <w:rPr>
          <w:rFonts w:ascii="Arial" w:cs="Arial" w:eastAsia="Arial" w:hAnsi="Arial"/>
          <w:sz w:val="15"/>
          <w:szCs w:val="15"/>
          <w:color w:val="auto"/>
        </w:rPr>
        <w:t xml:space="preserve">” means, collectively, the Common Stock purchase warrants delivered to the Purchasers at the Closing in accordance with Section 2.2(a) hereof, which Warrants shall be exercisable immediately and have a term of exercise equal to five (5) years,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issuable upon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PURCHASE AND SALE</w:t>
      </w:r>
    </w:p>
    <w:p>
      <w:pPr>
        <w:spacing w:after="0" w:line="243"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Closing</w:t>
      </w:r>
      <w:r>
        <w:rPr>
          <w:rFonts w:ascii="Arial" w:cs="Arial" w:eastAsia="Arial" w:hAnsi="Arial"/>
          <w:sz w:val="17"/>
          <w:szCs w:val="17"/>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$2,000,000 of Shares and Warrants. Each Purchaser shall deliver to the Escrow Agent, via wire transfer or a certified check, immediately available funds equal to such Purchaser’s Subscription Amount as set forth on the signature page hereto executed by such Purchaser and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534035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6" w:name="page47"/>
    <w:bookmarkEnd w:id="46"/>
    <w:p>
      <w:pPr>
        <w:spacing w:after="0"/>
        <w:tabs>
          <w:tab w:leader="none" w:pos="6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Deliveries</w:t>
      </w:r>
      <w:r>
        <w:rPr>
          <w:rFonts w:ascii="Arial" w:cs="Arial" w:eastAsia="Arial" w:hAnsi="Arial"/>
          <w:sz w:val="15"/>
          <w:szCs w:val="15"/>
          <w:color w:val="auto"/>
        </w:rPr>
        <w:t>.</w:t>
      </w:r>
    </w:p>
    <w:p>
      <w:pPr>
        <w:spacing w:after="0" w:line="243" w:lineRule="exact"/>
        <w:rPr>
          <w:sz w:val="20"/>
          <w:szCs w:val="20"/>
          <w:color w:val="auto"/>
        </w:rPr>
      </w:pPr>
    </w:p>
    <w:p>
      <w:pPr>
        <w:ind w:left="1280" w:hanging="658"/>
        <w:spacing w:after="0"/>
        <w:tabs>
          <w:tab w:leader="none" w:pos="1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each Purchaser the following:</w:t>
      </w:r>
    </w:p>
    <w:p>
      <w:pPr>
        <w:spacing w:after="0" w:line="243" w:lineRule="exact"/>
        <w:rPr>
          <w:rFonts w:ascii="Arial" w:cs="Arial" w:eastAsia="Arial" w:hAnsi="Arial"/>
          <w:sz w:val="17"/>
          <w:szCs w:val="17"/>
          <w:color w:val="auto"/>
        </w:rPr>
      </w:pPr>
    </w:p>
    <w:p>
      <w:pPr>
        <w:ind w:left="1880" w:hanging="638"/>
        <w:spacing w:after="0"/>
        <w:tabs>
          <w:tab w:leader="none" w:pos="18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this Agreement duly executed by the Company;</w:t>
      </w:r>
    </w:p>
    <w:p>
      <w:pPr>
        <w:spacing w:after="0" w:line="243" w:lineRule="exact"/>
        <w:rPr>
          <w:rFonts w:ascii="Arial" w:cs="Arial" w:eastAsia="Arial" w:hAnsi="Arial"/>
          <w:sz w:val="17"/>
          <w:szCs w:val="17"/>
          <w:color w:val="auto"/>
        </w:rPr>
      </w:pPr>
    </w:p>
    <w:p>
      <w:pPr>
        <w:ind w:left="1880" w:hanging="638"/>
        <w:spacing w:after="0"/>
        <w:tabs>
          <w:tab w:leader="none" w:pos="18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a legal opinion of Company Counsel,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243" w:lineRule="exact"/>
        <w:rPr>
          <w:rFonts w:ascii="Arial" w:cs="Arial" w:eastAsia="Arial" w:hAnsi="Arial"/>
          <w:sz w:val="17"/>
          <w:szCs w:val="17"/>
          <w:color w:val="auto"/>
        </w:rPr>
      </w:pPr>
    </w:p>
    <w:p>
      <w:pPr>
        <w:jc w:val="both"/>
        <w:ind w:left="620" w:firstLine="622"/>
        <w:spacing w:after="0" w:line="266" w:lineRule="auto"/>
        <w:tabs>
          <w:tab w:leader="none" w:pos="196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copy of the irrevocable instructions to the Transfer Agent instructing the Transfer Agent to deliver on an expedited basis via The Depository Trust Company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Shares equal to such Purchaser’s Subscription Amount divided by the Per Share Purchase Price, registered in the name of such Purchaser;</w:t>
      </w:r>
    </w:p>
    <w:p>
      <w:pPr>
        <w:spacing w:after="0" w:line="201" w:lineRule="exact"/>
        <w:rPr>
          <w:rFonts w:ascii="Arial" w:cs="Arial" w:eastAsia="Arial" w:hAnsi="Arial"/>
          <w:sz w:val="17"/>
          <w:szCs w:val="17"/>
          <w:color w:val="auto"/>
        </w:rPr>
      </w:pPr>
    </w:p>
    <w:p>
      <w:pPr>
        <w:jc w:val="both"/>
        <w:ind w:left="620" w:firstLine="622"/>
        <w:spacing w:after="0" w:line="266" w:lineRule="auto"/>
        <w:tabs>
          <w:tab w:leader="none" w:pos="1966" w:val="left"/>
        </w:tabs>
        <w:numPr>
          <w:ilvl w:val="1"/>
          <w:numId w:val="40"/>
        </w:numPr>
        <w:rPr>
          <w:rFonts w:ascii="Arial" w:cs="Arial" w:eastAsia="Arial" w:hAnsi="Arial"/>
          <w:sz w:val="17"/>
          <w:szCs w:val="17"/>
          <w:color w:val="auto"/>
        </w:rPr>
      </w:pPr>
      <w:r>
        <w:rPr>
          <w:rFonts w:ascii="Arial" w:cs="Arial" w:eastAsia="Arial" w:hAnsi="Arial"/>
          <w:sz w:val="17"/>
          <w:szCs w:val="17"/>
          <w:color w:val="auto"/>
        </w:rPr>
        <w:t>a Warrant registered in the name of such Purchaser to purchase up to a number of shares of Common Stock equal to 100% of such Purchaser’s Shares, with an exercise price equal to $1.17, subject to adjustment therein (such Warrant certificate may be delivered within three Trading Days of the Closing Date); and</w:t>
      </w:r>
    </w:p>
    <w:p>
      <w:pPr>
        <w:spacing w:after="0" w:line="201" w:lineRule="exact"/>
        <w:rPr>
          <w:rFonts w:ascii="Arial" w:cs="Arial" w:eastAsia="Arial" w:hAnsi="Arial"/>
          <w:sz w:val="17"/>
          <w:szCs w:val="17"/>
          <w:color w:val="auto"/>
        </w:rPr>
      </w:pPr>
    </w:p>
    <w:p>
      <w:pPr>
        <w:ind w:left="1880" w:hanging="638"/>
        <w:spacing w:after="0"/>
        <w:tabs>
          <w:tab w:leader="none" w:pos="18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54" w:lineRule="exact"/>
        <w:rPr>
          <w:rFonts w:ascii="Arial" w:cs="Arial" w:eastAsia="Arial" w:hAnsi="Arial"/>
          <w:sz w:val="16"/>
          <w:szCs w:val="16"/>
          <w:color w:val="auto"/>
        </w:rPr>
      </w:pPr>
    </w:p>
    <w:p>
      <w:pPr>
        <w:ind w:left="1300" w:hanging="678"/>
        <w:spacing w:after="0"/>
        <w:tabs>
          <w:tab w:leader="none" w:pos="13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 or prior to the Closing Date, each Purchaser shall deliver or cause to be delivered to the Company or the Escrow Agent, as applicable,</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following:</w:t>
      </w:r>
    </w:p>
    <w:p>
      <w:pPr>
        <w:spacing w:after="0" w:line="232" w:lineRule="exact"/>
        <w:rPr>
          <w:rFonts w:ascii="Arial" w:cs="Arial" w:eastAsia="Arial" w:hAnsi="Arial"/>
          <w:sz w:val="15"/>
          <w:szCs w:val="15"/>
          <w:color w:val="auto"/>
        </w:rPr>
      </w:pPr>
    </w:p>
    <w:p>
      <w:pPr>
        <w:ind w:left="1880" w:hanging="638"/>
        <w:spacing w:after="0"/>
        <w:tabs>
          <w:tab w:leader="none" w:pos="18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this Agreement duly executed by such Purchaser; and</w:t>
      </w:r>
    </w:p>
    <w:p>
      <w:pPr>
        <w:spacing w:after="0" w:line="243" w:lineRule="exact"/>
        <w:rPr>
          <w:rFonts w:ascii="Arial" w:cs="Arial" w:eastAsia="Arial" w:hAnsi="Arial"/>
          <w:sz w:val="17"/>
          <w:szCs w:val="17"/>
          <w:color w:val="auto"/>
        </w:rPr>
      </w:pPr>
    </w:p>
    <w:p>
      <w:pPr>
        <w:ind w:left="1880" w:hanging="638"/>
        <w:spacing w:after="0"/>
        <w:tabs>
          <w:tab w:leader="none" w:pos="18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Escrow Agent, such Purchaser’s Subscription Amount by wire transfer to the account specified in the Escrow Agreement.</w:t>
      </w:r>
    </w:p>
    <w:p>
      <w:pPr>
        <w:spacing w:after="0" w:line="25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Closing Conditions</w:t>
      </w:r>
      <w:r>
        <w:rPr>
          <w:rFonts w:ascii="Arial" w:cs="Arial" w:eastAsia="Arial" w:hAnsi="Arial"/>
          <w:sz w:val="15"/>
          <w:szCs w:val="15"/>
          <w:color w:val="auto"/>
        </w:rPr>
        <w:t>.</w:t>
      </w:r>
    </w:p>
    <w:p>
      <w:pPr>
        <w:spacing w:after="0" w:line="243" w:lineRule="exact"/>
        <w:rPr>
          <w:sz w:val="20"/>
          <w:szCs w:val="20"/>
          <w:color w:val="auto"/>
        </w:rPr>
      </w:pPr>
    </w:p>
    <w:p>
      <w:pPr>
        <w:ind w:left="1280" w:hanging="658"/>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43" w:lineRule="exact"/>
        <w:rPr>
          <w:rFonts w:ascii="Arial" w:cs="Arial" w:eastAsia="Arial" w:hAnsi="Arial"/>
          <w:sz w:val="17"/>
          <w:szCs w:val="17"/>
          <w:color w:val="auto"/>
        </w:rPr>
      </w:pPr>
    </w:p>
    <w:p>
      <w:pPr>
        <w:ind w:left="620" w:firstLine="622"/>
        <w:spacing w:after="0" w:line="280" w:lineRule="auto"/>
        <w:tabs>
          <w:tab w:leader="none" w:pos="18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accuracy in all material respects on the Closing Date of the representations and warranties of the Purchasers contained herein (unless as of a specific date therein in which case they shall be accurate as of such date);</w:t>
      </w:r>
    </w:p>
    <w:p>
      <w:pPr>
        <w:spacing w:after="0" w:line="189" w:lineRule="exact"/>
        <w:rPr>
          <w:rFonts w:ascii="Arial" w:cs="Arial" w:eastAsia="Arial" w:hAnsi="Arial"/>
          <w:sz w:val="17"/>
          <w:szCs w:val="17"/>
          <w:color w:val="auto"/>
        </w:rPr>
      </w:pPr>
    </w:p>
    <w:p>
      <w:pPr>
        <w:ind w:left="620" w:firstLine="622"/>
        <w:spacing w:after="0" w:line="280" w:lineRule="auto"/>
        <w:tabs>
          <w:tab w:leader="none" w:pos="1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obligations, covenants and agreements of each Purchaser required to be performed at or prior to the Closing Date shall have been performed; and</w:t>
      </w:r>
    </w:p>
    <w:p>
      <w:pPr>
        <w:spacing w:after="0" w:line="189" w:lineRule="exact"/>
        <w:rPr>
          <w:rFonts w:ascii="Arial" w:cs="Arial" w:eastAsia="Arial" w:hAnsi="Arial"/>
          <w:sz w:val="17"/>
          <w:szCs w:val="17"/>
          <w:color w:val="auto"/>
        </w:rPr>
      </w:pPr>
    </w:p>
    <w:p>
      <w:pPr>
        <w:ind w:left="1920" w:hanging="678"/>
        <w:spacing w:after="0"/>
        <w:tabs>
          <w:tab w:leader="none" w:pos="19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delivery by each Purchaser of the items set forth in Section 2.2(b)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553720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7" w:name="page48"/>
    <w:bookmarkEnd w:id="47"/>
    <w:p>
      <w:pPr>
        <w:ind w:left="1920" w:hanging="678"/>
        <w:spacing w:after="0"/>
        <w:tabs>
          <w:tab w:leader="none" w:pos="19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respective obligations of the Purchasers hereunder in connection with the Closing are subject to the following conditions being met:</w:t>
      </w:r>
    </w:p>
    <w:p>
      <w:pPr>
        <w:spacing w:after="0" w:line="266" w:lineRule="exact"/>
        <w:rPr>
          <w:rFonts w:ascii="Arial" w:cs="Arial" w:eastAsia="Arial" w:hAnsi="Arial"/>
          <w:sz w:val="15"/>
          <w:szCs w:val="15"/>
          <w:color w:val="auto"/>
        </w:rPr>
      </w:pPr>
    </w:p>
    <w:p>
      <w:pPr>
        <w:ind w:left="1240" w:firstLine="622"/>
        <w:spacing w:after="0" w:line="280" w:lineRule="auto"/>
        <w:tabs>
          <w:tab w:leader="none" w:pos="2564"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accuracy in all material respects when made and on the Closing Date of the representations and warranties of the Company contained herein (unless as of a specific date therein);</w:t>
      </w:r>
    </w:p>
    <w:p>
      <w:pPr>
        <w:spacing w:after="0" w:line="189" w:lineRule="exact"/>
        <w:rPr>
          <w:rFonts w:ascii="Arial" w:cs="Arial" w:eastAsia="Arial" w:hAnsi="Arial"/>
          <w:sz w:val="17"/>
          <w:szCs w:val="17"/>
          <w:color w:val="auto"/>
        </w:rPr>
      </w:pPr>
    </w:p>
    <w:p>
      <w:pPr>
        <w:ind w:left="2600" w:hanging="738"/>
        <w:spacing w:after="0"/>
        <w:tabs>
          <w:tab w:leader="none" w:pos="26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all obligations, covenants and agreements of the Company required to be performed at or prior to the Closing Date shall have</w:t>
      </w:r>
    </w:p>
    <w:p>
      <w:pPr>
        <w:spacing w:after="0" w:line="44"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7"/>
          <w:szCs w:val="17"/>
          <w:color w:val="auto"/>
        </w:rPr>
        <w:t>been performed;</w:t>
      </w:r>
    </w:p>
    <w:p>
      <w:pPr>
        <w:spacing w:after="0" w:line="232" w:lineRule="exact"/>
        <w:rPr>
          <w:rFonts w:ascii="Arial" w:cs="Arial" w:eastAsia="Arial" w:hAnsi="Arial"/>
          <w:sz w:val="15"/>
          <w:szCs w:val="15"/>
          <w:color w:val="auto"/>
        </w:rPr>
      </w:pPr>
    </w:p>
    <w:p>
      <w:pPr>
        <w:ind w:left="2500" w:hanging="638"/>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delivery by the Company of the items set forth in Section 2.2(a) of this Agreement;</w:t>
      </w:r>
    </w:p>
    <w:p>
      <w:pPr>
        <w:spacing w:after="0" w:line="243" w:lineRule="exact"/>
        <w:rPr>
          <w:rFonts w:ascii="Arial" w:cs="Arial" w:eastAsia="Arial" w:hAnsi="Arial"/>
          <w:sz w:val="17"/>
          <w:szCs w:val="17"/>
          <w:color w:val="auto"/>
        </w:rPr>
      </w:pPr>
    </w:p>
    <w:p>
      <w:pPr>
        <w:ind w:left="2500" w:hanging="638"/>
        <w:spacing w:after="0"/>
        <w:tabs>
          <w:tab w:leader="none" w:pos="2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there shall have been no Material Adverse Effect with respect to the Company since the date hereof; and</w:t>
      </w:r>
    </w:p>
    <w:p>
      <w:pPr>
        <w:spacing w:after="0" w:line="243" w:lineRule="exact"/>
        <w:rPr>
          <w:rFonts w:ascii="Arial" w:cs="Arial" w:eastAsia="Arial" w:hAnsi="Arial"/>
          <w:sz w:val="17"/>
          <w:szCs w:val="17"/>
          <w:color w:val="auto"/>
        </w:rPr>
      </w:pPr>
    </w:p>
    <w:p>
      <w:pPr>
        <w:jc w:val="both"/>
        <w:ind w:left="1240" w:firstLine="622"/>
        <w:spacing w:after="0" w:line="276" w:lineRule="auto"/>
        <w:tabs>
          <w:tab w:leader="none" w:pos="2514" w:val="left"/>
        </w:tabs>
        <w:numPr>
          <w:ilvl w:val="1"/>
          <w:numId w:val="42"/>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202" w:lineRule="exact"/>
        <w:rPr>
          <w:sz w:val="20"/>
          <w:szCs w:val="20"/>
          <w:color w:val="auto"/>
        </w:rPr>
      </w:pPr>
    </w:p>
    <w:p>
      <w:pPr>
        <w:jc w:val="both"/>
        <w:ind w:left="620" w:firstLine="622"/>
        <w:spacing w:after="0" w:line="308" w:lineRule="auto"/>
        <w:tabs>
          <w:tab w:leader="none" w:pos="1929"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All of the direct and indirect subsidiaries of the Company are set forth on </w:t>
      </w:r>
      <w:r>
        <w:rPr>
          <w:rFonts w:ascii="Arial" w:cs="Arial" w:eastAsia="Arial" w:hAnsi="Arial"/>
          <w:sz w:val="15"/>
          <w:szCs w:val="15"/>
          <w:u w:val="single" w:color="auto"/>
          <w:color w:val="auto"/>
        </w:rPr>
        <w:t>Schedule 3.1(a)</w:t>
      </w:r>
      <w:r>
        <w:rPr>
          <w:rFonts w:ascii="Arial" w:cs="Arial" w:eastAsia="Arial" w:hAnsi="Arial"/>
          <w:sz w:val="15"/>
          <w:szCs w:val="15"/>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508635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8" w:name="page49"/>
    <w:bookmarkEnd w:id="48"/>
    <w:p>
      <w:pPr>
        <w:jc w:val="both"/>
        <w:ind w:left="-580" w:firstLine="622"/>
        <w:spacing w:after="0" w:line="273" w:lineRule="auto"/>
        <w:tabs>
          <w:tab w:leader="none" w:pos="72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201" w:lineRule="exact"/>
        <w:rPr>
          <w:rFonts w:ascii="Arial" w:cs="Arial" w:eastAsia="Arial" w:hAnsi="Arial"/>
          <w:sz w:val="16"/>
          <w:szCs w:val="16"/>
          <w:color w:val="auto"/>
        </w:rPr>
      </w:pPr>
    </w:p>
    <w:p>
      <w:pPr>
        <w:jc w:val="both"/>
        <w:ind w:left="-580" w:firstLine="622"/>
        <w:spacing w:after="0" w:line="273" w:lineRule="auto"/>
        <w:tabs>
          <w:tab w:leader="none" w:pos="9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527050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9" w:name="page50"/>
    <w:bookmarkEnd w:id="49"/>
    <w:p>
      <w:pPr>
        <w:jc w:val="both"/>
        <w:ind w:left="-580" w:firstLine="622"/>
        <w:spacing w:after="0" w:line="293" w:lineRule="auto"/>
        <w:tabs>
          <w:tab w:leader="none" w:pos="855"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7" w:lineRule="exact"/>
        <w:rPr>
          <w:rFonts w:ascii="Arial" w:cs="Arial" w:eastAsia="Arial" w:hAnsi="Arial"/>
          <w:sz w:val="15"/>
          <w:szCs w:val="15"/>
          <w:color w:val="auto"/>
        </w:rPr>
      </w:pPr>
    </w:p>
    <w:p>
      <w:pPr>
        <w:jc w:val="both"/>
        <w:ind w:left="-580" w:firstLine="622"/>
        <w:spacing w:after="0" w:line="258" w:lineRule="auto"/>
        <w:tabs>
          <w:tab w:leader="none" w:pos="75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left="-580" w:firstLine="622"/>
        <w:spacing w:after="0" w:line="274" w:lineRule="auto"/>
        <w:tabs>
          <w:tab w:leader="none" w:pos="91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July 23,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526415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6"/>
          <w:szCs w:val="16"/>
          <w:color w:val="auto"/>
        </w:rPr>
        <w:t>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198" w:lineRule="exact"/>
        <w:rPr>
          <w:sz w:val="20"/>
          <w:szCs w:val="20"/>
          <w:color w:val="auto"/>
        </w:rPr>
      </w:pPr>
    </w:p>
    <w:p>
      <w:pPr>
        <w:jc w:val="both"/>
        <w:ind w:firstLine="622"/>
        <w:spacing w:after="0" w:line="272" w:lineRule="auto"/>
        <w:tabs>
          <w:tab w:leader="none" w:pos="151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524510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51" w:name="page52"/>
    <w:bookmarkEnd w:id="51"/>
    <w:p>
      <w:pPr>
        <w:jc w:val="both"/>
        <w:ind w:left="-3" w:firstLine="622"/>
        <w:spacing w:after="0" w:line="291" w:lineRule="auto"/>
        <w:tabs>
          <w:tab w:leader="none" w:pos="1316"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SEC Reports; Financial Statements</w:t>
      </w:r>
      <w:r>
        <w:rPr>
          <w:rFonts w:ascii="Arial" w:cs="Arial" w:eastAsia="Arial" w:hAnsi="Arial"/>
          <w:sz w:val="15"/>
          <w:szCs w:val="15"/>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5"/>
          <w:szCs w:val="15"/>
          <w:u w:val="single" w:color="auto"/>
          <w:color w:val="auto"/>
        </w:rPr>
        <w:t>SEC Reports</w:t>
      </w:r>
      <w:r>
        <w:rPr>
          <w:rFonts w:ascii="Arial" w:cs="Arial" w:eastAsia="Arial" w:hAnsi="Arial"/>
          <w:sz w:val="15"/>
          <w:szCs w:val="15"/>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5"/>
          <w:szCs w:val="15"/>
          <w:u w:val="single" w:color="auto"/>
          <w:color w:val="auto"/>
        </w:rPr>
        <w:t>GAAP</w:t>
      </w:r>
      <w:r>
        <w:rPr>
          <w:rFonts w:ascii="Arial" w:cs="Arial" w:eastAsia="Arial" w:hAnsi="Arial"/>
          <w:sz w:val="15"/>
          <w:szCs w:val="15"/>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2" w:lineRule="exact"/>
        <w:rPr>
          <w:rFonts w:ascii="Arial" w:cs="Arial" w:eastAsia="Arial" w:hAnsi="Arial"/>
          <w:sz w:val="15"/>
          <w:szCs w:val="15"/>
          <w:color w:val="auto"/>
        </w:rPr>
      </w:pPr>
    </w:p>
    <w:p>
      <w:pPr>
        <w:jc w:val="both"/>
        <w:ind w:left="-3" w:firstLine="622"/>
        <w:spacing w:after="0" w:line="291" w:lineRule="auto"/>
        <w:tabs>
          <w:tab w:leader="none" w:pos="1381"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Material Changes; Undisclosed Events, Liabilities or Developments</w:t>
      </w:r>
      <w:r>
        <w:rPr>
          <w:rFonts w:ascii="Arial" w:cs="Arial" w:eastAsia="Arial" w:hAnsi="Arial"/>
          <w:sz w:val="15"/>
          <w:szCs w:val="15"/>
          <w:color w:val="auto"/>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w:t>
      </w:r>
    </w:p>
    <w:p>
      <w:pPr>
        <w:jc w:val="both"/>
        <w:ind w:left="-3" w:firstLine="3"/>
        <w:spacing w:after="0" w:line="273" w:lineRule="auto"/>
        <w:tabs>
          <w:tab w:leader="none" w:pos="2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523875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7"/>
          </w:cols>
          <w:pgMar w:left="863" w:top="501" w:right="239" w:bottom="1440" w:gutter="0" w:footer="0" w:header="0"/>
        </w:sectPr>
      </w:pPr>
    </w:p>
    <w:bookmarkStart w:id="52" w:name="page53"/>
    <w:bookmarkEnd w:id="52"/>
    <w:p>
      <w:pPr>
        <w:jc w:val="both"/>
        <w:ind w:left="-580" w:firstLine="622"/>
        <w:spacing w:after="0" w:line="274" w:lineRule="auto"/>
        <w:tabs>
          <w:tab w:leader="none" w:pos="68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rFonts w:ascii="Arial" w:cs="Arial" w:eastAsia="Arial" w:hAnsi="Arial"/>
          <w:sz w:val="16"/>
          <w:szCs w:val="16"/>
          <w:color w:val="auto"/>
        </w:rPr>
      </w:pPr>
    </w:p>
    <w:p>
      <w:pPr>
        <w:jc w:val="both"/>
        <w:ind w:left="-580" w:firstLine="622"/>
        <w:spacing w:after="0" w:line="294" w:lineRule="auto"/>
        <w:tabs>
          <w:tab w:leader="none" w:pos="765"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Labor Relations</w:t>
      </w:r>
      <w:r>
        <w:rPr>
          <w:rFonts w:ascii="Arial" w:cs="Arial" w:eastAsia="Arial" w:hAnsi="Arial"/>
          <w:sz w:val="15"/>
          <w:szCs w:val="15"/>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4" w:lineRule="exact"/>
        <w:rPr>
          <w:rFonts w:ascii="Arial" w:cs="Arial" w:eastAsia="Arial" w:hAnsi="Arial"/>
          <w:sz w:val="15"/>
          <w:szCs w:val="15"/>
          <w:color w:val="auto"/>
        </w:rPr>
      </w:pPr>
    </w:p>
    <w:p>
      <w:pPr>
        <w:jc w:val="both"/>
        <w:ind w:left="-580" w:firstLine="622"/>
        <w:spacing w:after="0" w:line="257" w:lineRule="auto"/>
        <w:tabs>
          <w:tab w:leader="none" w:pos="75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532130</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3" w:name="page54"/>
    <w:bookmarkEnd w:id="53"/>
    <w:p>
      <w:pPr>
        <w:jc w:val="both"/>
        <w:ind w:left="-580" w:firstLine="622"/>
        <w:spacing w:after="0" w:line="283" w:lineRule="auto"/>
        <w:tabs>
          <w:tab w:leader="none" w:pos="89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90" w:lineRule="exact"/>
        <w:rPr>
          <w:rFonts w:ascii="Arial" w:cs="Arial" w:eastAsia="Arial" w:hAnsi="Arial"/>
          <w:sz w:val="16"/>
          <w:szCs w:val="16"/>
          <w:color w:val="auto"/>
        </w:rPr>
      </w:pPr>
    </w:p>
    <w:p>
      <w:pPr>
        <w:jc w:val="both"/>
        <w:ind w:left="-580" w:firstLine="622"/>
        <w:spacing w:after="0" w:line="257" w:lineRule="auto"/>
        <w:tabs>
          <w:tab w:leader="none" w:pos="76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12" w:lineRule="exact"/>
        <w:rPr>
          <w:rFonts w:ascii="Arial" w:cs="Arial" w:eastAsia="Arial" w:hAnsi="Arial"/>
          <w:sz w:val="17"/>
          <w:szCs w:val="17"/>
          <w:color w:val="auto"/>
        </w:rPr>
      </w:pPr>
    </w:p>
    <w:p>
      <w:pPr>
        <w:jc w:val="both"/>
        <w:ind w:left="-580" w:firstLine="622"/>
        <w:spacing w:after="0" w:line="273" w:lineRule="auto"/>
        <w:tabs>
          <w:tab w:leader="none" w:pos="95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525145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4" w:name="page55"/>
    <w:bookmarkEnd w:id="54"/>
    <w:p>
      <w:pPr>
        <w:jc w:val="both"/>
        <w:ind w:left="-580" w:firstLine="622"/>
        <w:spacing w:after="0" w:line="280" w:lineRule="auto"/>
        <w:tabs>
          <w:tab w:leader="none" w:pos="73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91" w:lineRule="exact"/>
        <w:rPr>
          <w:rFonts w:ascii="Arial" w:cs="Arial" w:eastAsia="Arial" w:hAnsi="Arial"/>
          <w:sz w:val="16"/>
          <w:szCs w:val="16"/>
          <w:color w:val="auto"/>
        </w:rPr>
      </w:pPr>
    </w:p>
    <w:p>
      <w:pPr>
        <w:jc w:val="both"/>
        <w:ind w:left="-580" w:firstLine="622"/>
        <w:spacing w:after="0" w:line="296" w:lineRule="auto"/>
        <w:tabs>
          <w:tab w:leader="none" w:pos="739"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Transactions With Affiliates and Employees</w:t>
      </w:r>
      <w:r>
        <w:rPr>
          <w:rFonts w:ascii="Arial" w:cs="Arial" w:eastAsia="Arial" w:hAnsi="Arial"/>
          <w:sz w:val="15"/>
          <w:szCs w:val="15"/>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2" w:lineRule="exact"/>
        <w:rPr>
          <w:rFonts w:ascii="Arial" w:cs="Arial" w:eastAsia="Arial" w:hAnsi="Arial"/>
          <w:sz w:val="15"/>
          <w:szCs w:val="15"/>
          <w:color w:val="auto"/>
        </w:rPr>
      </w:pPr>
    </w:p>
    <w:p>
      <w:pPr>
        <w:jc w:val="both"/>
        <w:ind w:left="-580" w:firstLine="622"/>
        <w:spacing w:after="0" w:line="272" w:lineRule="auto"/>
        <w:tabs>
          <w:tab w:leader="none" w:pos="92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529590</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5" w:name="page56"/>
    <w:bookmarkEnd w:id="55"/>
    <w:p>
      <w:pPr>
        <w:jc w:val="both"/>
        <w:spacing w:after="0" w:line="262" w:lineRule="auto"/>
        <w:rPr>
          <w:sz w:val="20"/>
          <w:szCs w:val="20"/>
          <w:color w:val="auto"/>
        </w:rPr>
      </w:pPr>
      <w:r>
        <w:rPr>
          <w:rFonts w:ascii="Arial" w:cs="Arial" w:eastAsia="Arial" w:hAnsi="Arial"/>
          <w:sz w:val="17"/>
          <w:szCs w:val="17"/>
          <w:color w:val="auto"/>
        </w:rPr>
        <w:t>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5" w:lineRule="exact"/>
        <w:rPr>
          <w:sz w:val="20"/>
          <w:szCs w:val="20"/>
          <w:color w:val="auto"/>
        </w:rPr>
      </w:pPr>
    </w:p>
    <w:p>
      <w:pPr>
        <w:jc w:val="both"/>
        <w:ind w:firstLine="622"/>
        <w:spacing w:after="0" w:line="260" w:lineRule="auto"/>
        <w:tabs>
          <w:tab w:leader="none" w:pos="133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05" w:lineRule="exact"/>
        <w:rPr>
          <w:rFonts w:ascii="Arial" w:cs="Arial" w:eastAsia="Arial" w:hAnsi="Arial"/>
          <w:sz w:val="17"/>
          <w:szCs w:val="17"/>
          <w:color w:val="auto"/>
        </w:rPr>
      </w:pPr>
    </w:p>
    <w:p>
      <w:pPr>
        <w:jc w:val="both"/>
        <w:ind w:firstLine="622"/>
        <w:spacing w:after="0" w:line="318" w:lineRule="auto"/>
        <w:tabs>
          <w:tab w:leader="none" w:pos="1267"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Investment Company</w:t>
      </w:r>
      <w:r>
        <w:rPr>
          <w:rFonts w:ascii="Arial" w:cs="Arial" w:eastAsia="Arial" w:hAnsi="Arial"/>
          <w:sz w:val="15"/>
          <w:szCs w:val="15"/>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66" w:lineRule="exact"/>
        <w:rPr>
          <w:rFonts w:ascii="Arial" w:cs="Arial" w:eastAsia="Arial" w:hAnsi="Arial"/>
          <w:sz w:val="15"/>
          <w:szCs w:val="15"/>
          <w:color w:val="auto"/>
        </w:rPr>
      </w:pPr>
    </w:p>
    <w:p>
      <w:pPr>
        <w:ind w:firstLine="622"/>
        <w:spacing w:after="0" w:line="280" w:lineRule="auto"/>
        <w:tabs>
          <w:tab w:leader="none" w:pos="134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No Person has any right to cause the Company or any Subsidiary to effect the registration under the Securities Act of any securities of the Company or any Subsidiary.</w:t>
      </w:r>
    </w:p>
    <w:p>
      <w:pPr>
        <w:spacing w:after="0" w:line="189" w:lineRule="exact"/>
        <w:rPr>
          <w:rFonts w:ascii="Arial" w:cs="Arial" w:eastAsia="Arial" w:hAnsi="Arial"/>
          <w:sz w:val="17"/>
          <w:szCs w:val="17"/>
          <w:color w:val="auto"/>
        </w:rPr>
      </w:pPr>
    </w:p>
    <w:p>
      <w:pPr>
        <w:jc w:val="both"/>
        <w:ind w:firstLine="622"/>
        <w:spacing w:after="0" w:line="296" w:lineRule="auto"/>
        <w:tabs>
          <w:tab w:leader="none" w:pos="137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Listing and Maintenance Requirements</w:t>
      </w:r>
      <w:r>
        <w:rPr>
          <w:rFonts w:ascii="Arial" w:cs="Arial" w:eastAsia="Arial" w:hAnsi="Arial"/>
          <w:sz w:val="15"/>
          <w:szCs w:val="15"/>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514985</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56" w:name="page57"/>
    <w:bookmarkEnd w:id="56"/>
    <w:p>
      <w:pPr>
        <w:jc w:val="both"/>
        <w:ind w:left="-580" w:firstLine="622"/>
        <w:spacing w:after="0" w:line="302" w:lineRule="auto"/>
        <w:tabs>
          <w:tab w:leader="none" w:pos="764"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Application of Takeover Protections</w:t>
      </w:r>
      <w:r>
        <w:rPr>
          <w:rFonts w:ascii="Arial" w:cs="Arial" w:eastAsia="Arial" w:hAnsi="Arial"/>
          <w:sz w:val="15"/>
          <w:szCs w:val="15"/>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79" w:lineRule="exact"/>
        <w:rPr>
          <w:rFonts w:ascii="Arial" w:cs="Arial" w:eastAsia="Arial" w:hAnsi="Arial"/>
          <w:sz w:val="15"/>
          <w:szCs w:val="15"/>
          <w:color w:val="auto"/>
        </w:rPr>
      </w:pPr>
    </w:p>
    <w:p>
      <w:pPr>
        <w:jc w:val="both"/>
        <w:ind w:left="-580" w:firstLine="622"/>
        <w:spacing w:after="0" w:line="273" w:lineRule="auto"/>
        <w:tabs>
          <w:tab w:leader="none" w:pos="72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8" w:lineRule="exact"/>
        <w:rPr>
          <w:rFonts w:ascii="Arial" w:cs="Arial" w:eastAsia="Arial" w:hAnsi="Arial"/>
          <w:sz w:val="16"/>
          <w:szCs w:val="16"/>
          <w:color w:val="auto"/>
        </w:rPr>
      </w:pPr>
    </w:p>
    <w:p>
      <w:pPr>
        <w:jc w:val="both"/>
        <w:ind w:left="-580" w:firstLine="622"/>
        <w:spacing w:after="0" w:line="308" w:lineRule="auto"/>
        <w:tabs>
          <w:tab w:leader="none" w:pos="855" w:val="left"/>
        </w:tabs>
        <w:numPr>
          <w:ilvl w:val="0"/>
          <w:numId w:val="53"/>
        </w:numPr>
        <w:rPr>
          <w:rFonts w:ascii="Arial" w:cs="Arial" w:eastAsia="Arial" w:hAnsi="Arial"/>
          <w:sz w:val="15"/>
          <w:szCs w:val="15"/>
          <w:color w:val="auto"/>
        </w:rPr>
      </w:pPr>
      <w:r>
        <w:rPr>
          <w:rFonts w:ascii="Arial" w:cs="Arial" w:eastAsia="Arial" w:hAnsi="Arial"/>
          <w:sz w:val="15"/>
          <w:szCs w:val="15"/>
          <w:u w:val="single" w:color="auto"/>
          <w:color w:val="auto"/>
        </w:rPr>
        <w:t>No Integrated Offering</w:t>
      </w:r>
      <w:r>
        <w:rPr>
          <w:rFonts w:ascii="Arial" w:cs="Arial" w:eastAsia="Arial" w:hAnsi="Arial"/>
          <w:sz w:val="15"/>
          <w:szCs w:val="15"/>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508635</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7" w:name="page58"/>
    <w:bookmarkEnd w:id="57"/>
    <w:p>
      <w:pPr>
        <w:jc w:val="both"/>
        <w:ind w:left="-580" w:firstLine="622"/>
        <w:spacing w:after="0" w:line="272" w:lineRule="auto"/>
        <w:tabs>
          <w:tab w:leader="none" w:pos="75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6"/>
          <w:szCs w:val="16"/>
          <w:u w:val="single" w:color="auto"/>
          <w:color w:val="auto"/>
        </w:rPr>
        <w:t>Schedule 3.1(z)</w:t>
      </w:r>
      <w:r>
        <w:rPr>
          <w:rFonts w:ascii="Arial" w:cs="Arial" w:eastAsia="Arial" w:hAnsi="Arial"/>
          <w:sz w:val="16"/>
          <w:szCs w:val="16"/>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8" w:lineRule="exact"/>
        <w:rPr>
          <w:sz w:val="20"/>
          <w:szCs w:val="20"/>
          <w:color w:val="auto"/>
        </w:rPr>
      </w:pPr>
    </w:p>
    <w:p>
      <w:pPr>
        <w:jc w:val="both"/>
        <w:ind w:left="-580" w:firstLine="622"/>
        <w:spacing w:after="0" w:line="257" w:lineRule="auto"/>
        <w:tabs>
          <w:tab w:leader="none" w:pos="85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534035</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58" w:name="page59"/>
    <w:bookmarkEnd w:id="58"/>
    <w:p>
      <w:pPr>
        <w:jc w:val="both"/>
        <w:ind w:firstLine="622"/>
        <w:spacing w:after="0" w:line="258" w:lineRule="auto"/>
        <w:tabs>
          <w:tab w:leader="none" w:pos="137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10" w:lineRule="exact"/>
        <w:rPr>
          <w:rFonts w:ascii="Arial" w:cs="Arial" w:eastAsia="Arial" w:hAnsi="Arial"/>
          <w:sz w:val="17"/>
          <w:szCs w:val="17"/>
          <w:color w:val="auto"/>
        </w:rPr>
      </w:pPr>
    </w:p>
    <w:p>
      <w:pPr>
        <w:jc w:val="both"/>
        <w:ind w:firstLine="622"/>
        <w:spacing w:after="0" w:line="291" w:lineRule="auto"/>
        <w:tabs>
          <w:tab w:leader="none" w:pos="136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xml:space="preserve">. The Company’s accounting firm is set forth on </w:t>
      </w:r>
      <w:r>
        <w:rPr>
          <w:rFonts w:ascii="Arial" w:cs="Arial" w:eastAsia="Arial" w:hAnsi="Arial"/>
          <w:sz w:val="16"/>
          <w:szCs w:val="16"/>
          <w:u w:val="single" w:color="auto"/>
          <w:color w:val="auto"/>
        </w:rPr>
        <w:t>Schedule 3.1(cc)</w:t>
      </w:r>
      <w:r>
        <w:rPr>
          <w:rFonts w:ascii="Arial" w:cs="Arial" w:eastAsia="Arial" w:hAnsi="Arial"/>
          <w:sz w:val="16"/>
          <w:szCs w:val="16"/>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2014.</w:t>
      </w:r>
    </w:p>
    <w:p>
      <w:pPr>
        <w:spacing w:after="0" w:line="182" w:lineRule="exact"/>
        <w:rPr>
          <w:rFonts w:ascii="Arial" w:cs="Arial" w:eastAsia="Arial" w:hAnsi="Arial"/>
          <w:sz w:val="16"/>
          <w:szCs w:val="16"/>
          <w:color w:val="auto"/>
        </w:rPr>
      </w:pPr>
    </w:p>
    <w:p>
      <w:pPr>
        <w:jc w:val="both"/>
        <w:ind w:firstLine="622"/>
        <w:spacing w:after="0" w:line="297" w:lineRule="auto"/>
        <w:tabs>
          <w:tab w:leader="none" w:pos="1435"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Acknowledgment Regarding Purchasers’ Purchase of Securities</w:t>
      </w:r>
      <w:r>
        <w:rPr>
          <w:rFonts w:ascii="Arial" w:cs="Arial" w:eastAsia="Arial" w:hAnsi="Arial"/>
          <w:sz w:val="15"/>
          <w:szCs w:val="15"/>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4" w:lineRule="exact"/>
        <w:rPr>
          <w:rFonts w:ascii="Arial" w:cs="Arial" w:eastAsia="Arial" w:hAnsi="Arial"/>
          <w:sz w:val="15"/>
          <w:szCs w:val="15"/>
          <w:color w:val="auto"/>
        </w:rPr>
      </w:pPr>
    </w:p>
    <w:p>
      <w:pPr>
        <w:ind w:left="1520" w:hanging="898"/>
        <w:spacing w:after="0"/>
        <w:tabs>
          <w:tab w:leader="none" w:pos="152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Acknowledgement Regarding Purchaser’s Trading Activity</w:t>
      </w:r>
      <w:r>
        <w:rPr>
          <w:rFonts w:ascii="Arial" w:cs="Arial" w:eastAsia="Arial" w:hAnsi="Arial"/>
          <w:sz w:val="19"/>
          <w:szCs w:val="19"/>
          <w:color w:val="auto"/>
        </w:rPr>
        <w:t>. Anything in this Agreement or elsewhere herein to</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524510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17"/>
          <w:szCs w:val="17"/>
          <w:color w:val="auto"/>
        </w:rPr>
        <w:t>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5" w:lineRule="exact"/>
        <w:rPr>
          <w:sz w:val="20"/>
          <w:szCs w:val="20"/>
          <w:color w:val="auto"/>
        </w:rPr>
      </w:pPr>
    </w:p>
    <w:p>
      <w:pPr>
        <w:jc w:val="both"/>
        <w:ind w:firstLine="622"/>
        <w:spacing w:after="0" w:line="280" w:lineRule="auto"/>
        <w:tabs>
          <w:tab w:leader="none" w:pos="137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91" w:lineRule="exact"/>
        <w:rPr>
          <w:rFonts w:ascii="Arial" w:cs="Arial" w:eastAsia="Arial" w:hAnsi="Arial"/>
          <w:sz w:val="16"/>
          <w:szCs w:val="16"/>
          <w:color w:val="auto"/>
        </w:rPr>
      </w:pPr>
    </w:p>
    <w:p>
      <w:pPr>
        <w:jc w:val="both"/>
        <w:ind w:firstLine="622"/>
        <w:spacing w:after="0" w:line="290" w:lineRule="auto"/>
        <w:tabs>
          <w:tab w:leader="none" w:pos="143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FDA</w:t>
      </w:r>
      <w:r>
        <w:rPr>
          <w:rFonts w:ascii="Arial" w:cs="Arial" w:eastAsia="Arial" w:hAnsi="Arial"/>
          <w:sz w:val="15"/>
          <w:szCs w:val="15"/>
          <w:color w:val="auto"/>
        </w:rPr>
        <w:t>. As to each product subject to the jurisdiction of the U.S. Food and Drug Administration (“</w:t>
      </w:r>
      <w:r>
        <w:rPr>
          <w:rFonts w:ascii="Arial" w:cs="Arial" w:eastAsia="Arial" w:hAnsi="Arial"/>
          <w:sz w:val="15"/>
          <w:szCs w:val="15"/>
          <w:u w:val="single" w:color="auto"/>
          <w:color w:val="auto"/>
        </w:rPr>
        <w:t>FDA</w:t>
      </w:r>
      <w:r>
        <w:rPr>
          <w:rFonts w:ascii="Arial" w:cs="Arial" w:eastAsia="Arial" w:hAnsi="Arial"/>
          <w:sz w:val="15"/>
          <w:szCs w:val="15"/>
          <w:color w:val="auto"/>
        </w:rPr>
        <w:t>”) under the Federal Food, Drug and Cosmetic Act, as amended, and the regulations thereunder (“</w:t>
      </w:r>
      <w:r>
        <w:rPr>
          <w:rFonts w:ascii="Arial" w:cs="Arial" w:eastAsia="Arial" w:hAnsi="Arial"/>
          <w:sz w:val="15"/>
          <w:szCs w:val="15"/>
          <w:u w:val="single" w:color="auto"/>
          <w:color w:val="auto"/>
        </w:rPr>
        <w:t>FDCA</w:t>
      </w:r>
      <w:r>
        <w:rPr>
          <w:rFonts w:ascii="Arial" w:cs="Arial" w:eastAsia="Arial" w:hAnsi="Arial"/>
          <w:sz w:val="15"/>
          <w:szCs w:val="15"/>
          <w:color w:val="auto"/>
        </w:rPr>
        <w:t>”) that is manufactured, packaged, labeled, tested, distributed, sold, and/or marketed by the Company or any of its Subsidiaries (each such product, a “</w:t>
      </w:r>
      <w:r>
        <w:rPr>
          <w:rFonts w:ascii="Arial" w:cs="Arial" w:eastAsia="Arial" w:hAnsi="Arial"/>
          <w:sz w:val="15"/>
          <w:szCs w:val="15"/>
          <w:u w:val="single" w:color="auto"/>
          <w:color w:val="auto"/>
        </w:rPr>
        <w:t>Pharmaceutical Product</w:t>
      </w:r>
      <w:r>
        <w:rPr>
          <w:rFonts w:ascii="Arial" w:cs="Arial" w:eastAsia="Arial" w:hAnsi="Arial"/>
          <w:sz w:val="15"/>
          <w:szCs w:val="15"/>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523240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0" w:name="page61"/>
    <w:bookmarkEnd w:id="60"/>
    <w:p>
      <w:pPr>
        <w:jc w:val="both"/>
        <w:ind w:left="-580" w:firstLine="622"/>
        <w:spacing w:after="0" w:line="266" w:lineRule="auto"/>
        <w:tabs>
          <w:tab w:leader="none" w:pos="68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Office of Foreign Assets Control</w:t>
      </w:r>
      <w:r>
        <w:rPr>
          <w:rFonts w:ascii="Arial" w:cs="Arial" w:eastAsia="Arial" w:hAnsi="Arial"/>
          <w:sz w:val="17"/>
          <w:szCs w:val="17"/>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580" w:firstLine="622"/>
        <w:spacing w:after="0" w:line="312" w:lineRule="auto"/>
        <w:tabs>
          <w:tab w:leader="none" w:pos="82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6" w:lineRule="exact"/>
        <w:rPr>
          <w:rFonts w:ascii="Arial" w:cs="Arial" w:eastAsia="Arial" w:hAnsi="Arial"/>
          <w:sz w:val="16"/>
          <w:szCs w:val="16"/>
          <w:color w:val="auto"/>
        </w:rPr>
      </w:pPr>
    </w:p>
    <w:p>
      <w:pPr>
        <w:jc w:val="both"/>
        <w:ind w:left="-580" w:firstLine="622"/>
        <w:spacing w:after="0" w:line="258" w:lineRule="auto"/>
        <w:tabs>
          <w:tab w:leader="none" w:pos="73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210" w:lineRule="exact"/>
        <w:rPr>
          <w:rFonts w:ascii="Arial" w:cs="Arial" w:eastAsia="Arial" w:hAnsi="Arial"/>
          <w:sz w:val="17"/>
          <w:szCs w:val="17"/>
          <w:color w:val="auto"/>
        </w:rPr>
      </w:pPr>
    </w:p>
    <w:p>
      <w:pPr>
        <w:jc w:val="both"/>
        <w:ind w:left="-580" w:firstLine="622"/>
        <w:spacing w:after="0" w:line="280" w:lineRule="auto"/>
        <w:tabs>
          <w:tab w:leader="none" w:pos="80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520700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61" w:name="page62"/>
    <w:bookmarkEnd w:id="61"/>
    <w:p>
      <w:pPr>
        <w:ind w:firstLine="620"/>
        <w:spacing w:after="0" w:line="28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Representations and Warranties of the Purchasers</w:t>
      </w:r>
      <w:r>
        <w:rPr>
          <w:rFonts w:ascii="Arial" w:cs="Arial" w:eastAsia="Arial" w:hAnsi="Arial"/>
          <w:sz w:val="17"/>
          <w:szCs w:val="17"/>
          <w:color w:val="auto"/>
        </w:rPr>
        <w:t>. Each Purchaser, for itself and for no other Purchaser, hereby represents and warrants as of the date hereof and as of the Closing Date to the Company as follows (unless as of a specific date therein):</w:t>
      </w:r>
    </w:p>
    <w:p>
      <w:pPr>
        <w:spacing w:after="0" w:line="189" w:lineRule="exact"/>
        <w:rPr>
          <w:sz w:val="20"/>
          <w:szCs w:val="20"/>
          <w:color w:val="auto"/>
        </w:rPr>
      </w:pPr>
    </w:p>
    <w:p>
      <w:pPr>
        <w:jc w:val="both"/>
        <w:ind w:left="460" w:firstLine="937"/>
        <w:spacing w:after="0" w:line="274" w:lineRule="auto"/>
        <w:tabs>
          <w:tab w:leader="none" w:pos="215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Such Purchaser is either an individual or an entity duly incorporation or formation,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such Purchaser of the transactions contemplated by this Agreement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6" w:lineRule="exact"/>
        <w:rPr>
          <w:rFonts w:ascii="Arial" w:cs="Arial" w:eastAsia="Arial" w:hAnsi="Arial"/>
          <w:sz w:val="16"/>
          <w:szCs w:val="16"/>
          <w:color w:val="auto"/>
        </w:rPr>
      </w:pPr>
    </w:p>
    <w:p>
      <w:pPr>
        <w:jc w:val="both"/>
        <w:ind w:left="460" w:firstLine="937"/>
        <w:spacing w:after="0" w:line="283" w:lineRule="auto"/>
        <w:tabs>
          <w:tab w:leader="none" w:pos="221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90" w:lineRule="exact"/>
        <w:rPr>
          <w:rFonts w:ascii="Arial" w:cs="Arial" w:eastAsia="Arial" w:hAnsi="Arial"/>
          <w:sz w:val="16"/>
          <w:szCs w:val="16"/>
          <w:color w:val="auto"/>
        </w:rPr>
      </w:pPr>
    </w:p>
    <w:p>
      <w:pPr>
        <w:ind w:left="460" w:firstLine="937"/>
        <w:spacing w:after="0" w:line="312" w:lineRule="auto"/>
        <w:tabs>
          <w:tab w:leader="none" w:pos="2169"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Warrants, it will be an “accredited investor” as defined in Rule 501(a)(1), (a)(2), (a)(3), (a)(7) or (a)(8) under the Securities Act.</w:t>
      </w:r>
    </w:p>
    <w:p>
      <w:pPr>
        <w:spacing w:after="0" w:line="166" w:lineRule="exact"/>
        <w:rPr>
          <w:rFonts w:ascii="Arial" w:cs="Arial" w:eastAsia="Arial" w:hAnsi="Arial"/>
          <w:sz w:val="16"/>
          <w:szCs w:val="16"/>
          <w:color w:val="auto"/>
        </w:rPr>
      </w:pPr>
    </w:p>
    <w:p>
      <w:pPr>
        <w:jc w:val="both"/>
        <w:ind w:left="460" w:firstLine="937"/>
        <w:spacing w:after="0" w:line="262" w:lineRule="auto"/>
        <w:tabs>
          <w:tab w:leader="none" w:pos="216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Experience of Such Purchaser</w:t>
      </w:r>
      <w:r>
        <w:rPr>
          <w:rFonts w:ascii="Arial" w:cs="Arial" w:eastAsia="Arial" w:hAnsi="Arial"/>
          <w:sz w:val="17"/>
          <w:szCs w:val="17"/>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204" w:lineRule="exact"/>
        <w:rPr>
          <w:rFonts w:ascii="Arial" w:cs="Arial" w:eastAsia="Arial" w:hAnsi="Arial"/>
          <w:sz w:val="17"/>
          <w:szCs w:val="17"/>
          <w:color w:val="auto"/>
        </w:rPr>
      </w:pPr>
    </w:p>
    <w:p>
      <w:pPr>
        <w:jc w:val="both"/>
        <w:ind w:left="460" w:firstLine="937"/>
        <w:spacing w:after="0" w:line="318" w:lineRule="auto"/>
        <w:tabs>
          <w:tab w:leader="none" w:pos="2131"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Access to Information</w:t>
      </w:r>
      <w:r>
        <w:rPr>
          <w:rFonts w:ascii="Arial" w:cs="Arial" w:eastAsia="Arial" w:hAnsi="Arial"/>
          <w:sz w:val="15"/>
          <w:szCs w:val="15"/>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504190</wp:posOffset>
            </wp:positionV>
            <wp:extent cx="725741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2" w:name="page63"/>
    <w:bookmarkEnd w:id="62"/>
    <w:p>
      <w:pPr>
        <w:jc w:val="both"/>
        <w:ind w:left="460"/>
        <w:spacing w:after="0" w:line="275" w:lineRule="auto"/>
        <w:rPr>
          <w:sz w:val="20"/>
          <w:szCs w:val="20"/>
          <w:color w:val="auto"/>
        </w:rPr>
      </w:pPr>
      <w:r>
        <w:rPr>
          <w:rFonts w:ascii="Arial" w:cs="Arial" w:eastAsia="Arial" w:hAnsi="Arial"/>
          <w:sz w:val="16"/>
          <w:szCs w:val="16"/>
          <w:color w:val="auto"/>
        </w:rPr>
        <w:t>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8" w:lineRule="exact"/>
        <w:rPr>
          <w:sz w:val="20"/>
          <w:szCs w:val="20"/>
          <w:color w:val="auto"/>
        </w:rPr>
      </w:pPr>
    </w:p>
    <w:p>
      <w:pPr>
        <w:jc w:val="both"/>
        <w:ind w:left="460" w:firstLine="937"/>
        <w:spacing w:after="0" w:line="273" w:lineRule="auto"/>
        <w:tabs>
          <w:tab w:leader="none" w:pos="209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acknowledges and agrees that the representations contained in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514985</wp:posOffset>
            </wp:positionV>
            <wp:extent cx="725741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ARTICLE IV.</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OTHER AGREEMENTS OF THE PARTIES</w:t>
      </w:r>
    </w:p>
    <w:p>
      <w:pPr>
        <w:spacing w:after="0" w:line="243" w:lineRule="exact"/>
        <w:rPr>
          <w:sz w:val="20"/>
          <w:szCs w:val="20"/>
          <w:color w:val="auto"/>
        </w:rPr>
      </w:pPr>
    </w:p>
    <w:p>
      <w:pPr>
        <w:jc w:val="both"/>
        <w:ind w:firstLine="620"/>
        <w:spacing w:after="0" w:line="296"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Warrant Shares</w:t>
      </w:r>
      <w:r>
        <w:rPr>
          <w:rFonts w:ascii="Arial" w:cs="Arial" w:eastAsia="Arial" w:hAnsi="Arial"/>
          <w:sz w:val="15"/>
          <w:szCs w:val="15"/>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8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 Until the earliest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05"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9:00 a.m. (New York City time) on the Trading Day immediately following the date hereof,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523875</wp:posOffset>
            </wp:positionV>
            <wp:extent cx="725741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4" w:name="page65"/>
    <w:bookmarkEnd w:id="64"/>
    <w:p>
      <w:pPr>
        <w:jc w:val="both"/>
        <w:spacing w:after="0" w:line="308" w:lineRule="auto"/>
        <w:rPr>
          <w:sz w:val="20"/>
          <w:szCs w:val="20"/>
          <w:color w:val="auto"/>
        </w:rPr>
      </w:pPr>
      <w:r>
        <w:rPr>
          <w:rFonts w:ascii="Arial" w:cs="Arial" w:eastAsia="Arial" w:hAnsi="Arial"/>
          <w:sz w:val="15"/>
          <w:szCs w:val="15"/>
          <w:color w:val="auto"/>
        </w:rPr>
        <w:t>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73"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Shareholder Rights Plan</w:t>
      </w:r>
      <w:r>
        <w:rPr>
          <w:rFonts w:ascii="Arial" w:cs="Arial" w:eastAsia="Arial" w:hAnsi="Arial"/>
          <w:sz w:val="15"/>
          <w:szCs w:val="15"/>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7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entered into a written agreement with the Company regarding the confidentiality and use of such information. The Company understands and confirms that each Purchaser shall be relying on the foregoing covenant in effecting transactions in securities of the Company.</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205" w:lineRule="exact"/>
        <w:rPr>
          <w:sz w:val="20"/>
          <w:szCs w:val="20"/>
          <w:color w:val="auto"/>
        </w:rPr>
      </w:pPr>
    </w:p>
    <w:p>
      <w:pPr>
        <w:jc w:val="both"/>
        <w:ind w:firstLine="620"/>
        <w:spacing w:after="0" w:line="295"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Indemnification of Purchasers</w:t>
      </w:r>
      <w:r>
        <w:rPr>
          <w:rFonts w:ascii="Arial" w:cs="Arial" w:eastAsia="Arial" w:hAnsi="Arial"/>
          <w:sz w:val="15"/>
          <w:szCs w:val="15"/>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5"/>
          <w:szCs w:val="15"/>
          <w:u w:val="single" w:color="auto"/>
          <w:color w:val="auto"/>
        </w:rPr>
        <w:t>Purchaser Party</w:t>
      </w:r>
      <w:r>
        <w:rPr>
          <w:rFonts w:ascii="Arial" w:cs="Arial" w:eastAsia="Arial" w:hAnsi="Arial"/>
          <w:sz w:val="15"/>
          <w:szCs w:val="15"/>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514985</wp:posOffset>
            </wp:positionV>
            <wp:extent cx="725741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5" w:name="page66"/>
    <w:bookmarkEnd w:id="65"/>
    <w:p>
      <w:pPr>
        <w:jc w:val="both"/>
        <w:ind w:firstLine="44"/>
        <w:spacing w:after="0" w:line="291" w:lineRule="auto"/>
        <w:rPr>
          <w:sz w:val="20"/>
          <w:szCs w:val="20"/>
          <w:color w:val="auto"/>
        </w:rPr>
      </w:pPr>
      <w:r>
        <w:rPr>
          <w:rFonts w:ascii="Arial" w:cs="Arial" w:eastAsia="Arial" w:hAnsi="Arial"/>
          <w:sz w:val="15"/>
          <w:szCs w:val="15"/>
          <w:color w:val="auto"/>
        </w:rPr>
        <w:t>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202"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6" w:name="page67"/>
    <w:bookmarkEnd w:id="66"/>
    <w:p>
      <w:pPr>
        <w:spacing w:after="0"/>
        <w:tabs>
          <w:tab w:leader="none" w:pos="7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5"/>
          <w:szCs w:val="15"/>
          <w:u w:val="single" w:color="auto"/>
          <w:color w:val="auto"/>
        </w:rPr>
        <w:t>Participation in Future Financing</w:t>
      </w:r>
      <w:r>
        <w:rPr>
          <w:rFonts w:ascii="Arial" w:cs="Arial" w:eastAsia="Arial" w:hAnsi="Arial"/>
          <w:sz w:val="15"/>
          <w:szCs w:val="15"/>
          <w:color w:val="auto"/>
        </w:rPr>
        <w:t>.</w:t>
      </w:r>
    </w:p>
    <w:p>
      <w:pPr>
        <w:spacing w:after="0" w:line="243" w:lineRule="exact"/>
        <w:rPr>
          <w:sz w:val="20"/>
          <w:szCs w:val="20"/>
          <w:color w:val="auto"/>
        </w:rPr>
      </w:pPr>
    </w:p>
    <w:p>
      <w:pPr>
        <w:jc w:val="both"/>
        <w:ind w:firstLine="622"/>
        <w:spacing w:after="0" w:line="283" w:lineRule="auto"/>
        <w:tabs>
          <w:tab w:leader="none" w:pos="1314" w:val="left"/>
        </w:tabs>
        <w:numPr>
          <w:ilvl w:val="0"/>
          <w:numId w:val="61"/>
        </w:numPr>
        <w:rPr>
          <w:rFonts w:ascii="Arial" w:cs="Arial" w:eastAsia="Arial" w:hAnsi="Arial"/>
          <w:sz w:val="16"/>
          <w:szCs w:val="16"/>
          <w:color w:val="auto"/>
        </w:rPr>
      </w:pPr>
      <w:r>
        <w:rPr>
          <w:rFonts w:ascii="Arial" w:cs="Arial" w:eastAsia="Arial" w:hAnsi="Arial"/>
          <w:sz w:val="16"/>
          <w:szCs w:val="16"/>
          <w:color w:val="auto"/>
        </w:rPr>
        <w:t>From the date hereof until the date that is the 12 month anniversary of the Closing Date, upon any issuance by the Company or any of its Subsidiaries of Common Stock or Common Stock Equivalents for cash consideration, Indebtedness or a combination of units hereof (a “</w:t>
      </w:r>
      <w:r>
        <w:rPr>
          <w:rFonts w:ascii="Arial" w:cs="Arial" w:eastAsia="Arial" w:hAnsi="Arial"/>
          <w:sz w:val="16"/>
          <w:szCs w:val="16"/>
          <w:u w:val="single" w:color="auto"/>
          <w:color w:val="auto"/>
        </w:rPr>
        <w:t>Subsequent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each Purchaser shall have the right to participate in up to an amount of the Subsequent Financing equal to 25% of the Subsequent Financing (the “</w:t>
      </w:r>
      <w:r>
        <w:rPr>
          <w:rFonts w:ascii="Arial" w:cs="Arial" w:eastAsia="Arial" w:hAnsi="Arial"/>
          <w:sz w:val="16"/>
          <w:szCs w:val="16"/>
          <w:u w:val="single" w:color="auto"/>
          <w:color w:val="auto"/>
        </w:rPr>
        <w:t>Participation Maximum</w:t>
      </w:r>
      <w:r>
        <w:rPr>
          <w:rFonts w:ascii="Arial" w:cs="Arial" w:eastAsia="Arial" w:hAnsi="Arial"/>
          <w:sz w:val="16"/>
          <w:szCs w:val="16"/>
          <w:color w:val="auto"/>
        </w:rPr>
        <w:t>”) on the same terms, conditions and price provided for in the Subsequent Financing.</w:t>
      </w:r>
    </w:p>
    <w:p>
      <w:pPr>
        <w:spacing w:after="0" w:line="190" w:lineRule="exact"/>
        <w:rPr>
          <w:rFonts w:ascii="Arial" w:cs="Arial" w:eastAsia="Arial" w:hAnsi="Arial"/>
          <w:sz w:val="16"/>
          <w:szCs w:val="16"/>
          <w:color w:val="auto"/>
        </w:rPr>
      </w:pPr>
    </w:p>
    <w:p>
      <w:pPr>
        <w:jc w:val="both"/>
        <w:ind w:firstLine="622"/>
        <w:spacing w:after="0" w:line="276" w:lineRule="auto"/>
        <w:tabs>
          <w:tab w:leader="none" w:pos="13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least five (5) Trading Days prior to the closing of the Subsequent Financing, the Company shall deliver to each Purchaser a written notice of its intention to effect a Subsequent Financing (“</w:t>
      </w:r>
      <w:r>
        <w:rPr>
          <w:rFonts w:ascii="Arial" w:cs="Arial" w:eastAsia="Arial" w:hAnsi="Arial"/>
          <w:sz w:val="16"/>
          <w:szCs w:val="16"/>
          <w:u w:val="single" w:color="auto"/>
          <w:color w:val="auto"/>
        </w:rPr>
        <w:t>Pre-Notice</w:t>
      </w:r>
      <w:r>
        <w:rPr>
          <w:rFonts w:ascii="Arial" w:cs="Arial" w:eastAsia="Arial" w:hAnsi="Arial"/>
          <w:sz w:val="16"/>
          <w:szCs w:val="16"/>
          <w:color w:val="auto"/>
        </w:rPr>
        <w:t>”), which Pre-Notice shall ask such Purchaser if it wants to review the details of such financing (such additional notice, a “</w:t>
      </w:r>
      <w:r>
        <w:rPr>
          <w:rFonts w:ascii="Arial" w:cs="Arial" w:eastAsia="Arial" w:hAnsi="Arial"/>
          <w:sz w:val="16"/>
          <w:szCs w:val="16"/>
          <w:u w:val="single" w:color="auto"/>
          <w:color w:val="auto"/>
        </w:rPr>
        <w:t>Subsequent Financing Notice</w:t>
      </w:r>
      <w:r>
        <w:rPr>
          <w:rFonts w:ascii="Arial" w:cs="Arial" w:eastAsia="Arial" w:hAnsi="Arial"/>
          <w:sz w:val="16"/>
          <w:szCs w:val="16"/>
          <w:color w:val="auto"/>
        </w:rPr>
        <w:t>”). Upon the request of a Purchaser, and only upon a request by such Purchaser, for a Subsequent Financing Notice, the Company shall promptly, but no later than one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196" w:lineRule="exact"/>
        <w:rPr>
          <w:rFonts w:ascii="Arial" w:cs="Arial" w:eastAsia="Arial" w:hAnsi="Arial"/>
          <w:sz w:val="16"/>
          <w:szCs w:val="16"/>
          <w:color w:val="auto"/>
        </w:rPr>
      </w:pPr>
    </w:p>
    <w:p>
      <w:pPr>
        <w:jc w:val="both"/>
        <w:ind w:firstLine="622"/>
        <w:spacing w:after="0" w:line="262" w:lineRule="auto"/>
        <w:tabs>
          <w:tab w:leader="none" w:pos="136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Purchaser desiring to participate in such Subsequent Financing must provide written notice to the Company by not later than 5:30 p.m. (New York City time) on the fifth (5</w:t>
      </w:r>
      <w:r>
        <w:rPr>
          <w:rFonts w:ascii="Arial" w:cs="Arial" w:eastAsia="Arial" w:hAnsi="Arial"/>
          <w:sz w:val="22"/>
          <w:szCs w:val="22"/>
          <w:color w:val="auto"/>
          <w:vertAlign w:val="superscript"/>
        </w:rPr>
        <w:t>th</w:t>
      </w:r>
      <w:r>
        <w:rPr>
          <w:rFonts w:ascii="Arial" w:cs="Arial" w:eastAsia="Arial" w:hAnsi="Arial"/>
          <w:sz w:val="16"/>
          <w:szCs w:val="16"/>
          <w:color w:val="auto"/>
        </w:rPr>
        <w:t>) Trading Day after all of the Purchasers have received the Pre-Notice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fifth (5</w:t>
      </w:r>
      <w:r>
        <w:rPr>
          <w:rFonts w:ascii="Arial" w:cs="Arial" w:eastAsia="Arial" w:hAnsi="Arial"/>
          <w:sz w:val="22"/>
          <w:szCs w:val="22"/>
          <w:color w:val="auto"/>
          <w:vertAlign w:val="superscript"/>
        </w:rPr>
        <w:t>th</w:t>
      </w:r>
      <w:r>
        <w:rPr>
          <w:rFonts w:ascii="Arial" w:cs="Arial" w:eastAsia="Arial" w:hAnsi="Arial"/>
          <w:sz w:val="16"/>
          <w:szCs w:val="16"/>
          <w:color w:val="auto"/>
        </w:rPr>
        <w:t>) Trading Day, such Purchaser shall be deemed to have notified the Company that it does not elect to participate.</w:t>
      </w:r>
    </w:p>
    <w:p>
      <w:pPr>
        <w:spacing w:after="0" w:line="108" w:lineRule="exact"/>
        <w:rPr>
          <w:rFonts w:ascii="Arial" w:cs="Arial" w:eastAsia="Arial" w:hAnsi="Arial"/>
          <w:sz w:val="16"/>
          <w:szCs w:val="16"/>
          <w:color w:val="auto"/>
        </w:rPr>
      </w:pPr>
    </w:p>
    <w:p>
      <w:pPr>
        <w:jc w:val="both"/>
        <w:ind w:firstLine="622"/>
        <w:spacing w:after="0" w:line="233" w:lineRule="auto"/>
        <w:tabs>
          <w:tab w:leader="none" w:pos="1319"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by 5:30 p.m. (New York City time) on the fifth (5</w:t>
      </w:r>
      <w:r>
        <w:rPr>
          <w:rFonts w:ascii="Arial" w:cs="Arial" w:eastAsia="Arial" w:hAnsi="Arial"/>
          <w:sz w:val="24"/>
          <w:szCs w:val="24"/>
          <w:color w:val="auto"/>
          <w:vertAlign w:val="superscript"/>
        </w:rPr>
        <w:t>th</w:t>
      </w:r>
      <w:r>
        <w:rPr>
          <w:rFonts w:ascii="Arial" w:cs="Arial" w:eastAsia="Arial" w:hAnsi="Arial"/>
          <w:sz w:val="17"/>
          <w:szCs w:val="17"/>
          <w:color w:val="auto"/>
        </w:rPr>
        <w:t>) Trading Day after all of the Purchasers have received the Pre-Notice, notifications by the Purchasers of their willingness to participate in the Subsequent Financing (or to cause their designees to participate) is, in the aggregate, less than the total amount of the Participation Maximum, then the Company may effect the remaining portion of such Subsequent Financing on the terms and with the Persons set forth in the Subsequent Financing Notice.</w:t>
      </w:r>
    </w:p>
    <w:p>
      <w:pPr>
        <w:spacing w:after="0" w:line="221" w:lineRule="exact"/>
        <w:rPr>
          <w:rFonts w:ascii="Arial" w:cs="Arial" w:eastAsia="Arial" w:hAnsi="Arial"/>
          <w:sz w:val="17"/>
          <w:szCs w:val="17"/>
          <w:color w:val="auto"/>
        </w:rPr>
      </w:pPr>
    </w:p>
    <w:p>
      <w:pPr>
        <w:jc w:val="both"/>
        <w:ind w:firstLine="622"/>
        <w:spacing w:after="0" w:line="275" w:lineRule="auto"/>
        <w:tabs>
          <w:tab w:leader="none" w:pos="1296"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by 5:30 p.m. (New York City time) on the fifth (5</w:t>
      </w:r>
      <w:r>
        <w:rPr>
          <w:rFonts w:ascii="Arial" w:cs="Arial" w:eastAsia="Arial" w:hAnsi="Arial"/>
          <w:sz w:val="21"/>
          <w:szCs w:val="21"/>
          <w:color w:val="auto"/>
          <w:vertAlign w:val="superscript"/>
        </w:rPr>
        <w:t>th</w:t>
      </w:r>
      <w:r>
        <w:rPr>
          <w:rFonts w:ascii="Arial" w:cs="Arial" w:eastAsia="Arial" w:hAnsi="Arial"/>
          <w:sz w:val="15"/>
          <w:szCs w:val="15"/>
          <w:color w:val="auto"/>
        </w:rPr>
        <w:t>)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Arial" w:cs="Arial" w:eastAsia="Arial" w:hAnsi="Arial"/>
          <w:sz w:val="15"/>
          <w:szCs w:val="15"/>
          <w:u w:val="single" w:color="auto"/>
          <w:color w:val="auto"/>
        </w:rPr>
        <w:t>Pro Rata Portion</w:t>
      </w:r>
      <w:r>
        <w:rPr>
          <w:rFonts w:ascii="Arial" w:cs="Arial" w:eastAsia="Arial" w:hAnsi="Arial"/>
          <w:sz w:val="15"/>
          <w:szCs w:val="15"/>
          <w:color w:val="auto"/>
        </w:rPr>
        <w:t>” means the ratio of (x) the Subscription Amount of Securities purchased on the Closing Date by a Purchaser participating under this Section 4.11 and (y) the sum of the aggregate Subscription Amounts of Securities purchased on the Closing Date by all Purchasers participating under this Section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525145</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7" w:name="page68"/>
    <w:bookmarkEnd w:id="67"/>
    <w:p>
      <w:pPr>
        <w:jc w:val="both"/>
        <w:ind w:firstLine="622"/>
        <w:spacing w:after="0" w:line="318" w:lineRule="auto"/>
        <w:tabs>
          <w:tab w:leader="none" w:pos="1344"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Company must provide the Purchasers with a second Subsequent Financing Notice, and the Purchasers will again have the right of participation set forth above in this Section 4.11, if the Subsequent Financing subject to the initial Subsequent Financing Notice is not consummated for any reason on the terms set forth in such Subsequent Financing Notice within 30 Trading Days after the date of the initial Subsequent Financing Notice.</w:t>
      </w:r>
    </w:p>
    <w:p>
      <w:pPr>
        <w:spacing w:after="0" w:line="166" w:lineRule="exact"/>
        <w:rPr>
          <w:rFonts w:ascii="Arial" w:cs="Arial" w:eastAsia="Arial" w:hAnsi="Arial"/>
          <w:sz w:val="15"/>
          <w:szCs w:val="15"/>
          <w:color w:val="auto"/>
        </w:rPr>
      </w:pPr>
    </w:p>
    <w:p>
      <w:pPr>
        <w:jc w:val="both"/>
        <w:ind w:firstLine="622"/>
        <w:spacing w:after="0" w:line="283" w:lineRule="auto"/>
        <w:tabs>
          <w:tab w:leader="none" w:pos="129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and each Purchaser agree that if any Purchaser elects to participate in the Subsequent Financing, the transaction documents related to the Subsequent Financing shall not include any term or provision whereby such Purchaser shall be required to agree to any restrictions on trading as to any of the Securities purchased hereunder or be required to consent to any amendment to or termination of, or grant any waiver, release or the like under or in connection with, this Agreement, without the prior written consent of such Purchaser.</w:t>
      </w:r>
    </w:p>
    <w:p>
      <w:pPr>
        <w:spacing w:after="0" w:line="190" w:lineRule="exact"/>
        <w:rPr>
          <w:rFonts w:ascii="Arial" w:cs="Arial" w:eastAsia="Arial" w:hAnsi="Arial"/>
          <w:sz w:val="16"/>
          <w:szCs w:val="16"/>
          <w:color w:val="auto"/>
        </w:rPr>
      </w:pPr>
    </w:p>
    <w:p>
      <w:pPr>
        <w:jc w:val="both"/>
        <w:ind w:firstLine="622"/>
        <w:spacing w:after="0" w:line="260" w:lineRule="auto"/>
        <w:tabs>
          <w:tab w:leader="none" w:pos="1311"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4.11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the tenth (10</w:t>
      </w:r>
      <w:r>
        <w:rPr>
          <w:rFonts w:ascii="Arial" w:cs="Arial" w:eastAsia="Arial" w:hAnsi="Arial"/>
          <w:sz w:val="22"/>
          <w:szCs w:val="22"/>
          <w:color w:val="auto"/>
          <w:vertAlign w:val="superscript"/>
        </w:rPr>
        <w:t>th</w:t>
      </w:r>
      <w:r>
        <w:rPr>
          <w:rFonts w:ascii="Arial" w:cs="Arial" w:eastAsia="Arial" w:hAnsi="Arial"/>
          <w:sz w:val="16"/>
          <w:szCs w:val="16"/>
          <w:color w:val="auto"/>
        </w:rPr>
        <w:t>) Business Day following delivery of the Subsequent Financing Notice. If by such tenth (10</w:t>
      </w:r>
      <w:r>
        <w:rPr>
          <w:rFonts w:ascii="Arial" w:cs="Arial" w:eastAsia="Arial" w:hAnsi="Arial"/>
          <w:sz w:val="22"/>
          <w:szCs w:val="22"/>
          <w:color w:val="auto"/>
          <w:vertAlign w:val="superscript"/>
        </w:rPr>
        <w:t>th</w:t>
      </w:r>
      <w:r>
        <w:rPr>
          <w:rFonts w:ascii="Arial" w:cs="Arial" w:eastAsia="Arial" w:hAnsi="Arial"/>
          <w:sz w:val="16"/>
          <w:szCs w:val="16"/>
          <w:color w:val="auto"/>
        </w:rPr>
        <w:t>) Business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p>
    <w:p>
      <w:pPr>
        <w:spacing w:after="0" w:line="207" w:lineRule="exact"/>
        <w:rPr>
          <w:rFonts w:ascii="Arial" w:cs="Arial" w:eastAsia="Arial" w:hAnsi="Arial"/>
          <w:sz w:val="16"/>
          <w:szCs w:val="16"/>
          <w:color w:val="auto"/>
        </w:rPr>
      </w:pPr>
    </w:p>
    <w:p>
      <w:pPr>
        <w:ind w:left="1260" w:hanging="638"/>
        <w:spacing w:after="0"/>
        <w:tabs>
          <w:tab w:leader="none" w:pos="1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Notwithstanding the foregoing, this Section 4.11 shall not apply in respect of an Exempt Issuance.</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43" w:lineRule="exact"/>
        <w:rPr>
          <w:sz w:val="20"/>
          <w:szCs w:val="20"/>
          <w:color w:val="auto"/>
        </w:rPr>
      </w:pPr>
    </w:p>
    <w:p>
      <w:pPr>
        <w:ind w:firstLine="622"/>
        <w:spacing w:after="0" w:line="280" w:lineRule="auto"/>
        <w:tabs>
          <w:tab w:leader="none" w:pos="13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From the date hereof until 90 days after the Closing Date, neither the Company nor any Subsidiary shall issue, enter into any agreement to issue or announce the issuance or proposed issuance of any shares of Common Stock or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519430</wp:posOffset>
            </wp:positionV>
            <wp:extent cx="725741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8" w:name="page69"/>
    <w:bookmarkEnd w:id="68"/>
    <w:p>
      <w:pPr>
        <w:jc w:val="both"/>
        <w:ind w:left="620" w:firstLine="622"/>
        <w:spacing w:after="0" w:line="294" w:lineRule="auto"/>
        <w:tabs>
          <w:tab w:leader="none" w:pos="1947" w:val="left"/>
        </w:tabs>
        <w:numPr>
          <w:ilvl w:val="0"/>
          <w:numId w:val="64"/>
        </w:numPr>
        <w:rPr>
          <w:rFonts w:ascii="Arial" w:cs="Arial" w:eastAsia="Arial" w:hAnsi="Arial"/>
          <w:sz w:val="15"/>
          <w:szCs w:val="15"/>
          <w:color w:val="auto"/>
        </w:rPr>
      </w:pPr>
      <w:r>
        <w:rPr>
          <w:rFonts w:ascii="Arial" w:cs="Arial" w:eastAsia="Arial" w:hAnsi="Arial"/>
          <w:sz w:val="15"/>
          <w:szCs w:val="15"/>
          <w:color w:val="auto"/>
        </w:rPr>
        <w:t>From the date hereof until the three (3) year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5"/>
          <w:szCs w:val="15"/>
          <w:u w:val="single" w:color="auto"/>
          <w:color w:val="auto"/>
        </w:rPr>
        <w:t>Variable Rate Transaction</w:t>
      </w:r>
      <w:r>
        <w:rPr>
          <w:rFonts w:ascii="Arial" w:cs="Arial" w:eastAsia="Arial" w:hAnsi="Arial"/>
          <w:sz w:val="15"/>
          <w:szCs w:val="15"/>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184" w:lineRule="exact"/>
        <w:rPr>
          <w:rFonts w:ascii="Arial" w:cs="Arial" w:eastAsia="Arial" w:hAnsi="Arial"/>
          <w:sz w:val="15"/>
          <w:szCs w:val="15"/>
          <w:color w:val="auto"/>
        </w:rPr>
      </w:pPr>
    </w:p>
    <w:p>
      <w:pPr>
        <w:ind w:left="620" w:firstLine="622"/>
        <w:spacing w:after="0" w:line="280" w:lineRule="auto"/>
        <w:tabs>
          <w:tab w:leader="none" w:pos="2187"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the foregoing, this Section 4.12 shall not apply in respect of an Exempt Issuance, except that no Variable Rate Transaction shall be an Exempt Issuance.</w:t>
      </w:r>
    </w:p>
    <w:p>
      <w:pPr>
        <w:spacing w:after="0" w:line="18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206"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725741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9" w:name="page70"/>
    <w:bookmarkEnd w:id="69"/>
    <w:p>
      <w:pPr>
        <w:jc w:val="both"/>
        <w:spacing w:after="0" w:line="276" w:lineRule="auto"/>
        <w:rPr>
          <w:sz w:val="20"/>
          <w:szCs w:val="20"/>
          <w:color w:val="auto"/>
        </w:rPr>
      </w:pPr>
      <w:r>
        <w:rPr>
          <w:rFonts w:ascii="Arial" w:cs="Arial" w:eastAsia="Arial" w:hAnsi="Arial"/>
          <w:sz w:val="16"/>
          <w:szCs w:val="16"/>
          <w:color w:val="auto"/>
        </w:rPr>
        <w:t>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7"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Capital Changes</w:t>
      </w:r>
      <w:r>
        <w:rPr>
          <w:rFonts w:ascii="Arial" w:cs="Arial" w:eastAsia="Arial" w:hAnsi="Arial"/>
          <w:sz w:val="17"/>
          <w:szCs w:val="17"/>
          <w:color w:val="auto"/>
        </w:rPr>
        <w:t>. Until the one year anniversary of the Closing Date, the Company shall not undertake a reverse or forward stock split or reclassification of the Common Stock without the prior written consent of the Purchasers holding a majority in interest of the Shares.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Exercise Procedures</w:t>
      </w:r>
      <w:r>
        <w:rPr>
          <w:rFonts w:ascii="Arial" w:cs="Arial" w:eastAsia="Arial" w:hAnsi="Arial"/>
          <w:sz w:val="16"/>
          <w:szCs w:val="16"/>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August 18, 2014;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termination will affect the right of any party to sue for any breach by any other party (or parties).</w:t>
      </w:r>
    </w:p>
    <w:p>
      <w:pPr>
        <w:spacing w:after="0" w:line="18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725741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0" w:name="page71"/>
    <w:bookmarkEnd w:id="70"/>
    <w:p>
      <w:pPr>
        <w:jc w:val="both"/>
        <w:ind w:firstLine="620"/>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as set forth on the signature pages attached hereto at or prior to 5:30 p.m. (New York City time) on a Trading Day, (b) the next Trading Day after the date of transmission, if such notice or communication is delivered via facsimile at the facsimile number or email attachment as set forth on the signature pages attached hereto on a day that is not a Trading Day or later than 5:30 p.m. (New York City time) on any Trading Day, (c) the second (2</w:t>
      </w:r>
      <w:r>
        <w:rPr>
          <w:rFonts w:ascii="Arial" w:cs="Arial" w:eastAsia="Arial" w:hAnsi="Arial"/>
          <w:sz w:val="22"/>
          <w:szCs w:val="22"/>
          <w:color w:val="auto"/>
          <w:vertAlign w:val="superscript"/>
        </w:rPr>
        <w:t>nd</w:t>
      </w:r>
      <w:r>
        <w:rPr>
          <w:rFonts w:ascii="Arial" w:cs="Arial" w:eastAsia="Arial" w:hAnsi="Arial"/>
          <w:sz w:val="16"/>
          <w:szCs w:val="16"/>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8"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the Purchasers who purchased at least 67% in interest of the Shares based on the initial Subscription Amounts hereunder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herein are for convenience only, do not constitute a part of this Agreement and shall not be deemed to limit or affect any of the provisions hereof.</w:t>
      </w:r>
    </w:p>
    <w:p>
      <w:pPr>
        <w:spacing w:after="0" w:line="18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725741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1" w:name="page72"/>
    <w:bookmarkEnd w:id="71"/>
    <w:p>
      <w:pPr>
        <w:jc w:val="both"/>
        <w:ind w:firstLine="620"/>
        <w:spacing w:after="0" w:line="27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202" w:lineRule="exact"/>
        <w:rPr>
          <w:sz w:val="20"/>
          <w:szCs w:val="20"/>
          <w:color w:val="auto"/>
        </w:rPr>
      </w:pPr>
    </w:p>
    <w:p>
      <w:pPr>
        <w:ind w:left="620"/>
        <w:spacing w:after="0"/>
        <w:tabs>
          <w:tab w:leader="none" w:pos="134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5"/>
          <w:szCs w:val="15"/>
          <w:u w:val="single" w:color="auto"/>
          <w:color w:val="auto"/>
        </w:rPr>
        <w:t>Survival</w:t>
      </w:r>
      <w:r>
        <w:rPr>
          <w:rFonts w:ascii="Arial" w:cs="Arial" w:eastAsia="Arial" w:hAnsi="Arial"/>
          <w:sz w:val="15"/>
          <w:szCs w:val="15"/>
          <w:color w:val="auto"/>
        </w:rPr>
        <w:t>. The representations and warranties contained herein shall survive the Closing and the delivery of the Securities.</w:t>
      </w:r>
    </w:p>
    <w:p>
      <w:pPr>
        <w:spacing w:after="0" w:line="24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532765</wp:posOffset>
            </wp:positionV>
            <wp:extent cx="725741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2" w:name="page73"/>
    <w:bookmarkEnd w:id="72"/>
    <w:p>
      <w:pPr>
        <w:jc w:val="both"/>
        <w:ind w:firstLine="620"/>
        <w:spacing w:after="0" w:line="257"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Replacement of Securities</w:t>
      </w:r>
      <w:r>
        <w:rPr>
          <w:rFonts w:ascii="Arial" w:cs="Arial" w:eastAsia="Arial" w:hAnsi="Arial"/>
          <w:sz w:val="17"/>
          <w:szCs w:val="17"/>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05"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521335</wp:posOffset>
            </wp:positionV>
            <wp:extent cx="725741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3" w:name="page74"/>
    <w:bookmarkEnd w:id="73"/>
    <w:p>
      <w:pPr>
        <w:jc w:val="both"/>
        <w:ind w:firstLine="620"/>
        <w:spacing w:after="0" w:line="272"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Liquidated Damages</w:t>
      </w:r>
      <w:r>
        <w:rPr>
          <w:rFonts w:ascii="Arial" w:cs="Arial" w:eastAsia="Arial" w:hAnsi="Arial"/>
          <w:sz w:val="17"/>
          <w:szCs w:val="17"/>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05"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0" w:lineRule="exact"/>
        <w:rPr>
          <w:sz w:val="20"/>
          <w:szCs w:val="20"/>
          <w:color w:val="auto"/>
        </w:rPr>
      </w:pPr>
    </w:p>
    <w:p>
      <w:pPr>
        <w:spacing w:after="0" w:line="204"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725741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4" w:name="page75"/>
    <w:bookmarkEnd w:id="74"/>
    <w:p>
      <w:pPr>
        <w:ind w:left="620"/>
        <w:spacing w:after="0"/>
        <w:tabs>
          <w:tab w:leader="none" w:pos="148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IN ANY ACTION, SUIT, OR PROCEEDING IN ANY JURISDICTION BROUGHT BY ANY PARTY</w:t>
      </w:r>
    </w:p>
    <w:p>
      <w:pPr>
        <w:spacing w:after="0" w:line="28"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5" w:name="page76"/>
    <w:bookmarkEnd w:id="75"/>
    <w:p>
      <w:pPr>
        <w:ind w:firstLine="620"/>
        <w:spacing w:after="0" w:line="280" w:lineRule="auto"/>
        <w:rPr>
          <w:sz w:val="20"/>
          <w:szCs w:val="20"/>
          <w:color w:val="auto"/>
        </w:rPr>
      </w:pPr>
      <w:r>
        <w:rPr>
          <w:rFonts w:ascii="Arial" w:cs="Arial" w:eastAsia="Arial" w:hAnsi="Arial"/>
          <w:sz w:val="17"/>
          <w:szCs w:val="17"/>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20"/>
                <w:szCs w:val="20"/>
                <w:color w:val="auto"/>
              </w:rPr>
            </w:pPr>
            <w:r>
              <w:rPr>
                <w:rFonts w:ascii="Arial" w:cs="Arial" w:eastAsia="Arial" w:hAnsi="Arial"/>
                <w:sz w:val="17"/>
                <w:szCs w:val="17"/>
                <w:b w:val="1"/>
                <w:bCs w:val="1"/>
                <w:color w:val="auto"/>
              </w:rPr>
              <w:t>TAPIMMUNE, INC.</w:t>
            </w:r>
          </w:p>
        </w:tc>
        <w:tc>
          <w:tcPr>
            <w:tcW w:w="4420" w:type="dxa"/>
            <w:vAlign w:val="bottom"/>
          </w:tcPr>
          <w:p>
            <w:pPr>
              <w:spacing w:after="0"/>
              <w:rPr>
                <w:sz w:val="20"/>
                <w:szCs w:val="20"/>
                <w:color w:val="auto"/>
              </w:rPr>
            </w:pPr>
            <w:r>
              <w:rPr>
                <w:rFonts w:ascii="Arial" w:cs="Arial" w:eastAsia="Arial" w:hAnsi="Arial"/>
                <w:sz w:val="17"/>
                <w:szCs w:val="17"/>
                <w:color w:val="auto"/>
              </w:rPr>
              <w:t>Address for Notice:</w:t>
            </w:r>
          </w:p>
        </w:tc>
        <w:tc>
          <w:tcPr>
            <w:tcW w:w="0" w:type="dxa"/>
            <w:vAlign w:val="bottom"/>
          </w:tcPr>
          <w:p>
            <w:pPr>
              <w:spacing w:after="0"/>
              <w:rPr>
                <w:sz w:val="1"/>
                <w:szCs w:val="1"/>
                <w:color w:val="auto"/>
              </w:rPr>
            </w:pPr>
          </w:p>
        </w:tc>
      </w:tr>
      <w:tr>
        <w:trPr>
          <w:trHeight w:val="395"/>
        </w:trPr>
        <w:tc>
          <w:tcPr>
            <w:tcW w:w="7000" w:type="dxa"/>
            <w:vAlign w:val="bottom"/>
            <w:vMerge w:val="restart"/>
          </w:tcPr>
          <w:p>
            <w:pPr>
              <w:spacing w:after="0"/>
              <w:rPr>
                <w:sz w:val="20"/>
                <w:szCs w:val="20"/>
                <w:color w:val="auto"/>
              </w:rPr>
            </w:pPr>
            <w:r>
              <w:rPr>
                <w:rFonts w:ascii="Arial" w:cs="Arial" w:eastAsia="Arial" w:hAnsi="Arial"/>
                <w:sz w:val="17"/>
                <w:szCs w:val="17"/>
                <w:color w:val="auto"/>
              </w:rPr>
              <w:t>By:__________________________________________</w:t>
            </w: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00" w:type="dxa"/>
            <w:vAlign w:val="bottom"/>
            <w:vMerge w:val="continue"/>
          </w:tcPr>
          <w:p>
            <w:pPr>
              <w:spacing w:after="0"/>
              <w:rPr>
                <w:sz w:val="16"/>
                <w:szCs w:val="16"/>
                <w:color w:val="auto"/>
              </w:rPr>
            </w:pPr>
          </w:p>
        </w:tc>
        <w:tc>
          <w:tcPr>
            <w:tcW w:w="4420" w:type="dxa"/>
            <w:vAlign w:val="bottom"/>
          </w:tcPr>
          <w:p>
            <w:pPr>
              <w:spacing w:after="0" w:line="194" w:lineRule="exact"/>
              <w:rPr>
                <w:sz w:val="20"/>
                <w:szCs w:val="20"/>
                <w:color w:val="auto"/>
              </w:rPr>
            </w:pPr>
            <w:r>
              <w:rPr>
                <w:rFonts w:ascii="Arial" w:cs="Arial" w:eastAsia="Arial" w:hAnsi="Arial"/>
                <w:sz w:val="17"/>
                <w:szCs w:val="17"/>
                <w:color w:val="auto"/>
              </w:rPr>
              <w:t>Fax:</w:t>
            </w:r>
          </w:p>
        </w:tc>
        <w:tc>
          <w:tcPr>
            <w:tcW w:w="0" w:type="dxa"/>
            <w:vAlign w:val="bottom"/>
          </w:tcPr>
          <w:p>
            <w:pPr>
              <w:spacing w:after="0"/>
              <w:rPr>
                <w:sz w:val="1"/>
                <w:szCs w:val="1"/>
                <w:color w:val="auto"/>
              </w:rPr>
            </w:pPr>
          </w:p>
        </w:tc>
      </w:tr>
      <w:tr>
        <w:trPr>
          <w:trHeight w:val="206"/>
        </w:trPr>
        <w:tc>
          <w:tcPr>
            <w:tcW w:w="7000" w:type="dxa"/>
            <w:vAlign w:val="bottom"/>
          </w:tcPr>
          <w:p>
            <w:pPr>
              <w:ind w:left="220"/>
              <w:spacing w:after="0"/>
              <w:rPr>
                <w:sz w:val="20"/>
                <w:szCs w:val="20"/>
                <w:color w:val="auto"/>
              </w:rPr>
            </w:pPr>
            <w:r>
              <w:rPr>
                <w:rFonts w:ascii="Arial" w:cs="Arial" w:eastAsia="Arial" w:hAnsi="Arial"/>
                <w:sz w:val="17"/>
                <w:szCs w:val="17"/>
                <w:color w:val="auto"/>
              </w:rPr>
              <w:t>Name:</w:t>
            </w: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0" w:type="dxa"/>
            <w:vAlign w:val="bottom"/>
          </w:tcPr>
          <w:p>
            <w:pPr>
              <w:ind w:left="220"/>
              <w:spacing w:after="0"/>
              <w:rPr>
                <w:sz w:val="20"/>
                <w:szCs w:val="20"/>
                <w:color w:val="auto"/>
              </w:rPr>
            </w:pPr>
            <w:r>
              <w:rPr>
                <w:rFonts w:ascii="Arial" w:cs="Arial" w:eastAsia="Arial" w:hAnsi="Arial"/>
                <w:sz w:val="17"/>
                <w:szCs w:val="17"/>
                <w:color w:val="auto"/>
              </w:rPr>
              <w:t>Title:</w:t>
            </w: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0" w:type="dxa"/>
            <w:vAlign w:val="bottom"/>
          </w:tcPr>
          <w:p>
            <w:pPr>
              <w:spacing w:after="0"/>
              <w:rPr>
                <w:sz w:val="20"/>
                <w:szCs w:val="20"/>
                <w:color w:val="auto"/>
              </w:rPr>
            </w:pPr>
            <w:r>
              <w:rPr>
                <w:rFonts w:ascii="Arial" w:cs="Arial" w:eastAsia="Arial" w:hAnsi="Arial"/>
                <w:sz w:val="17"/>
                <w:szCs w:val="17"/>
                <w:color w:val="auto"/>
              </w:rPr>
              <w:t>With a copy to (which shall not constitute notice):</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5741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6" w:name="page77"/>
    <w:bookmarkEnd w:id="76"/>
    <w:p>
      <w:pPr>
        <w:jc w:val="center"/>
        <w:ind w:left="620"/>
        <w:spacing w:after="0"/>
        <w:rPr>
          <w:sz w:val="20"/>
          <w:szCs w:val="20"/>
          <w:color w:val="auto"/>
        </w:rPr>
      </w:pPr>
      <w:r>
        <w:rPr>
          <w:rFonts w:ascii="Arial" w:cs="Arial" w:eastAsia="Arial" w:hAnsi="Arial"/>
          <w:sz w:val="17"/>
          <w:szCs w:val="17"/>
          <w:color w:val="auto"/>
        </w:rPr>
        <w:t>[PURCHASER SIGNATURE PAGES TO TPIV SECURITIES PURCHASE AGREEMENT]</w:t>
      </w:r>
    </w:p>
    <w:p>
      <w:pPr>
        <w:spacing w:after="0" w:line="24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Name of Purchaser: ________________________________________________________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Authorized Signatory of Purchaser</w:t>
      </w:r>
      <w:r>
        <w:rPr>
          <w:rFonts w:ascii="Arial" w:cs="Arial" w:eastAsia="Arial" w:hAnsi="Arial"/>
          <w:sz w:val="17"/>
          <w:szCs w:val="17"/>
          <w:color w:val="auto"/>
        </w:rPr>
        <w:t>: 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Name of Authorized Signatory: 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Title of Authorized Signatory: ________________________________________________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Email Address of Authorized Signatory:_________________________________________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Facsimile Number of Authorized Signatory: __________________________________________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Subscription Amount: $_________________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Shares: 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Warrant Shares: 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EIN Number: _______________________</w:t>
      </w:r>
    </w:p>
    <w:p>
      <w:pPr>
        <w:spacing w:after="0" w:line="243" w:lineRule="exact"/>
        <w:rPr>
          <w:sz w:val="20"/>
          <w:szCs w:val="20"/>
          <w:color w:val="auto"/>
        </w:rPr>
      </w:pPr>
    </w:p>
    <w:p>
      <w:pPr>
        <w:jc w:val="both"/>
        <w:ind w:firstLine="3"/>
        <w:spacing w:after="0" w:line="241" w:lineRule="auto"/>
        <w:tabs>
          <w:tab w:leader="none" w:pos="1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third (3</w:t>
      </w:r>
      <w:r>
        <w:rPr>
          <w:rFonts w:ascii="Arial" w:cs="Arial" w:eastAsia="Arial" w:hAnsi="Arial"/>
          <w:sz w:val="24"/>
          <w:szCs w:val="24"/>
          <w:color w:val="auto"/>
          <w:vertAlign w:val="superscript"/>
        </w:rPr>
        <w:t>rd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152400</wp:posOffset>
            </wp:positionH>
            <wp:positionV relativeFrom="page">
              <wp:posOffset>193040</wp:posOffset>
            </wp:positionV>
            <wp:extent cx="725741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154940</wp:posOffset>
            </wp:positionV>
            <wp:extent cx="1909445" cy="2051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9445" cy="20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July 29, 2014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STRICTLY CONFIDENTIAL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Glynn Wilson, Ph.DChairman &amp; CEO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TapImmune, Inc.1551 Eastlake Avenue EastSuite 100Seattle, WA 98102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Dear Dr. Wilson:</w:t>
      </w:r>
    </w:p>
    <w:p>
      <w:pPr>
        <w:spacing w:after="0" w:line="243" w:lineRule="exact"/>
        <w:rPr>
          <w:sz w:val="20"/>
          <w:szCs w:val="20"/>
          <w:color w:val="auto"/>
        </w:rPr>
      </w:pPr>
    </w:p>
    <w:p>
      <w:pPr>
        <w:ind w:right="20" w:firstLine="620"/>
        <w:spacing w:after="0" w:line="273" w:lineRule="auto"/>
        <w:rPr>
          <w:sz w:val="20"/>
          <w:szCs w:val="20"/>
          <w:color w:val="auto"/>
        </w:rPr>
      </w:pPr>
      <w:r>
        <w:rPr>
          <w:rFonts w:ascii="Arial" w:cs="Arial" w:eastAsia="Arial" w:hAnsi="Arial"/>
          <w:sz w:val="16"/>
          <w:szCs w:val="16"/>
          <w:color w:val="auto"/>
        </w:rPr>
        <w:t>This letter agreement (this “Agreement”) constitutes the agreement between TapImmune, Inc. (the “Company”) and H.C. Wainwright &amp; Co., LLC (“Wainwright”) that Wainwright shall serve as the exclusive agent, advisor or underwriter in any offering (each, an “Offering”) of securities of the Company (“Securities”) during the Term (as defined below) of this Agreement. The terms of each Offering and the Securities issued in connection therewith shall be mutually agreed upon by the Company and Wainwright and nothing herein implies that Wainwright would have the power or authority to bind the Company and nothing herein implies that the Company shall have an obligation to issue any Securities. It is understood that Wainwright’s assistance in an Offering will be subject to the satisfactory completion of such investigation and inquiry into the affairs of the Company as Wainwright deems appropriate under the circumstances and to the receipt of all internal approvals of Wainwright in connection with the transaction. The Company expressly acknowledges and agrees that Wainwright’s involvement in an Offering is strictly on a reasonable best efforts basis and that the consummation of an Offering will be subject to, among other things, market conditions. The execution of this Agreement does not constitute a commitment by Wainwright to purchase the Securities and does not ensure a successful Offering of the Securities or the success of Wainwright with respect to securing any other financing on behalf of the Company. Wainwright may retain other brokers, dealers, agents or underwriters on its behalf in connection with an Offering.</w:t>
      </w:r>
    </w:p>
    <w:p>
      <w:pPr>
        <w:spacing w:after="0" w:line="202" w:lineRule="exact"/>
        <w:rPr>
          <w:sz w:val="20"/>
          <w:szCs w:val="20"/>
          <w:color w:val="auto"/>
        </w:rPr>
      </w:pPr>
    </w:p>
    <w:p>
      <w:pPr>
        <w:ind w:left="1220" w:hanging="597"/>
        <w:spacing w:after="0"/>
        <w:tabs>
          <w:tab w:leader="none" w:pos="12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Compensation; Reimbursement</w:t>
      </w:r>
      <w:r>
        <w:rPr>
          <w:rFonts w:ascii="Arial" w:cs="Arial" w:eastAsia="Arial" w:hAnsi="Arial"/>
          <w:sz w:val="16"/>
          <w:szCs w:val="16"/>
          <w:color w:val="auto"/>
        </w:rPr>
        <w:t>. At the closing of each Offering (each, a “</w:t>
      </w:r>
      <w:r>
        <w:rPr>
          <w:rFonts w:ascii="Arial" w:cs="Arial" w:eastAsia="Arial" w:hAnsi="Arial"/>
          <w:sz w:val="16"/>
          <w:szCs w:val="16"/>
          <w:u w:val="single" w:color="auto"/>
          <w:color w:val="auto"/>
        </w:rPr>
        <w:t>Closing</w:t>
      </w:r>
      <w:r>
        <w:rPr>
          <w:rFonts w:ascii="Arial" w:cs="Arial" w:eastAsia="Arial" w:hAnsi="Arial"/>
          <w:sz w:val="16"/>
          <w:szCs w:val="16"/>
          <w:color w:val="auto"/>
        </w:rPr>
        <w:t>”), the Company shall compensate Wainwright as follows:</w:t>
      </w:r>
    </w:p>
    <w:p>
      <w:pPr>
        <w:spacing w:after="0" w:line="254" w:lineRule="exact"/>
        <w:rPr>
          <w:rFonts w:ascii="Arial" w:cs="Arial" w:eastAsia="Arial" w:hAnsi="Arial"/>
          <w:sz w:val="16"/>
          <w:szCs w:val="16"/>
          <w:color w:val="auto"/>
        </w:rPr>
      </w:pPr>
    </w:p>
    <w:p>
      <w:pPr>
        <w:jc w:val="both"/>
        <w:ind w:left="1240" w:hanging="308"/>
        <w:spacing w:after="0" w:line="266" w:lineRule="auto"/>
        <w:tabs>
          <w:tab w:leader="none" w:pos="1240" w:val="left"/>
        </w:tabs>
        <w:numPr>
          <w:ilvl w:val="1"/>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Cash Fee</w:t>
      </w:r>
      <w:r>
        <w:rPr>
          <w:rFonts w:ascii="Arial" w:cs="Arial" w:eastAsia="Arial" w:hAnsi="Arial"/>
          <w:sz w:val="17"/>
          <w:szCs w:val="17"/>
          <w:color w:val="auto"/>
        </w:rPr>
        <w:t>. The Company shall pay to Wainwright a cash fee, or as to an underwritten Offering an underwriter discount, equal to 7%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gross proceeds raised in each Offering. Additionally, Wainwright shall receive a cash fee payable within 48 hours of (but only in the event of) the receipt by the Company of any proceeds from the exercise of any warrants or options sold in each Offering.</w:t>
      </w:r>
    </w:p>
    <w:p>
      <w:pPr>
        <w:spacing w:after="0" w:line="201" w:lineRule="exact"/>
        <w:rPr>
          <w:rFonts w:ascii="Arial" w:cs="Arial" w:eastAsia="Arial" w:hAnsi="Arial"/>
          <w:sz w:val="17"/>
          <w:szCs w:val="17"/>
          <w:i w:val="1"/>
          <w:iCs w:val="1"/>
          <w:color w:val="auto"/>
        </w:rPr>
      </w:pPr>
    </w:p>
    <w:p>
      <w:pPr>
        <w:jc w:val="both"/>
        <w:ind w:left="1240" w:hanging="308"/>
        <w:spacing w:after="0" w:line="258" w:lineRule="auto"/>
        <w:tabs>
          <w:tab w:leader="none" w:pos="1240" w:val="left"/>
        </w:tabs>
        <w:numPr>
          <w:ilvl w:val="1"/>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Warrant Coverage</w:t>
      </w:r>
      <w:r>
        <w:rPr>
          <w:rFonts w:ascii="Arial" w:cs="Arial" w:eastAsia="Arial" w:hAnsi="Arial"/>
          <w:sz w:val="17"/>
          <w:szCs w:val="17"/>
          <w:color w:val="auto"/>
        </w:rPr>
        <w:t>. The Company shall issue to Wainwright or its designees at each Closing, warrants (the “</w:t>
      </w:r>
      <w:r>
        <w:rPr>
          <w:rFonts w:ascii="Arial" w:cs="Arial" w:eastAsia="Arial" w:hAnsi="Arial"/>
          <w:sz w:val="17"/>
          <w:szCs w:val="17"/>
          <w:u w:val="single" w:color="auto"/>
          <w:color w:val="auto"/>
        </w:rPr>
        <w:t>Wainwright Warrants</w:t>
      </w:r>
      <w:r>
        <w:rPr>
          <w:rFonts w:ascii="Arial" w:cs="Arial" w:eastAsia="Arial" w:hAnsi="Arial"/>
          <w:sz w:val="17"/>
          <w:szCs w:val="17"/>
          <w:color w:val="auto"/>
        </w:rPr>
        <w:t>”)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that number of shares of common stock of the Company equal to 5% of the aggregate number of shares of Common Stock placed in each Offering (if the Securities are convertible or include a “greenshoe” or “additional investment” option component, such shares of Common Stock underlying such Securities or options). If the Securities included in an Offering are non-convertible, the Wainwright Warrants shall be determined by dividing the gross proceeds raised in such Offering divided by the then market price of the Common Stock. The Wainwright Warrants shall have the same terms as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474746"/>
        </w:rPr>
        <w:t>430 Park Avenue | New York, New York 10022 | 212.356.0500 | www.hcwco.com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474746"/>
        </w:rPr>
        <w:t>Member: FINRA/SIPC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5741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78" w:name="page79"/>
    <w:bookmarkEnd w:id="78"/>
    <w:p>
      <w:pPr>
        <w:jc w:val="both"/>
        <w:ind w:left="617"/>
        <w:spacing w:after="0" w:line="266" w:lineRule="auto"/>
        <w:rPr>
          <w:sz w:val="20"/>
          <w:szCs w:val="20"/>
          <w:color w:val="auto"/>
        </w:rPr>
      </w:pPr>
      <w:r>
        <w:rPr>
          <w:rFonts w:ascii="Arial" w:cs="Arial" w:eastAsia="Arial" w:hAnsi="Arial"/>
          <w:sz w:val="17"/>
          <w:szCs w:val="17"/>
          <w:color w:val="auto"/>
        </w:rPr>
        <w:t>warrants issued to investors in the applicable Offering. If no warrants are issued to investors in an Offering, the Wainwright Warrants shall be in a customary form reasonably acceptable to Wainwright, have a term of 5 years and an exercise price equal to 110% of the then market price of the Common Stock.</w:t>
      </w:r>
    </w:p>
    <w:p>
      <w:pPr>
        <w:spacing w:after="0" w:line="202" w:lineRule="exact"/>
        <w:rPr>
          <w:sz w:val="20"/>
          <w:szCs w:val="20"/>
          <w:color w:val="auto"/>
        </w:rPr>
      </w:pPr>
    </w:p>
    <w:p>
      <w:pPr>
        <w:jc w:val="both"/>
        <w:ind w:left="617" w:hanging="308"/>
        <w:spacing w:after="0" w:line="266" w:lineRule="auto"/>
        <w:tabs>
          <w:tab w:leader="none" w:pos="617" w:val="left"/>
        </w:tabs>
        <w:numPr>
          <w:ilvl w:val="1"/>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Expense Allowance</w:t>
      </w:r>
      <w:r>
        <w:rPr>
          <w:rFonts w:ascii="Arial" w:cs="Arial" w:eastAsia="Arial" w:hAnsi="Arial"/>
          <w:sz w:val="17"/>
          <w:szCs w:val="17"/>
          <w:color w:val="auto"/>
        </w:rPr>
        <w:t>. Out of the proceeds of each Closing, the Company also agrees to pay Wainwright a non-accountable expense allowance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(a) 1% of the gross proceeds raised in such Offering and (b) $30,000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reimbursement amount in no way limits or impairs the indemnification and contribution provisions of this Agreement).</w:t>
      </w:r>
    </w:p>
    <w:p>
      <w:pPr>
        <w:spacing w:after="0" w:line="201" w:lineRule="exact"/>
        <w:rPr>
          <w:rFonts w:ascii="Arial" w:cs="Arial" w:eastAsia="Arial" w:hAnsi="Arial"/>
          <w:sz w:val="17"/>
          <w:szCs w:val="17"/>
          <w:i w:val="1"/>
          <w:iCs w:val="1"/>
          <w:color w:val="auto"/>
        </w:rPr>
      </w:pPr>
    </w:p>
    <w:p>
      <w:pPr>
        <w:jc w:val="both"/>
        <w:ind w:left="457" w:hanging="457"/>
        <w:spacing w:after="0" w:line="272" w:lineRule="auto"/>
        <w:tabs>
          <w:tab w:leader="none" w:pos="45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Term and Termination of Engagement; Exclusivity</w:t>
      </w:r>
      <w:r>
        <w:rPr>
          <w:rFonts w:ascii="Arial" w:cs="Arial" w:eastAsia="Arial" w:hAnsi="Arial"/>
          <w:sz w:val="16"/>
          <w:szCs w:val="16"/>
          <w:color w:val="auto"/>
        </w:rPr>
        <w:t>. The term of Wainwright’s exclusive engagement will begin on the date hereof and end three (3) months after the date hereof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 Offering is consummated during the Term, the Term shall be extended to be twelve (12) months from the date hereof. Notwithstanding anything to the contrary contained herein, the Company agrees that the provisions relating to the payment of fees, reimbursement of expenses, indemnification and contribution, confidentiality, conflicts, independent contractor and waiver of the right to trial by jury will survive any termination of this Agreement. Subject to the last two sentences of this paragraph, during Wainwright’s engagement hereunder: (i) the Company will not, and will not permit its representatives to, other than in coordination with Wainwright, contact or solicit institutions, corporations or other entities or individuals as potential purchasers of the Securities and (ii) the Company will not pursue any financing transaction which would be in lieu of a Offering. Furthermore, again, subject to the last two sentences of this paragraph, the Company agrees that during Wainwright’s engagement hereunder, all inquiries, whether direct or indirect, from prospective investors will be referred to Wainwright and will be deemed to have been contacted by Wainwright in connection with an Offering Until a first Closing occurs, the Company may issue and sell securities of the Company in a private placement in an amount, not exceeding $500,000 in the aggregate and in no more than two offerings, on the following terms (each, a “Company Offering”): The Company Offering shall consist of units at per unit price of $1.00, with each unit consisting of (a) one share of unregistered common stock of the Company and (b) a common stock purchase warrant to purchase one share of unregistered common stock at an exercise price of $2.50 per share. The Company Offering shall be made to (i) current non-institutional accredited investors of the Company and (ii) up to five (5) non-institutional accredited investors who have been previously approached by the Company and are listed on Schedule I attached hereto.</w:t>
      </w:r>
    </w:p>
    <w:p>
      <w:pPr>
        <w:spacing w:after="0" w:line="200" w:lineRule="exact"/>
        <w:rPr>
          <w:sz w:val="20"/>
          <w:szCs w:val="20"/>
          <w:color w:val="auto"/>
        </w:rPr>
      </w:pPr>
    </w:p>
    <w:p>
      <w:pPr>
        <w:ind w:left="457" w:right="100" w:hanging="457"/>
        <w:spacing w:after="0" w:line="274" w:lineRule="auto"/>
        <w:tabs>
          <w:tab w:leader="none" w:pos="457"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Information; Reliance</w:t>
      </w:r>
      <w:r>
        <w:rPr>
          <w:rFonts w:ascii="Arial" w:cs="Arial" w:eastAsia="Arial" w:hAnsi="Arial"/>
          <w:sz w:val="16"/>
          <w:szCs w:val="16"/>
          <w:color w:val="auto"/>
        </w:rPr>
        <w:t>. The Company shall furnish, or cause to be furnished, to Wainwright all information requested by Wainwright for the purpose of rendering services hereunder (all such information being the “</w:t>
      </w:r>
      <w:r>
        <w:rPr>
          <w:rFonts w:ascii="Arial" w:cs="Arial" w:eastAsia="Arial" w:hAnsi="Arial"/>
          <w:sz w:val="16"/>
          <w:szCs w:val="16"/>
          <w:u w:val="single" w:color="auto"/>
          <w:color w:val="auto"/>
        </w:rPr>
        <w:t>Information</w:t>
      </w:r>
      <w:r>
        <w:rPr>
          <w:rFonts w:ascii="Arial" w:cs="Arial" w:eastAsia="Arial" w:hAnsi="Arial"/>
          <w:sz w:val="16"/>
          <w:szCs w:val="16"/>
          <w:color w:val="auto"/>
        </w:rPr>
        <w:t>”). In addition, the Company agrees to make available to Wainwright upon request from time to time the officers, directors, accountants, counsel and other advisors of the Company. The Company recognizes and confirms that Wainwright (a) will use and rely on the Information, including any documents provided to investors in each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which shall include any Purchase Agreements (as defined below)),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Wainwright or its representatives to discuss all information relevant for disclosure in the Offering Documents and will cooperate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231140</wp:posOffset>
            </wp:positionV>
            <wp:extent cx="725741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7"/>
          </w:cols>
          <w:pgMar w:left="863" w:top="501" w:right="239" w:bottom="1440" w:gutter="0" w:footer="0" w:header="0"/>
        </w:sectPr>
      </w:pPr>
    </w:p>
    <w:bookmarkStart w:id="79" w:name="page80"/>
    <w:bookmarkEnd w:id="79"/>
    <w:p>
      <w:pPr>
        <w:jc w:val="both"/>
        <w:ind w:left="2"/>
        <w:spacing w:after="0" w:line="260" w:lineRule="auto"/>
        <w:rPr>
          <w:sz w:val="20"/>
          <w:szCs w:val="20"/>
          <w:color w:val="auto"/>
        </w:rPr>
      </w:pPr>
      <w:r>
        <w:rPr>
          <w:rFonts w:ascii="Arial" w:cs="Arial" w:eastAsia="Arial" w:hAnsi="Arial"/>
          <w:sz w:val="17"/>
          <w:szCs w:val="17"/>
          <w:color w:val="auto"/>
        </w:rPr>
        <w:t>investigation undertaken by Wainwright thereof, including any document included or incorporated by reference therein. At each Offering, at the request of Wainwright, the Company shall deliver such legal letters, comfort letters and officer’s certificates, all in form and substance satisfactory to Wainwright and its counsel as is customary for such Offering. Wainwright shall be a third party beneficiary of any representations, warranties, covenants and closing conditions made by the Company in any Offering Documents, including representations, warranties, covenants and closing conditions made to any investor in an Offering.</w:t>
      </w:r>
    </w:p>
    <w:p>
      <w:pPr>
        <w:spacing w:after="0" w:line="206" w:lineRule="exact"/>
        <w:rPr>
          <w:sz w:val="20"/>
          <w:szCs w:val="20"/>
          <w:color w:val="auto"/>
        </w:rPr>
      </w:pPr>
    </w:p>
    <w:p>
      <w:pPr>
        <w:ind w:left="562" w:hanging="562"/>
        <w:spacing w:after="0"/>
        <w:tabs>
          <w:tab w:leader="none" w:pos="56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Related Agreements</w:t>
      </w:r>
      <w:r>
        <w:rPr>
          <w:rFonts w:ascii="Arial" w:cs="Arial" w:eastAsia="Arial" w:hAnsi="Arial"/>
          <w:sz w:val="17"/>
          <w:szCs w:val="17"/>
          <w:color w:val="auto"/>
        </w:rPr>
        <w:t>. At each Offering, the Company shall enter into the following additional agreements:</w:t>
      </w:r>
    </w:p>
    <w:p>
      <w:pPr>
        <w:spacing w:after="0" w:line="243" w:lineRule="exact"/>
        <w:rPr>
          <w:rFonts w:ascii="Arial" w:cs="Arial" w:eastAsia="Arial" w:hAnsi="Arial"/>
          <w:sz w:val="17"/>
          <w:szCs w:val="17"/>
          <w:color w:val="auto"/>
        </w:rPr>
      </w:pPr>
    </w:p>
    <w:p>
      <w:pPr>
        <w:ind w:left="462" w:hanging="308"/>
        <w:spacing w:after="0" w:line="280" w:lineRule="auto"/>
        <w:tabs>
          <w:tab w:leader="none" w:pos="462" w:val="left"/>
        </w:tabs>
        <w:numPr>
          <w:ilvl w:val="1"/>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If an Offering is an underwritten Offering, the Company and Wainwright shall enter into a customary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in form and substance satisfactory to Wainwright and its counsel.</w:t>
      </w:r>
    </w:p>
    <w:p>
      <w:pPr>
        <w:spacing w:after="0" w:line="189" w:lineRule="exact"/>
        <w:rPr>
          <w:rFonts w:ascii="Arial" w:cs="Arial" w:eastAsia="Arial" w:hAnsi="Arial"/>
          <w:sz w:val="17"/>
          <w:szCs w:val="17"/>
          <w:i w:val="1"/>
          <w:iCs w:val="1"/>
          <w:color w:val="auto"/>
        </w:rPr>
      </w:pPr>
    </w:p>
    <w:p>
      <w:pPr>
        <w:jc w:val="both"/>
        <w:ind w:left="462" w:hanging="308"/>
        <w:spacing w:after="0" w:line="262" w:lineRule="auto"/>
        <w:tabs>
          <w:tab w:leader="none" w:pos="462" w:val="left"/>
        </w:tabs>
        <w:numPr>
          <w:ilvl w:val="1"/>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Best Efforts Offering</w:t>
      </w:r>
      <w:r>
        <w:rPr>
          <w:rFonts w:ascii="Arial" w:cs="Arial" w:eastAsia="Arial" w:hAnsi="Arial"/>
          <w:sz w:val="17"/>
          <w:szCs w:val="17"/>
          <w:color w:val="auto"/>
        </w:rPr>
        <w:t>. If an Offering is on a best efforts basis, the sale of Securities to the investors in the Offering will be evidenced by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between the Company and such investors in a form reasonably satisfactory to the Company and Wainwright. Prior to the signing of any Purchase Agreement, officers of the Company with responsibility for financial affairs will be available to answer inquiries from prospective investors.</w:t>
      </w:r>
    </w:p>
    <w:p>
      <w:pPr>
        <w:spacing w:after="0" w:line="204" w:lineRule="exact"/>
        <w:rPr>
          <w:rFonts w:ascii="Arial" w:cs="Arial" w:eastAsia="Arial" w:hAnsi="Arial"/>
          <w:sz w:val="17"/>
          <w:szCs w:val="17"/>
          <w:i w:val="1"/>
          <w:iCs w:val="1"/>
          <w:color w:val="auto"/>
        </w:rPr>
      </w:pPr>
    </w:p>
    <w:p>
      <w:pPr>
        <w:jc w:val="both"/>
        <w:ind w:left="462" w:hanging="308"/>
        <w:spacing w:after="0" w:line="266" w:lineRule="auto"/>
        <w:tabs>
          <w:tab w:leader="none" w:pos="462" w:val="left"/>
        </w:tabs>
        <w:numPr>
          <w:ilvl w:val="1"/>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Escrow</w:t>
      </w:r>
      <w:r>
        <w:rPr>
          <w:rFonts w:ascii="Arial" w:cs="Arial" w:eastAsia="Arial" w:hAnsi="Arial"/>
          <w:sz w:val="17"/>
          <w:szCs w:val="17"/>
          <w:color w:val="auto"/>
        </w:rPr>
        <w:t>. In respect of each Offering, the Company and Wainwright shall enter into an escrow agreement with a third party escrow agent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Wainwright’s compensation shall be paid from the gross proceeds of the Securities sold. The Company shall bear the cost of the escrow agent.</w:t>
      </w:r>
    </w:p>
    <w:p>
      <w:pPr>
        <w:spacing w:after="0" w:line="201" w:lineRule="exact"/>
        <w:rPr>
          <w:rFonts w:ascii="Arial" w:cs="Arial" w:eastAsia="Arial" w:hAnsi="Arial"/>
          <w:sz w:val="17"/>
          <w:szCs w:val="17"/>
          <w:i w:val="1"/>
          <w:iCs w:val="1"/>
          <w:color w:val="auto"/>
        </w:rPr>
      </w:pPr>
    </w:p>
    <w:p>
      <w:pPr>
        <w:jc w:val="both"/>
        <w:ind w:left="462" w:hanging="308"/>
        <w:spacing w:after="0" w:line="262" w:lineRule="auto"/>
        <w:tabs>
          <w:tab w:leader="none" w:pos="462" w:val="left"/>
        </w:tabs>
        <w:numPr>
          <w:ilvl w:val="1"/>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FINRA Amendments</w:t>
      </w:r>
      <w:r>
        <w:rPr>
          <w:rFonts w:ascii="Arial" w:cs="Arial" w:eastAsia="Arial" w:hAnsi="Arial"/>
          <w:sz w:val="17"/>
          <w:szCs w:val="17"/>
          <w:color w:val="auto"/>
        </w:rPr>
        <w:t>. Notwithstanding anything herein to the contrary, in the event that Wainwright determines that any of the terms provided for</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shall not comply with a FINRA rule, including but not limited to FINRA Rule 5110, then the Company shall agree to amend this Agreement (or include such revisions in the final underwriting) in writing upon the request of Wainwright to comply with any such rules; provided that any such amendments shall not provide for terms that are less favorable to the Company.</w:t>
      </w:r>
    </w:p>
    <w:p>
      <w:pPr>
        <w:spacing w:after="0" w:line="204" w:lineRule="exact"/>
        <w:rPr>
          <w:rFonts w:ascii="Arial" w:cs="Arial" w:eastAsia="Arial" w:hAnsi="Arial"/>
          <w:sz w:val="17"/>
          <w:szCs w:val="17"/>
          <w:i w:val="1"/>
          <w:iCs w:val="1"/>
          <w:color w:val="auto"/>
        </w:rPr>
      </w:pPr>
    </w:p>
    <w:p>
      <w:pPr>
        <w:jc w:val="both"/>
        <w:ind w:left="2" w:hanging="2"/>
        <w:spacing w:after="0" w:line="266" w:lineRule="auto"/>
        <w:tabs>
          <w:tab w:leader="none" w:pos="70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In the event of the consummation or public announcement of any Offering, Wainwright shall have the right to disclose its participation in such Offering, including, without limitation, the Offering at its cost of “tombstone” advertisements in financial and other newspapers and journals.</w:t>
      </w:r>
    </w:p>
    <w:p>
      <w:pPr>
        <w:spacing w:after="0" w:line="201" w:lineRule="exact"/>
        <w:rPr>
          <w:rFonts w:ascii="Arial" w:cs="Arial" w:eastAsia="Arial" w:hAnsi="Arial"/>
          <w:sz w:val="17"/>
          <w:szCs w:val="17"/>
          <w:color w:val="auto"/>
        </w:rPr>
      </w:pPr>
    </w:p>
    <w:p>
      <w:pPr>
        <w:ind w:left="502" w:hanging="502"/>
        <w:spacing w:after="0"/>
        <w:tabs>
          <w:tab w:leader="none" w:pos="50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158" w:firstLine="622"/>
        <w:spacing w:after="0" w:line="260" w:lineRule="auto"/>
        <w:tabs>
          <w:tab w:leader="none" w:pos="1250" w:val="left"/>
        </w:tabs>
        <w:numPr>
          <w:ilvl w:val="2"/>
          <w:numId w:val="70"/>
        </w:numPr>
        <w:rPr>
          <w:rFonts w:ascii="Arial" w:cs="Arial" w:eastAsia="Arial" w:hAnsi="Arial"/>
          <w:sz w:val="17"/>
          <w:szCs w:val="17"/>
          <w:color w:val="auto"/>
        </w:rPr>
      </w:pPr>
      <w:r>
        <w:rPr>
          <w:rFonts w:ascii="Arial" w:cs="Arial" w:eastAsia="Arial" w:hAnsi="Arial"/>
          <w:sz w:val="17"/>
          <w:szCs w:val="17"/>
          <w:color w:val="auto"/>
        </w:rPr>
        <w:t>In connection with the Company’s engagement of Wainwright as Offering agent, the Company hereby agrees to indemnify and hold harmless Wainwright and its affiliates, and the respective controlling persons, directors, officers, members, shareholders, agents and employees of any of the foregoing (collectively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from and against any and all claims, actions, suits, proceedings (including those of shareholders), damages, liabilities and expenses incurred by any of them (including the reasonable fees and expenses of counsel), as incurred,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that are (A) related to or arise out of (i) any actions taken or omitted to be taken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382270</wp:posOffset>
            </wp:positionV>
            <wp:extent cx="725741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642"/>
          </w:cols>
          <w:pgMar w:left="1018" w:top="501" w:right="2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17"/>
          <w:szCs w:val="17"/>
          <w:color w:val="auto"/>
        </w:rPr>
        <w:t>any untrue statements made or any statements omitted to be made) by the Company, or (ii) any actions taken or omitted to be taken by any Indemnified Person in connection with the Company’s engagement of Wainwright, or (B) otherwise relate to or arise out of Wainwright’s activities on the Company’s behalf under Wainwright’s engagement, and the Company shall reimburse any Indemnified Person for all expenses (including the reasonable fees and expenses of counsel) as incurred by such Indemnified Person in connection with investigating, preparing or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the gross negligence or willful misconduct of any person seeking indemnification for such Claim. The Company further agrees that no Indemnified Person shall have any liability to the Company for or in connection with the Company’s engagement of Wainwright except for any Claim incurred by the Company as a result of such Indemnified Person’s gross negligence or willful misconduct.</w:t>
      </w:r>
    </w:p>
    <w:p>
      <w:pPr>
        <w:spacing w:after="0" w:line="214" w:lineRule="exact"/>
        <w:rPr>
          <w:sz w:val="20"/>
          <w:szCs w:val="20"/>
          <w:color w:val="auto"/>
        </w:rPr>
      </w:pPr>
    </w:p>
    <w:p>
      <w:pPr>
        <w:jc w:val="both"/>
        <w:ind w:firstLine="622"/>
        <w:spacing w:after="0" w:line="262" w:lineRule="auto"/>
        <w:tabs>
          <w:tab w:leader="none" w:pos="12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further agrees that it will not, without the prior written consent of Wainwright,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204" w:lineRule="exact"/>
        <w:rPr>
          <w:rFonts w:ascii="Arial" w:cs="Arial" w:eastAsia="Arial" w:hAnsi="Arial"/>
          <w:sz w:val="17"/>
          <w:szCs w:val="17"/>
          <w:color w:val="auto"/>
        </w:rPr>
      </w:pPr>
    </w:p>
    <w:p>
      <w:pPr>
        <w:jc w:val="both"/>
        <w:ind w:firstLine="622"/>
        <w:spacing w:after="0" w:line="291" w:lineRule="auto"/>
        <w:tabs>
          <w:tab w:leader="none" w:pos="1338" w:val="left"/>
        </w:tabs>
        <w:numPr>
          <w:ilvl w:val="0"/>
          <w:numId w:val="71"/>
        </w:numPr>
        <w:rPr>
          <w:rFonts w:ascii="Arial" w:cs="Arial" w:eastAsia="Arial" w:hAnsi="Arial"/>
          <w:sz w:val="15"/>
          <w:szCs w:val="15"/>
          <w:color w:val="auto"/>
        </w:rPr>
      </w:pPr>
      <w:r>
        <w:rPr>
          <w:rFonts w:ascii="Arial" w:cs="Arial" w:eastAsia="Arial" w:hAnsi="Arial"/>
          <w:sz w:val="15"/>
          <w:szCs w:val="15"/>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192" w:lineRule="exact"/>
        <w:rPr>
          <w:rFonts w:ascii="Arial" w:cs="Arial" w:eastAsia="Arial" w:hAnsi="Arial"/>
          <w:sz w:val="15"/>
          <w:szCs w:val="15"/>
          <w:color w:val="auto"/>
        </w:rPr>
      </w:pPr>
    </w:p>
    <w:p>
      <w:pPr>
        <w:ind w:firstLine="622"/>
        <w:spacing w:after="0" w:line="280" w:lineRule="auto"/>
        <w:tabs>
          <w:tab w:leader="none" w:pos="125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agrees that if any indemnity sought by an Indemnified Person hereunder is held by a court to be unavailable for any reason then (whether or not Wainwright is the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371475</wp:posOffset>
            </wp:positionV>
            <wp:extent cx="725741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81" w:name="page82"/>
    <w:bookmarkEnd w:id="81"/>
    <w:p>
      <w:pPr>
        <w:jc w:val="both"/>
        <w:spacing w:after="0" w:line="276" w:lineRule="auto"/>
        <w:rPr>
          <w:sz w:val="20"/>
          <w:szCs w:val="20"/>
          <w:color w:val="auto"/>
        </w:rPr>
      </w:pPr>
      <w:r>
        <w:rPr>
          <w:rFonts w:ascii="Arial" w:cs="Arial" w:eastAsia="Arial" w:hAnsi="Arial"/>
          <w:sz w:val="16"/>
          <w:szCs w:val="16"/>
          <w:color w:val="auto"/>
        </w:rPr>
        <w:t>Person), the Company and Wainwright shall contribute to the Claim for which such indemnity is held unavailable in such proportion as is appropriate to reflect the relative benefits to the Company, on the one hand, and Wainwright on the other, in connection with Wainwright’s engagement referred to above, subject to the limitation that in no event shall the amount of Wainwright’s contribution to such Claim exceed the amount of fees actually received by Wainwright from the Company pursuant to Wainwright’s engagement. The Company hereby agrees that the relative benefits to the Company, on the one hand, and Wainwright on the other, with respect to Wainwright’s engagement shall be deemed to be in the same proportion as (a) the total value paid or proposed to be paid or received by the Company pursuant to the applicable Offering (whether or not consummated) for which Wainwright is engaged to render services bears to (b) the fee paid or proposed to be paid to Wainwright in connection with such engagement.</w:t>
      </w:r>
    </w:p>
    <w:p>
      <w:pPr>
        <w:spacing w:after="0" w:line="197" w:lineRule="exact"/>
        <w:rPr>
          <w:sz w:val="20"/>
          <w:szCs w:val="20"/>
          <w:color w:val="auto"/>
        </w:rPr>
      </w:pPr>
    </w:p>
    <w:p>
      <w:pPr>
        <w:jc w:val="both"/>
        <w:ind w:firstLine="622"/>
        <w:spacing w:after="0" w:line="266" w:lineRule="auto"/>
        <w:tabs>
          <w:tab w:leader="none" w:pos="1313"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201" w:lineRule="exact"/>
        <w:rPr>
          <w:rFonts w:ascii="Arial" w:cs="Arial" w:eastAsia="Arial" w:hAnsi="Arial"/>
          <w:sz w:val="17"/>
          <w:szCs w:val="17"/>
          <w:color w:val="auto"/>
        </w:rPr>
      </w:pPr>
    </w:p>
    <w:p>
      <w:pPr>
        <w:jc w:val="both"/>
        <w:ind w:left="160" w:hanging="2"/>
        <w:spacing w:after="0" w:line="273" w:lineRule="auto"/>
        <w:tabs>
          <w:tab w:leader="none" w:pos="95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Limitation of Engagement to the Company</w:t>
      </w:r>
      <w:r>
        <w:rPr>
          <w:rFonts w:ascii="Arial" w:cs="Arial" w:eastAsia="Arial" w:hAnsi="Arial"/>
          <w:sz w:val="16"/>
          <w:szCs w:val="16"/>
          <w:color w:val="auto"/>
        </w:rPr>
        <w:t>. The Company acknowledges that Wainwright has been retained only by the Company, that Wainwright is providing services hereunder as an independent contractor (and not in any fiduciary or agency capacity) and that the Company’s engagement of Wainwright is not deemed to be on behalf of, and is not intended to confer rights upon, any shareholder, owner or partner of the Company or any other person not a party hereto as against Wainwright or any of its affiliates, or any of its or their respective officers, directors, controlling persons (within the meaning of Section 15 of the Securities Act or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employees or agents. Unless otherwise expressly agreed in writing by Wainwright, no one other than the Company is authorized to rely upon this Agreement or any other statements or conduct of Wainwright, and no one other than the Company is intended to be a beneficiary of this Agreement. The Company acknowledges that any recommendation or advice, written or oral, given by Wainwright to the Company in connection with Wainwright’s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Wainwright shall not have the authority to make any commitment binding on the Company. The Company, in its sole discretion, shall have the right to reject any investor introduced to it by Wainwright.</w:t>
      </w:r>
    </w:p>
    <w:p>
      <w:pPr>
        <w:spacing w:after="0" w:line="198" w:lineRule="exact"/>
        <w:rPr>
          <w:rFonts w:ascii="Arial" w:cs="Arial" w:eastAsia="Arial" w:hAnsi="Arial"/>
          <w:sz w:val="16"/>
          <w:szCs w:val="16"/>
          <w:color w:val="auto"/>
        </w:rPr>
      </w:pPr>
    </w:p>
    <w:p>
      <w:pPr>
        <w:jc w:val="both"/>
        <w:ind w:left="160" w:hanging="2"/>
        <w:spacing w:after="0" w:line="276" w:lineRule="auto"/>
        <w:tabs>
          <w:tab w:leader="none" w:pos="72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Limitation of Wainwright’s Liability to the Company</w:t>
      </w:r>
      <w:r>
        <w:rPr>
          <w:rFonts w:ascii="Arial" w:cs="Arial" w:eastAsia="Arial" w:hAnsi="Arial"/>
          <w:sz w:val="16"/>
          <w:szCs w:val="16"/>
          <w:color w:val="auto"/>
        </w:rPr>
        <w:t>. Wainwright and the Company further agree that neither Wainwright nor any of its affiliates or any of its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Wainwright and that are finally judicially determined to have resulted solely from the gross negligence or willful misconduct of Wainwright.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376555</wp:posOffset>
            </wp:positionV>
            <wp:extent cx="725741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82" w:name="page83"/>
    <w:bookmarkEnd w:id="82"/>
    <w:p>
      <w:pPr>
        <w:jc w:val="both"/>
        <w:ind w:left="2" w:hanging="2"/>
        <w:spacing w:after="0" w:line="296" w:lineRule="auto"/>
        <w:tabs>
          <w:tab w:leader="none" w:pos="683"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 In the event of the bringing of any action, or suit by a party hereto against the other party hereto, arising out of or relating to this Agreement, the party in whose favor the final judgment or award shall be entered shall be entitled to have and recover from the other party the costs and expenses incurred in connection therewith, including its reasonable attorneys’ fees. Any rights to trial by jury with respect to any such action, proceeding or suit are hereby waived by Wainwright and the Company.</w:t>
      </w:r>
    </w:p>
    <w:p>
      <w:pPr>
        <w:spacing w:after="0" w:line="182" w:lineRule="exact"/>
        <w:rPr>
          <w:rFonts w:ascii="Arial" w:cs="Arial" w:eastAsia="Arial" w:hAnsi="Arial"/>
          <w:sz w:val="15"/>
          <w:szCs w:val="15"/>
          <w:color w:val="auto"/>
        </w:rPr>
      </w:pPr>
    </w:p>
    <w:p>
      <w:pPr>
        <w:jc w:val="both"/>
        <w:ind w:left="2" w:hanging="2"/>
        <w:spacing w:after="0" w:line="258" w:lineRule="auto"/>
        <w:tabs>
          <w:tab w:leader="none" w:pos="49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will be in writing and sent by certified mail, hand delivery, overnight delivery or fax, if sent to Wainwright, to H. C. Wainwright &amp; Co. LLC, at the address set forth on the first page hereof, fax number (212) 356-0536, Attention: Head of Investment Banking, and if sent to the Company, to the address set forth on the first page hereof, fax number (206) 299-9208 Attention: Glynn Wilson, Chief Executive Officer. Notices sent by certified mail shall be deemed received five days thereafter, notices sent by hand delivery or overnight delivery shall be deemed received on the date of the relevant written record of receipt, and notices delivered by fax shall be deemed received as of the date and time printed thereon by the fax machine.</w:t>
      </w:r>
    </w:p>
    <w:p>
      <w:pPr>
        <w:spacing w:after="0" w:line="210" w:lineRule="exact"/>
        <w:rPr>
          <w:rFonts w:ascii="Arial" w:cs="Arial" w:eastAsia="Arial" w:hAnsi="Arial"/>
          <w:sz w:val="17"/>
          <w:szCs w:val="17"/>
          <w:color w:val="auto"/>
        </w:rPr>
      </w:pPr>
    </w:p>
    <w:p>
      <w:pPr>
        <w:jc w:val="both"/>
        <w:ind w:left="2" w:hanging="2"/>
        <w:spacing w:after="0" w:line="291" w:lineRule="auto"/>
        <w:tabs>
          <w:tab w:leader="none" w:pos="68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The Company acknowledges that Wainwright and its affiliates may have and may continue to have investment banking and other relationships with parties other than the Company pursuant to which Wainwright may acquire information of interest to the Company. Wainwright shall have no obligation to disclose such information to the Company or to use such information in connection with any contemplated transaction.</w:t>
      </w:r>
    </w:p>
    <w:p>
      <w:pPr>
        <w:spacing w:after="0" w:line="182" w:lineRule="exact"/>
        <w:rPr>
          <w:rFonts w:ascii="Arial" w:cs="Arial" w:eastAsia="Arial" w:hAnsi="Arial"/>
          <w:sz w:val="16"/>
          <w:szCs w:val="16"/>
          <w:color w:val="auto"/>
        </w:rPr>
      </w:pPr>
    </w:p>
    <w:p>
      <w:pPr>
        <w:jc w:val="both"/>
        <w:ind w:left="2" w:hanging="2"/>
        <w:spacing w:after="0" w:line="260" w:lineRule="auto"/>
        <w:tabs>
          <w:tab w:leader="none" w:pos="66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To help the United States government fight the funding of terrorism and money laundering, the federal laws of the United States requires all financial institutions to obtain, verify and record information that identifies each person with whom they do business. This means we must ask you for certain identifying information, including a government-issued identification number (e.g., a U.S. taxpayer identification number) and such other information or documents that we consider appropriate to verify your identity, such as certified articles of incorporation, a government-issued business license, a partnership agreement or a trust instrument.</w:t>
      </w:r>
    </w:p>
    <w:p>
      <w:pPr>
        <w:spacing w:after="0" w:line="205" w:lineRule="exact"/>
        <w:rPr>
          <w:rFonts w:ascii="Arial" w:cs="Arial" w:eastAsia="Arial" w:hAnsi="Arial"/>
          <w:sz w:val="17"/>
          <w:szCs w:val="17"/>
          <w:color w:val="auto"/>
        </w:rPr>
      </w:pPr>
    </w:p>
    <w:p>
      <w:pPr>
        <w:jc w:val="both"/>
        <w:ind w:left="2" w:hanging="2"/>
        <w:spacing w:after="0" w:line="256" w:lineRule="auto"/>
        <w:tabs>
          <w:tab w:leader="none" w:pos="68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The Company represents and warrants that it has all requisite power and authority to enter into and carry out 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Wainwright and the Company. This Agreement shall be binding upon and inure to the benefit of both Wainwright and the Company and their respective assigns, successors, and legal representatives. This Agreement constitutes the entire agreement of Wainwright and the Company with respect to this Offering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facsimile counterparts), each of which shall be deemed an original but all of which together shall constitute one and the same instrument.</w:t>
      </w:r>
    </w:p>
    <w:p>
      <w:pPr>
        <w:spacing w:after="0" w:line="214" w:lineRule="exact"/>
        <w:rPr>
          <w:sz w:val="20"/>
          <w:szCs w:val="20"/>
          <w:color w:val="auto"/>
        </w:rPr>
      </w:pPr>
    </w:p>
    <w:p>
      <w:pPr>
        <w:ind w:left="404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405765</wp:posOffset>
            </wp:positionV>
            <wp:extent cx="725741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642"/>
          </w:cols>
          <w:pgMar w:left="1018" w:top="734" w:right="239" w:bottom="1440" w:gutter="0" w:footer="0" w:header="0"/>
        </w:sectPr>
      </w:pPr>
    </w:p>
    <w:bookmarkStart w:id="83" w:name="page84"/>
    <w:bookmarkEnd w:id="83"/>
    <w:p>
      <w:pPr>
        <w:ind w:firstLine="620"/>
        <w:spacing w:after="0" w:line="280" w:lineRule="auto"/>
        <w:rPr>
          <w:sz w:val="20"/>
          <w:szCs w:val="20"/>
          <w:color w:val="auto"/>
        </w:rPr>
      </w:pPr>
      <w:r>
        <w:rPr>
          <w:rFonts w:ascii="Arial" w:cs="Arial" w:eastAsia="Arial" w:hAnsi="Arial"/>
          <w:sz w:val="17"/>
          <w:szCs w:val="17"/>
          <w:color w:val="auto"/>
        </w:rPr>
        <w:t>In acknowledgment that the foregoing correctly sets forth the understanding reached by Wainwright and the Company, please sign in the space provided below, whereupon this letter shall constitute a binding Agreement as of the date indicated above.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H.C. WAINWRIGHT &amp; CO., LLC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Mark Viklund</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 Mark Viklund</w:t>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Title: CEO</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TAPIMMUNE,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Glynn Wilson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Name: Glynn Wilson, Ph.D</w:t>
      </w:r>
    </w:p>
    <w:p>
      <w:pPr>
        <w:spacing w:after="0" w:line="1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725741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6"/>
          <w:szCs w:val="16"/>
          <w:u w:val="single" w:color="auto"/>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4813935</wp:posOffset>
            </wp:positionV>
            <wp:extent cx="725741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9019"/>
      </w:cols>
      <w:pgMar w:left="14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lowerLetter"/>
      <w:start w:val="4"/>
    </w:lvl>
  </w:abstractNum>
  <w:abstractNum w:abstractNumId="2">
    <w:nsid w:val="2463B9EA"/>
    <w:multiLevelType w:val="hybridMultilevel"/>
    <w:lvl w:ilvl="0">
      <w:lvlJc w:val="left"/>
      <w:lvlText w:val="%1)"/>
      <w:numFmt w:val="lowerLetter"/>
      <w:start w:val="1"/>
    </w:lvl>
  </w:abstractNum>
  <w:abstractNum w:abstractNumId="3">
    <w:nsid w:val="5E884ADC"/>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4">
    <w:nsid w:val="51EAD36B"/>
    <w:multiLevelType w:val="hybridMultilevel"/>
    <w:lvl w:ilvl="0">
      <w:lvlJc w:val="left"/>
      <w:lvlText w:val="(%1)"/>
      <w:numFmt w:val="upperLetter"/>
      <w:start w:val="24"/>
    </w:lvl>
  </w:abstractNum>
  <w:abstractNum w:abstractNumId="5">
    <w:nsid w:val="2D517796"/>
    <w:multiLevelType w:val="hybridMultilevel"/>
    <w:lvl w:ilvl="0">
      <w:lvlJc w:val="left"/>
      <w:lvlText w:val="%1)"/>
      <w:numFmt w:val="lowerLetter"/>
      <w:start w:val="4"/>
    </w:lvl>
    <w:lvl w:ilvl="1">
      <w:lvlJc w:val="left"/>
      <w:lvlText w:val="%2."/>
      <w:numFmt w:val="lowerRoman"/>
      <w:start w:val="1"/>
    </w:lvl>
  </w:abstractNum>
  <w:abstractNum w:abstractNumId="6">
    <w:nsid w:val="580BD78F"/>
    <w:multiLevelType w:val="hybridMultilevel"/>
    <w:lvl w:ilvl="0">
      <w:lvlJc w:val="left"/>
      <w:lvlText w:val="%1."/>
      <w:numFmt w:val="lowerRoman"/>
      <w:start w:val="4"/>
    </w:lvl>
  </w:abstractNum>
  <w:abstractNum w:abstractNumId="7">
    <w:nsid w:val="153EA438"/>
    <w:multiLevelType w:val="hybridMultilevel"/>
    <w:lvl w:ilvl="0">
      <w:lvlJc w:val="left"/>
      <w:lvlText w:val="%1"/>
      <w:numFmt w:val="lowerLetter"/>
      <w:start w:val="1"/>
    </w:lvl>
    <w:lvl w:ilvl="1">
      <w:lvlJc w:val="left"/>
      <w:lvlText w:val="%2."/>
      <w:numFmt w:val="lowerRoman"/>
      <w:start w:val="6"/>
    </w:lvl>
  </w:abstractNum>
  <w:abstractNum w:abstractNumId="8">
    <w:nsid w:val="3855585C"/>
    <w:multiLevelType w:val="hybridMultilevel"/>
    <w:lvl w:ilvl="0">
      <w:lvlJc w:val="left"/>
      <w:lvlText w:val="%1)"/>
      <w:numFmt w:val="lowerLetter"/>
      <w:start w:val="5"/>
    </w:lvl>
    <w:lvl w:ilvl="1">
      <w:lvlJc w:val="left"/>
      <w:lvlText w:val="%2"/>
      <w:numFmt w:val="lowerRoman"/>
      <w:start w:val="1"/>
    </w:lvl>
  </w:abstractNum>
  <w:abstractNum w:abstractNumId="9">
    <w:nsid w:val="70A64E2A"/>
    <w:multiLevelType w:val="hybridMultilevel"/>
    <w:lvl w:ilvl="0">
      <w:lvlJc w:val="left"/>
      <w:lvlText w:val="%1)"/>
      <w:numFmt w:val="lowerLetter"/>
      <w:start w:val="1"/>
    </w:lvl>
  </w:abstractNum>
  <w:abstractNum w:abstractNumId="10">
    <w:nsid w:val="6A2342EC"/>
    <w:multiLevelType w:val="hybridMultilevel"/>
    <w:lvl w:ilvl="0">
      <w:lvlJc w:val="left"/>
      <w:lvlText w:val="%1)"/>
      <w:numFmt w:val="lowerLetter"/>
      <w:start w:val="4"/>
    </w:lvl>
  </w:abstractNum>
  <w:abstractNum w:abstractNumId="11">
    <w:nsid w:val="2A487CB0"/>
    <w:multiLevelType w:val="hybridMultilevel"/>
    <w:lvl w:ilvl="0">
      <w:lvlJc w:val="left"/>
      <w:lvlText w:val="%1)"/>
      <w:numFmt w:val="lowerLetter"/>
      <w:start w:val="6"/>
    </w:lvl>
    <w:lvl w:ilvl="1">
      <w:lvlJc w:val="left"/>
      <w:lvlText w:val="%2."/>
      <w:numFmt w:val="lowerRoman"/>
      <w:start w:val="1"/>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1)"/>
      <w:numFmt w:val="lowerLetter"/>
      <w:start w:val="3"/>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2"/>
    </w:lvl>
  </w:abstractNum>
  <w:abstractNum w:abstractNumId="16">
    <w:nsid w:val="7A6D8D3C"/>
    <w:multiLevelType w:val="hybridMultilevel"/>
    <w:lvl w:ilvl="0">
      <w:lvlJc w:val="left"/>
      <w:lvlText w:val="%1)"/>
      <w:numFmt w:val="lowerLetter"/>
      <w:start w:val="5"/>
    </w:lvl>
  </w:abstractNum>
  <w:abstractNum w:abstractNumId="17">
    <w:nsid w:val="4B588F54"/>
    <w:multiLevelType w:val="hybridMultilevel"/>
    <w:lvl w:ilvl="0">
      <w:lvlJc w:val="left"/>
      <w:lvlText w:val="%1)"/>
      <w:numFmt w:val="lowerLetter"/>
      <w:start w:val="1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2"/>
    </w:lvl>
    <w:lvl w:ilvl="1">
      <w:lvlJc w:val="left"/>
      <w:lvlText w:val="["/>
      <w:numFmt w:val="bullet"/>
      <w:start w:val="1"/>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1)"/>
      <w:numFmt w:val="upperLetter"/>
      <w:start w:val="1"/>
    </w:lvl>
  </w:abstractNum>
  <w:abstractNum w:abstractNumId="22">
    <w:nsid w:val="32FFF902"/>
    <w:multiLevelType w:val="hybridMultilevel"/>
    <w:lvl w:ilvl="0">
      <w:lvlJc w:val="left"/>
      <w:lvlText w:val="(%1)"/>
      <w:numFmt w:val="upperLetter"/>
      <w:start w:val="24"/>
    </w:lvl>
  </w:abstractNum>
  <w:abstractNum w:abstractNumId="23">
    <w:nsid w:val="684A481A"/>
    <w:multiLevelType w:val="hybridMultilevel"/>
    <w:lvl w:ilvl="0">
      <w:lvlJc w:val="left"/>
      <w:lvlText w:val="%1)"/>
      <w:numFmt w:val="lowerLetter"/>
      <w:start w:val="4"/>
    </w:lvl>
    <w:lvl w:ilvl="1">
      <w:lvlJc w:val="left"/>
      <w:lvlText w:val="%2."/>
      <w:numFmt w:val="lowerRoman"/>
      <w:start w:val="1"/>
    </w:lvl>
  </w:abstractNum>
  <w:abstractNum w:abstractNumId="24">
    <w:nsid w:val="579478FE"/>
    <w:multiLevelType w:val="hybridMultilevel"/>
    <w:lvl w:ilvl="0">
      <w:lvlJc w:val="left"/>
      <w:lvlText w:val="%1."/>
      <w:numFmt w:val="lowerRoman"/>
      <w:start w:val="4"/>
    </w:lvl>
  </w:abstractNum>
  <w:abstractNum w:abstractNumId="25">
    <w:nsid w:val="749ABB43"/>
    <w:multiLevelType w:val="hybridMultilevel"/>
    <w:lvl w:ilvl="0">
      <w:lvlJc w:val="left"/>
      <w:lvlText w:val="%1"/>
      <w:numFmt w:val="lowerLetter"/>
      <w:start w:val="1"/>
    </w:lvl>
    <w:lvl w:ilvl="1">
      <w:lvlJc w:val="left"/>
      <w:lvlText w:val="%2."/>
      <w:numFmt w:val="lowerRoman"/>
      <w:start w:val="6"/>
    </w:lvl>
  </w:abstractNum>
  <w:abstractNum w:abstractNumId="26">
    <w:nsid w:val="3DC240FB"/>
    <w:multiLevelType w:val="hybridMultilevel"/>
    <w:lvl w:ilvl="0">
      <w:lvlJc w:val="left"/>
      <w:lvlText w:val="%1)"/>
      <w:numFmt w:val="lowerLetter"/>
      <w:start w:val="5"/>
    </w:lvl>
    <w:lvl w:ilvl="1">
      <w:lvlJc w:val="left"/>
      <w:lvlText w:val="%2"/>
      <w:numFmt w:val="lowerRoman"/>
      <w:start w:val="1"/>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4"/>
    </w:lvl>
  </w:abstractNum>
  <w:abstractNum w:abstractNumId="29">
    <w:nsid w:val="75C6C33A"/>
    <w:multiLevelType w:val="hybridMultilevel"/>
    <w:lvl w:ilvl="0">
      <w:lvlJc w:val="left"/>
      <w:lvlText w:val="%1)"/>
      <w:numFmt w:val="lowerLetter"/>
      <w:start w:val="6"/>
    </w:lvl>
    <w:lvl w:ilvl="1">
      <w:lvlJc w:val="left"/>
      <w:lvlText w:val="%2."/>
      <w:numFmt w:val="lowerRoman"/>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1."/>
      <w:numFmt w:val="lowerRoman"/>
      <w:start w:val="1"/>
    </w:lvl>
  </w:abstractNum>
  <w:abstractNum w:abstractNumId="32">
    <w:nsid w:val="520EEDD1"/>
    <w:multiLevelType w:val="hybridMultilevel"/>
    <w:lvl w:ilvl="0">
      <w:lvlJc w:val="left"/>
      <w:lvlText w:val="%1)"/>
      <w:numFmt w:val="lowerLetter"/>
      <w:start w:val="2"/>
    </w:lvl>
    <w:lvl w:ilvl="1">
      <w:lvlJc w:val="left"/>
      <w:lvlText w:val="%2)"/>
      <w:numFmt w:val="lowerLetter"/>
      <w:start w:val="4"/>
    </w:lvl>
  </w:abstractNum>
  <w:abstractNum w:abstractNumId="33">
    <w:nsid w:val="374A3FE6"/>
    <w:multiLevelType w:val="hybridMultilevel"/>
    <w:lvl w:ilvl="0">
      <w:lvlJc w:val="left"/>
      <w:lvlText w:val="%1)"/>
      <w:numFmt w:val="lowerLetter"/>
      <w:start w:val="5"/>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5"/>
    </w:lvl>
  </w:abstractNum>
  <w:abstractNum w:abstractNumId="36">
    <w:nsid w:val="649BB77C"/>
    <w:multiLevelType w:val="hybridMultilevel"/>
    <w:lvl w:ilvl="0">
      <w:lvlJc w:val="left"/>
      <w:lvlText w:val="%1)"/>
      <w:numFmt w:val="lowerLetter"/>
      <w:start w:val="8"/>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2"/>
    </w:lvl>
    <w:lvl w:ilvl="1">
      <w:lvlJc w:val="left"/>
      <w:lvlText w:val="["/>
      <w:numFmt w:val="bullet"/>
      <w:start w:val="1"/>
    </w:lvl>
  </w:abstractNum>
  <w:abstractNum w:abstractNumId="39">
    <w:nsid w:val="1CF10FD8"/>
    <w:multiLevelType w:val="hybridMultilevel"/>
    <w:lvl w:ilvl="0">
      <w:lvlJc w:val="left"/>
      <w:lvlText w:val="(%1)"/>
      <w:numFmt w:val="lowerLetter"/>
      <w:start w:val="1"/>
    </w:lvl>
    <w:lvl w:ilvl="1">
      <w:lvlJc w:val="left"/>
      <w:lvlText w:val="(%2)"/>
      <w:numFmt w:val="lowerRoman"/>
      <w:start w:val="1"/>
    </w:lvl>
  </w:abstractNum>
  <w:abstractNum w:abstractNumId="40">
    <w:nsid w:val="180115BE"/>
    <w:multiLevelType w:val="hybridMultilevel"/>
    <w:lvl w:ilvl="0">
      <w:lvlJc w:val="left"/>
      <w:lvlText w:val="(%1)"/>
      <w:numFmt w:val="lowerLetter"/>
      <w:start w:val="1"/>
    </w:lvl>
    <w:lvl w:ilvl="1">
      <w:lvlJc w:val="left"/>
      <w:lvlText w:val="(%2)"/>
      <w:numFmt w:val="lowerRoman"/>
      <w:start w:val="1"/>
    </w:lvl>
  </w:abstractNum>
  <w:abstractNum w:abstractNumId="41">
    <w:nsid w:val="235BA861"/>
    <w:multiLevelType w:val="hybridMultilevel"/>
    <w:lvl w:ilvl="0">
      <w:lvlJc w:val="left"/>
      <w:lvlText w:val="(%1)"/>
      <w:numFmt w:val="lowerLetter"/>
      <w:start w:val="2"/>
    </w:lvl>
    <w:lvl w:ilvl="1">
      <w:lvlJc w:val="left"/>
      <w:lvlText w:val="(%2)"/>
      <w:numFmt w:val="lowerRoman"/>
      <w:start w:val="1"/>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2"/>
    </w:lvl>
  </w:abstractNum>
  <w:abstractNum w:abstractNumId="44">
    <w:nsid w:val="15B5AF5C"/>
    <w:multiLevelType w:val="hybridMultilevel"/>
    <w:lvl w:ilvl="0">
      <w:lvlJc w:val="left"/>
      <w:lvlText w:val="(%1)"/>
      <w:numFmt w:val="lowerLetter"/>
      <w:start w:val="4"/>
    </w:lvl>
  </w:abstractNum>
  <w:abstractNum w:abstractNumId="45">
    <w:nsid w:val="741226BB"/>
    <w:multiLevelType w:val="hybridMultilevel"/>
    <w:lvl w:ilvl="0">
      <w:lvlJc w:val="left"/>
      <w:lvlText w:val="(%1)"/>
      <w:numFmt w:val="lowerLetter"/>
      <w:start w:val="7"/>
    </w:lvl>
  </w:abstractNum>
  <w:abstractNum w:abstractNumId="46">
    <w:nsid w:val="D34B6A8"/>
    <w:multiLevelType w:val="hybridMultilevel"/>
    <w:lvl w:ilvl="0">
      <w:lvlJc w:val="left"/>
      <w:lvlText w:val="%1"/>
      <w:numFmt w:val="upperLetter"/>
      <w:start w:val="1"/>
    </w:lvl>
    <w:lvl w:ilvl="1">
      <w:lvlJc w:val="left"/>
      <w:lvlText w:val="(%2)"/>
      <w:numFmt w:val="lowerLetter"/>
      <w:start w:val="8"/>
    </w:lvl>
  </w:abstractNum>
  <w:abstractNum w:abstractNumId="47">
    <w:nsid w:val="10233C99"/>
    <w:multiLevelType w:val="hybridMultilevel"/>
    <w:lvl w:ilvl="0">
      <w:lvlJc w:val="left"/>
      <w:lvlText w:val="(%1)"/>
      <w:numFmt w:val="upperLetter"/>
      <w:start w:val="2"/>
    </w:lvl>
    <w:lvl w:ilvl="1">
      <w:lvlJc w:val="left"/>
      <w:lvlText w:val="%2"/>
      <w:numFmt w:val="lowerLetter"/>
      <w:start w:val="1"/>
    </w:lvl>
  </w:abstractNum>
  <w:abstractNum w:abstractNumId="48">
    <w:nsid w:val="3F6AB60F"/>
    <w:multiLevelType w:val="hybridMultilevel"/>
    <w:lvl w:ilvl="0">
      <w:lvlJc w:val="left"/>
      <w:lvlText w:val="(%1)"/>
      <w:numFmt w:val="lowerLetter"/>
      <w:start w:val="10"/>
    </w:lvl>
  </w:abstractNum>
  <w:abstractNum w:abstractNumId="49">
    <w:nsid w:val="61574095"/>
    <w:multiLevelType w:val="hybridMultilevel"/>
    <w:lvl w:ilvl="0">
      <w:lvlJc w:val="left"/>
      <w:lvlText w:val="(%1)"/>
      <w:numFmt w:val="lowerLetter"/>
      <w:start w:val="13"/>
    </w:lvl>
  </w:abstractNum>
  <w:abstractNum w:abstractNumId="50">
    <w:nsid w:val="7E0C57B1"/>
    <w:multiLevelType w:val="hybridMultilevel"/>
    <w:lvl w:ilvl="0">
      <w:lvlJc w:val="left"/>
      <w:lvlText w:val="(%1)"/>
      <w:numFmt w:val="lowerLetter"/>
      <w:start w:val="16"/>
    </w:lvl>
  </w:abstractNum>
  <w:abstractNum w:abstractNumId="51">
    <w:nsid w:val="77AE35EB"/>
    <w:multiLevelType w:val="hybridMultilevel"/>
    <w:lvl w:ilvl="0">
      <w:lvlJc w:val="left"/>
      <w:lvlText w:val="(%1)"/>
      <w:numFmt w:val="lowerLetter"/>
      <w:start w:val="19"/>
    </w:lvl>
  </w:abstractNum>
  <w:abstractNum w:abstractNumId="52">
    <w:nsid w:val="579BE4F1"/>
    <w:multiLevelType w:val="hybridMultilevel"/>
    <w:lvl w:ilvl="0">
      <w:lvlJc w:val="left"/>
      <w:lvlText w:val="(%1)"/>
      <w:numFmt w:val="lowerLetter"/>
      <w:start w:val="23"/>
    </w:lvl>
  </w:abstractNum>
  <w:abstractNum w:abstractNumId="53">
    <w:nsid w:val="310C50B3"/>
    <w:multiLevelType w:val="hybridMultilevel"/>
    <w:lvl w:ilvl="0">
      <w:lvlJc w:val="left"/>
      <w:lvlText w:val="(%1)"/>
      <w:numFmt w:val="lowerLetter"/>
      <w:start w:val="26"/>
    </w:lvl>
  </w:abstractNum>
  <w:abstractNum w:abstractNumId="54">
    <w:nsid w:val="5FF87E05"/>
    <w:multiLevelType w:val="hybridMultilevel"/>
    <w:lvl w:ilvl="0">
      <w:lvlJc w:val="left"/>
      <w:lvlText w:val="(%1)"/>
      <w:numFmt w:val="lowerLetter"/>
      <w:start w:val="27"/>
    </w:lvl>
  </w:abstractNum>
  <w:abstractNum w:abstractNumId="55">
    <w:nsid w:val="2F305DEF"/>
    <w:multiLevelType w:val="hybridMultilevel"/>
    <w:lvl w:ilvl="0">
      <w:lvlJc w:val="left"/>
      <w:lvlText w:val="(%1)"/>
      <w:numFmt w:val="lowerLetter"/>
      <w:start w:val="28"/>
    </w:lvl>
  </w:abstractNum>
  <w:abstractNum w:abstractNumId="56">
    <w:nsid w:val="25A70BF7"/>
    <w:multiLevelType w:val="hybridMultilevel"/>
    <w:lvl w:ilvl="0">
      <w:lvlJc w:val="left"/>
      <w:lvlText w:val="(%1)"/>
      <w:numFmt w:val="lowerLetter"/>
      <w:start w:val="32"/>
    </w:lvl>
  </w:abstractNum>
  <w:abstractNum w:abstractNumId="57">
    <w:nsid w:val="1DBABF00"/>
    <w:multiLevelType w:val="hybridMultilevel"/>
    <w:lvl w:ilvl="0">
      <w:lvlJc w:val="left"/>
      <w:lvlText w:val="(%1)"/>
      <w:numFmt w:val="lowerLetter"/>
      <w:start w:val="34"/>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lowerLetter"/>
      <w:start w:val="6"/>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6"/>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2"/>
    </w:lvl>
  </w:abstractNum>
  <w:abstractNum w:abstractNumId="64">
    <w:nsid w:val="15014ACB"/>
    <w:multiLevelType w:val="hybridMultilevel"/>
    <w:lvl w:ilvl="0">
      <w:lvlJc w:val="left"/>
      <w:lvlText w:val="o"/>
      <w:numFmt w:val="bullet"/>
      <w:start w:val="1"/>
    </w:lvl>
  </w:abstractNum>
  <w:abstractNum w:abstractNumId="65">
    <w:nsid w:val="5F5E7FD0"/>
    <w:multiLevelType w:val="hybridMultilevel"/>
    <w:lvl w:ilvl="0">
      <w:lvlJc w:val="left"/>
      <w:lvlText w:val="A"/>
      <w:numFmt w:val="bullet"/>
      <w:start w:val="1"/>
    </w:lvl>
    <w:lvl w:ilvl="1">
      <w:lvlJc w:val="left"/>
      <w:lvlText w:val="(%2)"/>
      <w:numFmt w:val="decimal"/>
      <w:start w:val="1"/>
    </w:lvl>
  </w:abstractNum>
  <w:abstractNum w:abstractNumId="66">
    <w:nsid w:val="98A3148"/>
    <w:multiLevelType w:val="hybridMultilevel"/>
    <w:lvl w:ilvl="0">
      <w:lvlJc w:val="left"/>
      <w:lvlText w:val="%1"/>
      <w:numFmt w:val="upperLetter"/>
      <w:start w:val="1"/>
    </w:lvl>
    <w:lvl w:ilvl="1">
      <w:lvlJc w:val="left"/>
      <w:lvlText w:val="(%2)"/>
      <w:numFmt w:val="decimal"/>
      <w:start w:val="3"/>
    </w:lvl>
  </w:abstractNum>
  <w:abstractNum w:abstractNumId="67">
    <w:nsid w:val="799D0247"/>
    <w:multiLevelType w:val="hybridMultilevel"/>
    <w:lvl w:ilvl="0">
      <w:lvlJc w:val="left"/>
      <w:lvlText w:val="%1."/>
      <w:numFmt w:val="upperLetter"/>
      <w:start w:val="2"/>
    </w:lvl>
    <w:lvl w:ilvl="1">
      <w:lvlJc w:val="left"/>
      <w:lvlText w:val="%2"/>
      <w:numFmt w:val="decimal"/>
      <w:start w:val="1"/>
    </w:lvl>
  </w:abstractNum>
  <w:abstractNum w:abstractNumId="68">
    <w:nsid w:val="6B94764"/>
    <w:multiLevelType w:val="hybridMultilevel"/>
    <w:lvl w:ilvl="0">
      <w:lvlJc w:val="left"/>
      <w:lvlText w:val="%1."/>
      <w:numFmt w:val="lowerLetter"/>
      <w:start w:val="3"/>
    </w:lvl>
  </w:abstractNum>
  <w:abstractNum w:abstractNumId="69">
    <w:nsid w:val="42C296BD"/>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70">
    <w:nsid w:val="168E121F"/>
    <w:multiLevelType w:val="hybridMultilevel"/>
    <w:lvl w:ilvl="0">
      <w:lvlJc w:val="left"/>
      <w:lvlText w:val="%1."/>
      <w:numFmt w:val="decimal"/>
      <w:start w:val="2"/>
    </w:lvl>
  </w:abstractNum>
  <w:abstractNum w:abstractNumId="71">
    <w:nsid w:val="1EBA5D23"/>
    <w:multiLevelType w:val="hybridMultilevel"/>
    <w:lvl w:ilvl="0">
      <w:lvlJc w:val="left"/>
      <w:lvlText w:val="%1"/>
      <w:numFmt w:val="upperLetter"/>
      <w:start w:val="1"/>
    </w:lvl>
    <w:lvl w:ilvl="1">
      <w:lvlJc w:val="left"/>
      <w:lvlText w:val="%2."/>
      <w:numFmt w:val="decimal"/>
      <w:start w:val="5"/>
    </w:lvl>
  </w:abstractNum>
  <w:abstractNum w:abstractNumId="72">
    <w:nsid w:val="661E3F1E"/>
    <w:multiLevelType w:val="hybridMultilevel"/>
    <w:lvl w:ilvl="0">
      <w:lvlJc w:val="left"/>
      <w:lvlText w:val="%1."/>
      <w:numFmt w:val="upperLetter"/>
      <w:start w:val="7"/>
    </w:lvl>
    <w:lvl w:ilvl="1">
      <w:lvlJc w:val="left"/>
      <w:lvlText w:val="%2"/>
      <w:numFmt w:val="decimal"/>
      <w:start w:val="1"/>
    </w:lvl>
  </w:abstractNum>
  <w:abstractNum w:abstractNumId="73">
    <w:nsid w:val="5DC79EA8"/>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2020-01-28T07:07:50Z</dcterms:created>
  <dcterms:modified xsi:type="dcterms:W3CDTF">2020-01-28T07:07:50Z</dcterms:modified>
</cp:coreProperties>
</file>