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July 28,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60" w:type="dxa"/>
            <w:vAlign w:val="bottom"/>
            <w:gridSpan w:val="5"/>
          </w:tcPr>
          <w:p>
            <w:pPr>
              <w:ind w:left="360"/>
              <w:spacing w:after="0"/>
              <w:rPr>
                <w:sz w:val="20"/>
                <w:szCs w:val="20"/>
                <w:color w:val="auto"/>
              </w:rPr>
            </w:pPr>
            <w:r>
              <w:rPr>
                <w:rFonts w:ascii="Arial" w:cs="Arial" w:eastAsia="Arial" w:hAnsi="Arial"/>
                <w:sz w:val="18"/>
                <w:szCs w:val="18"/>
                <w:color w:val="auto"/>
              </w:rPr>
              <w:t>(State or other jurisdiction of</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840" w:type="dxa"/>
            <w:vAlign w:val="bottom"/>
          </w:tcPr>
          <w:p>
            <w:pPr>
              <w:spacing w:after="0"/>
              <w:rPr>
                <w:sz w:val="20"/>
                <w:szCs w:val="20"/>
                <w:color w:val="auto"/>
              </w:rPr>
            </w:pPr>
          </w:p>
        </w:tc>
        <w:tc>
          <w:tcPr>
            <w:tcW w:w="2220" w:type="dxa"/>
            <w:vAlign w:val="bottom"/>
            <w:gridSpan w:val="4"/>
          </w:tcPr>
          <w:p>
            <w:pPr>
              <w:jc w:val="center"/>
              <w:ind w:right="1060"/>
              <w:spacing w:after="0"/>
              <w:rPr>
                <w:sz w:val="20"/>
                <w:szCs w:val="20"/>
                <w:color w:val="auto"/>
              </w:rPr>
            </w:pPr>
            <w:r>
              <w:rPr>
                <w:rFonts w:ascii="Arial" w:cs="Arial" w:eastAsia="Arial" w:hAnsi="Arial"/>
                <w:sz w:val="18"/>
                <w:szCs w:val="18"/>
                <w:color w:val="auto"/>
                <w:w w:val="94"/>
              </w:rPr>
              <w:t>incorporation)</w:t>
            </w:r>
          </w:p>
        </w:tc>
        <w:tc>
          <w:tcPr>
            <w:tcW w:w="1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3200 Southwest Freeway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2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89"/>
              </w:rPr>
              <w:t>Suite 2500</w:t>
            </w: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06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0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On July 28, 2021, Marker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issued a press release entitled “Marker Therapeutics Announces Opening of New cGMP Manufacturing Facility.” A copy of the press release is furnished herewith as Exhibit 99.1 and is incorporated herein by reference.</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392"/>
        </w:trPr>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10040" w:type="dxa"/>
            <w:vAlign w:val="bottom"/>
            <w:gridSpan w:val="4"/>
          </w:tcPr>
          <w:p>
            <w:pPr>
              <w:ind w:left="2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July 28,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40" w:type="dxa"/>
            <w:vAlign w:val="bottom"/>
            <w:gridSpan w:val="4"/>
          </w:tcPr>
          <w:p>
            <w:pPr>
              <w:ind w:left="280"/>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432"/>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July 28, 2021</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Anthony Kim</w:t>
            </w:r>
          </w:p>
        </w:tc>
      </w:tr>
      <w:tr>
        <w:trPr>
          <w:trHeight w:val="195"/>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r>
        <w:trPr>
          <w:trHeight w:val="432"/>
        </w:trPr>
        <w:tc>
          <w:tcPr>
            <w:tcW w:w="3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108835"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Opening of New cGMP Manufacturing Facility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Facility is now available to manufacture study drug, MT-401, for Marker’s Phase 2 AML trial</w:t>
      </w:r>
    </w:p>
    <w:p>
      <w:pPr>
        <w:spacing w:after="0" w:line="22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Houston, TX—July 28, 2021—</w:t>
      </w:r>
      <w:r>
        <w:rPr>
          <w:rFonts w:ascii="Arial" w:cs="Arial" w:eastAsia="Arial" w:hAnsi="Arial"/>
          <w:sz w:val="17"/>
          <w:szCs w:val="17"/>
          <w:color w:val="auto"/>
        </w:rPr>
        <w:t>Marker Therapeutics, Inc. (Nasdaq:MRKR), a clinical-stage immuno-oncology company specializing in the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of next-generation T cell-based immunotherapies for the treatment of hematological malignancies and solid tumor indications, today announced that the Company’s new cGMP manufacturing facility in Houston, TX, located near the George Bush Intercontinental Airport, is fully operational. The facility will manufacture Marker’s MultiTAA-specific T cell products for the Company’s Phase 2 acute myeloid leukemia (AML) trial as well as future hematological and solid tumor trials, in addition to producing the potential commercial supply of any approved products.</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excited to open Marker’s new in-house cGMP manufacturing facility and potentially bring our therapies to the affected patient communities,” said Anthony H. Kim, Chief Financial Officer of Marker Therapeutics. “Cell therapy manufacturing is a complex science and is a competitive advantage for Marker. Building our own cGMP manufacturing facility was a strategic goal for Marker to ensure broad access to our therapies while reducing overall manufacturing costs.”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employed modular processes to build its cGMP manufacturing facility at its 48,500 square foot location. Currently, about a third of the square footage is being utilized and is dedicated to support the Company’s Phase 2 AML trial, which is expected to enroll 160 patients. Additional clean rooms may be added using the cost-effective and scalable modular processes for the manufacturing of other MultiTAA-specific T cell products in future clinical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potential commercialization of our current and future product candidates; our manufacturing processes and the cost thereof; and our ability to use our cGMP manufacturing facility to support clinical and commercial demand.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ind w:right="93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378-2975 xyang@soleburytrout.com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2021-07-28T16:22:23Z</dcterms:created>
  <dcterms:modified xsi:type="dcterms:W3CDTF">2021-07-28T16:22:23Z</dcterms:modified>
</cp:coreProperties>
</file>