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421005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kUNITED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FORM 8-K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July 17, 2015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TAPIMMUNE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Nevada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jc w:val="center"/>
              <w:ind w:left="1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000-27239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88-0277072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620" w:type="dxa"/>
            <w:vAlign w:val="bottom"/>
            <w:gridSpan w:val="6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4160" w:type="dxa"/>
            <w:vAlign w:val="bottom"/>
            <w:gridSpan w:val="5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2840" w:type="dxa"/>
            <w:vAlign w:val="bottom"/>
            <w:gridSpan w:val="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(IRS Employer Identification No.)</w:t>
            </w:r>
          </w:p>
        </w:tc>
      </w:tr>
      <w:tr>
        <w:trPr>
          <w:trHeight w:val="419"/>
        </w:trPr>
        <w:tc>
          <w:tcPr>
            <w:tcW w:w="3620" w:type="dxa"/>
            <w:vAlign w:val="bottom"/>
            <w:gridSpan w:val="6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1551 Eastlake Avenue East, Suite 100, Seattle,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6"/>
        </w:trPr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WA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jc w:val="right"/>
              <w:ind w:righ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98102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620" w:type="dxa"/>
            <w:vAlign w:val="bottom"/>
            <w:gridSpan w:val="6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jc w:val="center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  <w:tr>
        <w:trPr>
          <w:trHeight w:val="419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jc w:val="center"/>
              <w:ind w:left="1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(206) 504-7278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60" w:type="dxa"/>
            <w:vAlign w:val="bottom"/>
            <w:gridSpan w:val="5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Registrant’s telephone number, including area code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N/A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right="5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10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Written communications pursuant to Rule 425 under the Securities Act (17 CFR 230.425)</w:t>
            </w:r>
          </w:p>
        </w:tc>
      </w:tr>
      <w:tr>
        <w:trPr>
          <w:trHeight w:val="216"/>
        </w:trPr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10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240.14a-12)</w:t>
            </w:r>
          </w:p>
        </w:tc>
      </w:tr>
      <w:tr>
        <w:trPr>
          <w:trHeight w:val="216"/>
        </w:trPr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10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Pre-commencement communications pursuant to Rule 14d-2(b) under the Exchange Act (17 CFR 240.14d-2(b))</w:t>
            </w:r>
          </w:p>
        </w:tc>
      </w:tr>
      <w:tr>
        <w:trPr>
          <w:trHeight w:val="230"/>
        </w:trPr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10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Pre-commencement communications pursuant to Rule 13e-4(c) under the Exchange Act (17 CFR 240.13e-4(c))</w:t>
            </w:r>
          </w:p>
        </w:tc>
      </w:tr>
      <w:tr>
        <w:trPr>
          <w:trHeight w:val="1766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83" w:right="2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July 16, 2015, the U.S. Securities and Exchange Commission declared effective Post-Effective Amendment No. 2 to our Registration Statement on Form S-3 on Form S-1. The Registration Statement registered, among other securities, shares of our common stock underlying Series B Warrants. Between July 16, 2015 and July 21, 2015, holders of the Series B warrants exercised 5,570,000 of the Series B warrants registered under that Registration Statement. As a result of those exercises: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980" w:hanging="486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received approximately $1,114,000 in cash (which we intend to use for general corporate purposes and working capital) and</w:t>
      </w:r>
    </w:p>
    <w:p>
      <w:pPr>
        <w:spacing w:after="0" w:line="25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80" w:hanging="486"/>
        <w:spacing w:after="0"/>
        <w:tabs>
          <w:tab w:leader="none" w:pos="98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we issued 5,570,000 shares of common stock, which amounts to approximately 12.8% of all shares outstanding immediately after such issuance.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20" w:type="dxa"/>
            <w:vAlign w:val="bottom"/>
            <w:gridSpan w:val="4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TAPIMMUNE INC.</w:t>
            </w:r>
          </w:p>
        </w:tc>
      </w:tr>
      <w:tr>
        <w:trPr>
          <w:trHeight w:val="39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Date: July 23, 2015</w:t>
            </w:r>
          </w:p>
        </w:tc>
        <w:tc>
          <w:tcPr>
            <w:tcW w:w="274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/s/ Glynn Wilson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Glynn Wilson</w:t>
            </w:r>
          </w:p>
        </w:tc>
      </w:tr>
      <w:tr>
        <w:trPr>
          <w:trHeight w:val="23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Chairman and CEO</w:t>
            </w:r>
          </w:p>
        </w:tc>
      </w:tr>
      <w:tr>
        <w:trPr>
          <w:trHeight w:val="357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1"/>
        </w:trPr>
        <w:tc>
          <w:tcPr>
            <w:tcW w:w="36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729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2020-01-24T02:01:25Z</dcterms:created>
  <dcterms:modified xsi:type="dcterms:W3CDTF">2020-01-24T02:01:25Z</dcterms:modified>
</cp:coreProperties>
</file>