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v527215_8k.htm"/>
      <w:bookmarkStart w:id="1" w:name="kstv527215_8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August 8, 2019</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3"/>
          <w:u w:val="single"/>
        </w:rPr>
      </w:pPr>
      <w:r>
        <w:rPr>
          <w:rFonts w:ascii="Times New Roman;Times;Serif" w:hAnsi="Times New Roman;Times;Serif"/>
          <w:b/>
          <w:i w:val="false"/>
          <w:caps w:val="false"/>
          <w:smallCaps w:val="false"/>
          <w:sz w:val="23"/>
          <w:u w:val="single"/>
        </w:rPr>
        <w:t>MARKER THERAPEUTICS,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425" w:type="dxa"/>
        <w:jc w:val="left"/>
        <w:tblInd w:w="0" w:type="dxa"/>
        <w:tblCellMar>
          <w:top w:w="0" w:type="dxa"/>
          <w:left w:w="0" w:type="dxa"/>
          <w:bottom w:w="0" w:type="dxa"/>
          <w:right w:w="0" w:type="dxa"/>
        </w:tblCellMar>
      </w:tblPr>
      <w:tblGrid>
        <w:gridCol w:w="3095"/>
        <w:gridCol w:w="1910"/>
        <w:gridCol w:w="2420"/>
      </w:tblGrid>
      <w:tr>
        <w:trPr/>
        <w:tc>
          <w:tcPr>
            <w:tcW w:w="3095"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Delaware</w:t>
            </w:r>
          </w:p>
        </w:tc>
        <w:tc>
          <w:tcPr>
            <w:tcW w:w="1910"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001-37939</w:t>
            </w:r>
          </w:p>
        </w:tc>
        <w:tc>
          <w:tcPr>
            <w:tcW w:w="2420"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45-4497941</w:t>
            </w:r>
          </w:p>
        </w:tc>
      </w:tr>
      <w:tr>
        <w:trPr/>
        <w:tc>
          <w:tcPr>
            <w:tcW w:w="3095"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(State or other jurisdiction of incorporation)</w:t>
            </w:r>
          </w:p>
        </w:tc>
        <w:tc>
          <w:tcPr>
            <w:tcW w:w="191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(Commission File Number)</w:t>
            </w:r>
          </w:p>
        </w:tc>
        <w:tc>
          <w:tcPr>
            <w:tcW w:w="242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(IRS Employer Identification No.)</w:t>
            </w:r>
          </w:p>
        </w:tc>
      </w:tr>
    </w:tbl>
    <w:p>
      <w:pPr>
        <w:pStyle w:val="TextBody"/>
        <w:spacing w:before="0" w:after="0"/>
        <w:ind w:left="0" w:right="0" w:hanging="0"/>
        <w:rPr>
          <w:caps w:val="false"/>
          <w:smallCaps w:val="false"/>
        </w:rPr>
      </w:pPr>
      <w:r>
        <w:rPr>
          <w:caps w:val="false"/>
          <w:smallCaps w:val="false"/>
        </w:rPr>
        <w:t> </w:t>
      </w:r>
    </w:p>
    <w:tbl>
      <w:tblPr>
        <w:tblW w:w="3640" w:type="dxa"/>
        <w:jc w:val="left"/>
        <w:tblInd w:w="0" w:type="dxa"/>
        <w:tblCellMar>
          <w:top w:w="0" w:type="dxa"/>
          <w:left w:w="0" w:type="dxa"/>
          <w:bottom w:w="0" w:type="dxa"/>
          <w:right w:w="0" w:type="dxa"/>
        </w:tblCellMar>
      </w:tblPr>
      <w:tblGrid>
        <w:gridCol w:w="2780"/>
        <w:gridCol w:w="60"/>
        <w:gridCol w:w="800"/>
      </w:tblGrid>
      <w:tr>
        <w:trPr/>
        <w:tc>
          <w:tcPr>
            <w:tcW w:w="278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3200 Southwest Freeway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Suite 2240 </w:t>
            </w:r>
          </w:p>
          <w:p>
            <w:pPr>
              <w:pStyle w:val="TableContents"/>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Houston, Texas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b/>
                <w:sz w:val="17"/>
                <w:u w:val="single"/>
              </w:rPr>
            </w:pPr>
            <w:r>
              <w:rPr>
                <w:rFonts w:ascii="Times New Roman;Times;Serif" w:hAnsi="Times New Roman;Times;Serif"/>
                <w:b/>
                <w:sz w:val="17"/>
                <w:u w:val="single"/>
              </w:rPr>
              <w:t>77027</w:t>
            </w:r>
          </w:p>
        </w:tc>
      </w:tr>
      <w:tr>
        <w:trPr/>
        <w:tc>
          <w:tcPr>
            <w:tcW w:w="278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(Address of principal executive offices)</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400-6400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8110" w:type="dxa"/>
        <w:jc w:val="left"/>
        <w:tblInd w:w="0" w:type="dxa"/>
        <w:tblCellMar>
          <w:top w:w="0" w:type="dxa"/>
          <w:left w:w="0" w:type="dxa"/>
          <w:bottom w:w="0" w:type="dxa"/>
          <w:right w:w="0" w:type="dxa"/>
        </w:tblCellMar>
      </w:tblPr>
      <w:tblGrid>
        <w:gridCol w:w="245"/>
        <w:gridCol w:w="7865"/>
      </w:tblGrid>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Written communications pursuant to Rule 425 under the Securities Act (17 CFR 230.425)</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Soliciting material pursuant to Rule 14a-12 under the Exchange Act (17 CFR 240.14a-12)</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pPr>
            <w:r>
              <w:rPr/>
              <w:t>☐</w:t>
            </w:r>
          </w:p>
        </w:tc>
        <w:tc>
          <w:tcPr>
            <w:tcW w:w="7865" w:type="dxa"/>
            <w:tcBorders/>
            <w:shd w:fill="auto" w:val="clear"/>
            <w:vAlign w:val="center"/>
          </w:tcPr>
          <w:p>
            <w:pPr>
              <w:pStyle w:val="TableContents"/>
              <w:spacing w:before="0" w:after="283"/>
              <w:rPr>
                <w:rFonts w:ascii="Times New Roman;Times;Serif" w:hAnsi="Times New Roman;Times;Serif"/>
                <w:sz w:val="17"/>
              </w:rPr>
            </w:pPr>
            <w:r>
              <w:rPr>
                <w:rFonts w:ascii="Times New Roman;Times;Serif" w:hAnsi="Times New Roman;Times;Serif"/>
                <w:sz w:val="17"/>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139" w:type="dxa"/>
        <w:jc w:val="left"/>
        <w:tblInd w:w="0" w:type="dxa"/>
        <w:tblCellMar>
          <w:top w:w="0" w:type="dxa"/>
          <w:left w:w="0" w:type="dxa"/>
          <w:bottom w:w="28" w:type="dxa"/>
          <w:right w:w="0" w:type="dxa"/>
        </w:tblCellMar>
      </w:tblPr>
      <w:tblGrid>
        <w:gridCol w:w="2242"/>
        <w:gridCol w:w="822"/>
        <w:gridCol w:w="60"/>
        <w:gridCol w:w="845"/>
        <w:gridCol w:w="60"/>
        <w:gridCol w:w="3110"/>
      </w:tblGrid>
      <w:tr>
        <w:trPr/>
        <w:tc>
          <w:tcPr>
            <w:tcW w:w="3064"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Title of each class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845"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Symbol(s)</w:t>
            </w:r>
          </w:p>
        </w:tc>
        <w:tc>
          <w:tcPr>
            <w:tcW w:w="60" w:type="dxa"/>
            <w:tcBorders>
              <w:bottom w:val="single" w:sz="8" w:space="0" w:color="000000"/>
            </w:tcBorders>
            <w:shd w:fill="auto" w:val="clear"/>
            <w:vAlign w:val="center"/>
          </w:tcPr>
          <w:p>
            <w:pPr>
              <w:pStyle w:val="TableContents"/>
              <w:spacing w:before="0" w:after="283"/>
              <w:jc w:val="center"/>
              <w:rPr/>
            </w:pPr>
            <w:r>
              <w:rPr/>
              <w:t> </w:t>
            </w:r>
          </w:p>
        </w:tc>
        <w:tc>
          <w:tcPr>
            <w:tcW w:w="31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Name of each exchange on which registered</w:t>
            </w:r>
          </w:p>
        </w:tc>
      </w:tr>
      <w:tr>
        <w:trPr/>
        <w:tc>
          <w:tcPr>
            <w:tcW w:w="3064" w:type="dxa"/>
            <w:gridSpan w:val="2"/>
            <w:tcBorders/>
            <w:shd w:fill="auto" w:val="clear"/>
            <w:tcMar>
              <w:bottom w:w="0"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Common Stock, par value $0.001 per share</w:t>
            </w:r>
          </w:p>
        </w:tc>
        <w:tc>
          <w:tcPr>
            <w:tcW w:w="60" w:type="dxa"/>
            <w:tcBorders/>
            <w:shd w:fill="auto" w:val="clear"/>
            <w:tcMar>
              <w:bottom w:w="0" w:type="dxa"/>
            </w:tcMar>
            <w:vAlign w:val="center"/>
          </w:tcPr>
          <w:p>
            <w:pPr>
              <w:pStyle w:val="TableContents"/>
              <w:spacing w:before="0" w:after="283"/>
              <w:jc w:val="center"/>
              <w:rPr/>
            </w:pPr>
            <w:r>
              <w:rPr/>
              <w:t> </w:t>
            </w:r>
          </w:p>
        </w:tc>
        <w:tc>
          <w:tcPr>
            <w:tcW w:w="845" w:type="dxa"/>
            <w:tcBorders/>
            <w:shd w:fill="auto" w:val="clear"/>
            <w:tcMar>
              <w:bottom w:w="0"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MRKR</w:t>
            </w:r>
          </w:p>
        </w:tc>
        <w:tc>
          <w:tcPr>
            <w:tcW w:w="60" w:type="dxa"/>
            <w:tcBorders/>
            <w:shd w:fill="auto" w:val="clear"/>
            <w:tcMar>
              <w:bottom w:w="0" w:type="dxa"/>
            </w:tcMar>
            <w:vAlign w:val="center"/>
          </w:tcPr>
          <w:p>
            <w:pPr>
              <w:pStyle w:val="TableContents"/>
              <w:spacing w:before="0" w:after="283"/>
              <w:jc w:val="center"/>
              <w:rPr/>
            </w:pPr>
            <w:r>
              <w:rPr/>
              <w:t> </w:t>
            </w:r>
          </w:p>
        </w:tc>
        <w:tc>
          <w:tcPr>
            <w:tcW w:w="3110" w:type="dxa"/>
            <w:tcBorders/>
            <w:shd w:fill="auto" w:val="clear"/>
            <w:tcMar>
              <w:bottom w:w="0" w:type="dxa"/>
            </w:tcMar>
            <w:vAlign w:val="center"/>
          </w:tcPr>
          <w:p>
            <w:pPr>
              <w:pStyle w:val="TableContents"/>
              <w:spacing w:before="0" w:after="283"/>
              <w:jc w:val="center"/>
              <w:rPr>
                <w:rFonts w:ascii="Times New Roman;Times;Serif" w:hAnsi="Times New Roman;Times;Serif"/>
                <w:sz w:val="17"/>
              </w:rPr>
            </w:pPr>
            <w:r>
              <w:rPr>
                <w:rFonts w:ascii="Times New Roman;Times;Serif" w:hAnsi="Times New Roman;Times;Serif"/>
                <w:sz w:val="17"/>
              </w:rPr>
              <w:t>The Nasdaq Stock Market LLC</w:t>
            </w:r>
          </w:p>
        </w:tc>
      </w:tr>
      <w:tr>
        <w:trPr/>
        <w:tc>
          <w:tcPr>
            <w:tcW w:w="2242" w:type="dxa"/>
            <w:tcBorders/>
            <w:shd w:fill="auto" w:val="clear"/>
            <w:tcMar>
              <w:bottom w:w="0" w:type="dxa"/>
            </w:tcMar>
            <w:vAlign w:val="center"/>
          </w:tcPr>
          <w:p>
            <w:pPr>
              <w:pStyle w:val="TableContents"/>
              <w:spacing w:before="0" w:after="283"/>
              <w:ind w:left="0" w:right="0" w:firstLine="90"/>
              <w:rPr/>
            </w:pPr>
            <w:r>
              <w:rPr/>
              <w:t> </w:t>
            </w:r>
          </w:p>
        </w:tc>
        <w:tc>
          <w:tcPr>
            <w:tcW w:w="4897" w:type="dxa"/>
            <w:gridSpan w:val="5"/>
            <w:tcBorders/>
            <w:shd w:fill="auto" w:val="clear"/>
            <w:tcMar>
              <w:bottom w:w="0" w:type="dxa"/>
            </w:tcMar>
            <w:vAlign w:val="center"/>
          </w:tcPr>
          <w:p>
            <w:pPr>
              <w:pStyle w:val="TableContents"/>
              <w:spacing w:before="0" w:after="283"/>
              <w:rPr/>
            </w:pPr>
            <w:r>
              <w:rPr/>
              <w:t> </w:t>
            </w:r>
          </w:p>
        </w:tc>
      </w:tr>
      <w:tr>
        <w:trPr/>
        <w:tc>
          <w:tcPr>
            <w:tcW w:w="2242" w:type="dxa"/>
            <w:tcBorders/>
            <w:shd w:fill="auto" w:val="clear"/>
            <w:tcMar>
              <w:bottom w:w="0" w:type="dxa"/>
            </w:tcMar>
            <w:vAlign w:val="center"/>
          </w:tcPr>
          <w:p>
            <w:pPr>
              <w:pStyle w:val="TableContents"/>
              <w:spacing w:before="0" w:after="283"/>
              <w:rPr/>
            </w:pPr>
            <w:r>
              <w:rPr/>
              <w:t> </w:t>
            </w:r>
          </w:p>
        </w:tc>
        <w:tc>
          <w:tcPr>
            <w:tcW w:w="822"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4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110"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684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pacing w:before="0" w:after="0"/>
        <w:ind w:left="684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5845" w:type="dxa"/>
        <w:jc w:val="left"/>
        <w:tblInd w:w="0" w:type="dxa"/>
        <w:tblCellMar>
          <w:top w:w="0" w:type="dxa"/>
          <w:left w:w="0" w:type="dxa"/>
          <w:bottom w:w="0" w:type="dxa"/>
          <w:right w:w="0" w:type="dxa"/>
        </w:tblCellMar>
      </w:tblPr>
      <w:tblGrid>
        <w:gridCol w:w="1040"/>
        <w:gridCol w:w="4805"/>
      </w:tblGrid>
      <w:tr>
        <w:trPr/>
        <w:tc>
          <w:tcPr>
            <w:tcW w:w="1040" w:type="dxa"/>
            <w:tcBorders/>
            <w:shd w:fill="auto" w:val="clear"/>
            <w:vAlign w:val="center"/>
          </w:tcPr>
          <w:p>
            <w:pPr>
              <w:pStyle w:val="TableContents"/>
              <w:spacing w:before="0" w:after="283"/>
              <w:jc w:val="left"/>
              <w:rPr>
                <w:b/>
              </w:rPr>
            </w:pPr>
            <w:r>
              <w:rPr>
                <w:b/>
              </w:rPr>
              <w:t>Item 2.02.</w:t>
            </w:r>
          </w:p>
        </w:tc>
        <w:tc>
          <w:tcPr>
            <w:tcW w:w="4805" w:type="dxa"/>
            <w:tcBorders/>
            <w:shd w:fill="auto" w:val="clear"/>
            <w:vAlign w:val="center"/>
          </w:tcPr>
          <w:p>
            <w:pPr>
              <w:pStyle w:val="TableContents"/>
              <w:spacing w:before="0" w:after="283"/>
              <w:jc w:val="both"/>
              <w:rPr>
                <w:b/>
              </w:rPr>
            </w:pPr>
            <w:r>
              <w:rPr>
                <w:b/>
              </w:rPr>
              <w:t>Results of Operations and Financial Condition.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2019, Marker Therapeutics, Inc. (the “Company”) reported financial results for the second quarter ended June 30, 2019 and other recent corporate updates. A copy of the press release is furnished as Exhibit 99.1 to this Current Report on 8-K and incorporated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TextBody"/>
        <w:spacing w:before="0" w:after="0"/>
        <w:ind w:left="0" w:right="0" w:hanging="0"/>
        <w:rPr>
          <w:caps w:val="false"/>
          <w:smallCaps w:val="false"/>
        </w:rPr>
      </w:pPr>
      <w:r>
        <w:rPr>
          <w:caps w:val="false"/>
          <w:smallCaps w:val="false"/>
        </w:rPr>
        <w:t> </w:t>
      </w:r>
    </w:p>
    <w:tbl>
      <w:tblPr>
        <w:tblW w:w="3355" w:type="dxa"/>
        <w:jc w:val="left"/>
        <w:tblInd w:w="0" w:type="dxa"/>
        <w:tblCellMar>
          <w:top w:w="0" w:type="dxa"/>
          <w:left w:w="0" w:type="dxa"/>
          <w:bottom w:w="0" w:type="dxa"/>
          <w:right w:w="0" w:type="dxa"/>
        </w:tblCellMar>
      </w:tblPr>
      <w:tblGrid>
        <w:gridCol w:w="770"/>
        <w:gridCol w:w="2585"/>
      </w:tblGrid>
      <w:tr>
        <w:trPr/>
        <w:tc>
          <w:tcPr>
            <w:tcW w:w="770" w:type="dxa"/>
            <w:tcBorders/>
            <w:shd w:fill="auto"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Item 9.01.</w:t>
            </w:r>
          </w:p>
        </w:tc>
        <w:tc>
          <w:tcPr>
            <w:tcW w:w="2585" w:type="dxa"/>
            <w:tcBorders/>
            <w:shd w:fill="auto" w:val="clear"/>
            <w:vAlign w:val="center"/>
          </w:tcPr>
          <w:p>
            <w:pPr>
              <w:pStyle w:val="TableContents"/>
              <w:spacing w:before="0" w:after="283"/>
              <w:rPr>
                <w:rFonts w:ascii="Times New Roman;Times;Serif" w:hAnsi="Times New Roman;Times;Serif"/>
                <w:b/>
                <w:sz w:val="17"/>
              </w:rPr>
            </w:pPr>
            <w:r>
              <w:rPr>
                <w:rFonts w:ascii="Times New Roman;Times;Serif" w:hAnsi="Times New Roman;Times;Serif"/>
                <w:b/>
                <w:sz w:val="17"/>
              </w:rPr>
              <w:t xml:space="preserve">Financial Statements and Exhibits.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3700" w:type="dxa"/>
        <w:jc w:val="left"/>
        <w:tblInd w:w="0" w:type="dxa"/>
        <w:tblCellMar>
          <w:top w:w="0" w:type="dxa"/>
          <w:left w:w="0" w:type="dxa"/>
          <w:bottom w:w="0" w:type="dxa"/>
          <w:right w:w="0" w:type="dxa"/>
        </w:tblCellMar>
      </w:tblPr>
      <w:tblGrid>
        <w:gridCol w:w="950"/>
        <w:gridCol w:w="2750"/>
      </w:tblGrid>
      <w:tr>
        <w:trPr/>
        <w:tc>
          <w:tcPr>
            <w:tcW w:w="950" w:type="dxa"/>
            <w:tcBorders/>
            <w:shd w:fill="auto" w:val="clear"/>
            <w:vAlign w:val="center"/>
          </w:tcPr>
          <w:p>
            <w:pPr>
              <w:pStyle w:val="TableContents"/>
              <w:spacing w:before="0" w:after="283"/>
              <w:ind w:left="0" w:right="0" w:firstLine="90"/>
              <w:rPr>
                <w:rFonts w:ascii="Times New Roman;Times;Serif" w:hAnsi="Times New Roman;Times;Serif"/>
                <w:b/>
                <w:sz w:val="17"/>
                <w:u w:val="single"/>
              </w:rPr>
            </w:pPr>
            <w:r>
              <w:rPr>
                <w:rFonts w:ascii="Times New Roman;Times;Serif" w:hAnsi="Times New Roman;Times;Serif"/>
                <w:b/>
                <w:sz w:val="17"/>
                <w:u w:val="single"/>
              </w:rPr>
              <w:t>Exhibit No.</w:t>
            </w:r>
          </w:p>
        </w:tc>
        <w:tc>
          <w:tcPr>
            <w:tcW w:w="2750" w:type="dxa"/>
            <w:tcBorders/>
            <w:shd w:fill="auto" w:val="clear"/>
            <w:vAlign w:val="center"/>
          </w:tcPr>
          <w:p>
            <w:pPr>
              <w:pStyle w:val="TableContents"/>
              <w:spacing w:before="0" w:after="283"/>
              <w:rPr>
                <w:rFonts w:ascii="Times New Roman;Times;Serif" w:hAnsi="Times New Roman;Times;Serif"/>
                <w:b/>
                <w:sz w:val="17"/>
                <w:u w:val="single"/>
              </w:rPr>
            </w:pPr>
            <w:r>
              <w:rPr>
                <w:rFonts w:ascii="Times New Roman;Times;Serif" w:hAnsi="Times New Roman;Times;Serif"/>
                <w:b/>
                <w:sz w:val="17"/>
                <w:u w:val="single"/>
              </w:rPr>
              <w:t>Description</w:t>
            </w:r>
          </w:p>
        </w:tc>
      </w:tr>
      <w:tr>
        <w:trPr/>
        <w:tc>
          <w:tcPr>
            <w:tcW w:w="950" w:type="dxa"/>
            <w:tcBorders/>
            <w:shd w:fill="auto" w:val="clear"/>
            <w:vAlign w:val="center"/>
          </w:tcPr>
          <w:p>
            <w:pPr>
              <w:pStyle w:val="TableContents"/>
              <w:spacing w:before="0" w:after="283"/>
              <w:ind w:left="0" w:right="0" w:firstLine="90"/>
              <w:rPr/>
            </w:pPr>
            <w:hyperlink w:anchor="tv527215_ex99-1.htm">
              <w:r>
                <w:rPr>
                  <w:rStyle w:val="InternetLink"/>
                  <w:rFonts w:ascii="Times New Roman;Times;Serif" w:hAnsi="Times New Roman;Times;Serif"/>
                  <w:sz w:val="17"/>
                </w:rPr>
                <w:t>99.1</w:t>
              </w:r>
            </w:hyperlink>
          </w:p>
        </w:tc>
        <w:tc>
          <w:tcPr>
            <w:tcW w:w="2750" w:type="dxa"/>
            <w:tcBorders/>
            <w:shd w:fill="auto" w:val="clear"/>
            <w:vAlign w:val="center"/>
          </w:tcPr>
          <w:p>
            <w:pPr>
              <w:pStyle w:val="TableContents"/>
              <w:spacing w:before="0" w:after="283"/>
              <w:rPr/>
            </w:pPr>
            <w:hyperlink w:anchor="tv527215_ex99-1.htm">
              <w:r>
                <w:rPr>
                  <w:rStyle w:val="InternetLink"/>
                  <w:rFonts w:ascii="Times New Roman;Times;Serif" w:hAnsi="Times New Roman;Times;Serif"/>
                  <w:sz w:val="17"/>
                </w:rPr>
                <w:t>Press release issued on August 8, 2019.</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095" w:type="dxa"/>
        <w:jc w:val="left"/>
        <w:tblInd w:w="0" w:type="dxa"/>
        <w:tblCellMar>
          <w:top w:w="0" w:type="dxa"/>
          <w:left w:w="0" w:type="dxa"/>
          <w:bottom w:w="0" w:type="dxa"/>
          <w:right w:w="0" w:type="dxa"/>
        </w:tblCellMar>
      </w:tblPr>
      <w:tblGrid>
        <w:gridCol w:w="1670"/>
        <w:gridCol w:w="120"/>
        <w:gridCol w:w="120"/>
        <w:gridCol w:w="120"/>
        <w:gridCol w:w="320"/>
        <w:gridCol w:w="120"/>
        <w:gridCol w:w="1625"/>
      </w:tblGrid>
      <w:tr>
        <w:trPr/>
        <w:tc>
          <w:tcPr>
            <w:tcW w:w="167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2065" w:type="dxa"/>
            <w:gridSpan w:val="3"/>
            <w:tcBorders/>
            <w:shd w:fill="auto" w:val="clear"/>
            <w:vAlign w:val="center"/>
          </w:tcPr>
          <w:p>
            <w:pPr>
              <w:pStyle w:val="TableContents"/>
              <w:spacing w:before="0" w:after="283"/>
              <w:ind w:left="0" w:right="0" w:firstLine="60"/>
              <w:rPr>
                <w:rFonts w:ascii="Times New Roman;Times;Serif" w:hAnsi="Times New Roman;Times;Serif"/>
                <w:b/>
                <w:sz w:val="17"/>
              </w:rPr>
            </w:pPr>
            <w:r>
              <w:rPr>
                <w:rFonts w:ascii="Times New Roman;Times;Serif" w:hAnsi="Times New Roman;Times;Serif"/>
                <w:b/>
                <w:sz w:val="17"/>
              </w:rPr>
              <w:t>Marker Therapeutics, Inc.</w:t>
            </w:r>
          </w:p>
        </w:tc>
      </w:tr>
      <w:tr>
        <w:trPr/>
        <w:tc>
          <w:tcPr>
            <w:tcW w:w="1670" w:type="dxa"/>
            <w:tcBorders/>
            <w:shd w:fill="auto" w:val="clear"/>
            <w:vAlign w:val="center"/>
          </w:tcPr>
          <w:p>
            <w:pPr>
              <w:pStyle w:val="TableContents"/>
              <w:spacing w:before="0" w:after="283"/>
              <w:ind w:left="0" w:right="0" w:firstLine="60"/>
              <w:rPr/>
            </w:pPr>
            <w:r>
              <w:rPr/>
              <w:t> </w:t>
            </w:r>
          </w:p>
        </w:tc>
        <w:tc>
          <w:tcPr>
            <w:tcW w:w="240" w:type="dxa"/>
            <w:gridSpan w:val="2"/>
            <w:tcBorders/>
            <w:shd w:fill="auto" w:val="clear"/>
            <w:vAlign w:val="center"/>
          </w:tcPr>
          <w:p>
            <w:pPr>
              <w:pStyle w:val="TableContents"/>
              <w:spacing w:before="0" w:after="283"/>
              <w:ind w:left="0" w:right="0" w:firstLine="60"/>
              <w:rPr/>
            </w:pPr>
            <w:r>
              <w:rPr/>
              <w:t> </w:t>
            </w:r>
          </w:p>
        </w:tc>
        <w:tc>
          <w:tcPr>
            <w:tcW w:w="440" w:type="dxa"/>
            <w:gridSpan w:val="2"/>
            <w:tcBorders/>
            <w:shd w:fill="auto" w:val="clear"/>
            <w:vAlign w:val="center"/>
          </w:tcPr>
          <w:p>
            <w:pPr>
              <w:pStyle w:val="TableContents"/>
              <w:spacing w:before="0" w:after="283"/>
              <w:ind w:left="0" w:right="0" w:firstLine="60"/>
              <w:rPr/>
            </w:pPr>
            <w:r>
              <w:rPr/>
              <w:t> </w:t>
            </w:r>
          </w:p>
        </w:tc>
        <w:tc>
          <w:tcPr>
            <w:tcW w:w="1745" w:type="dxa"/>
            <w:gridSpan w:val="2"/>
            <w:tcBorders/>
            <w:shd w:fill="auto" w:val="clear"/>
            <w:vAlign w:val="center"/>
          </w:tcPr>
          <w:p>
            <w:pPr>
              <w:pStyle w:val="TableContents"/>
              <w:spacing w:before="0" w:after="283"/>
              <w:ind w:left="0" w:right="0" w:firstLine="60"/>
              <w:rPr/>
            </w:pPr>
            <w:r>
              <w:rPr/>
              <w:t> </w:t>
            </w:r>
          </w:p>
        </w:tc>
      </w:tr>
      <w:tr>
        <w:trPr/>
        <w:tc>
          <w:tcPr>
            <w:tcW w:w="1670" w:type="dxa"/>
            <w:tcBorders/>
            <w:shd w:fill="auto" w:val="cle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Dated: August 8, 2019</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320" w:type="dxa"/>
            <w:tcBorders/>
            <w:shd w:fill="auto" w:val="cle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By:</w:t>
            </w:r>
          </w:p>
        </w:tc>
        <w:tc>
          <w:tcPr>
            <w:tcW w:w="120" w:type="dxa"/>
            <w:tcBorders>
              <w:bottom w:val="single" w:sz="8" w:space="0" w:color="000000"/>
            </w:tcBorders>
            <w:shd w:fill="auto" w:val="clear"/>
            <w:tcMar>
              <w:bottom w:w="28" w:type="dxa"/>
            </w:tcMar>
            <w:vAlign w:val="center"/>
          </w:tcPr>
          <w:p>
            <w:pPr>
              <w:pStyle w:val="TableContents"/>
              <w:spacing w:before="0" w:after="283"/>
              <w:ind w:left="0" w:right="0" w:firstLine="60"/>
              <w:rPr/>
            </w:pPr>
            <w:r>
              <w:rPr/>
              <w:t> </w:t>
            </w:r>
          </w:p>
        </w:tc>
        <w:tc>
          <w:tcPr>
            <w:tcW w:w="1625" w:type="dxa"/>
            <w:tcBorders>
              <w:bottom w:val="single" w:sz="8" w:space="0" w:color="000000"/>
            </w:tcBorders>
            <w:shd w:fill="auto" w:val="clear"/>
            <w:tcMar>
              <w:bottom w:w="28" w:type="dxa"/>
            </w:tcM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/s/ Anthony Kim</w:t>
            </w:r>
          </w:p>
        </w:tc>
      </w:tr>
      <w:tr>
        <w:trPr/>
        <w:tc>
          <w:tcPr>
            <w:tcW w:w="167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3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625" w:type="dxa"/>
            <w:tcBorders/>
            <w:shd w:fill="auto" w:val="clear"/>
            <w:vAlign w:val="center"/>
          </w:tcPr>
          <w:p>
            <w:pPr>
              <w:pStyle w:val="TableContents"/>
              <w:spacing w:before="0" w:after="283"/>
              <w:ind w:left="0" w:right="0" w:firstLine="60"/>
              <w:rPr>
                <w:rFonts w:ascii="Times New Roman;Times;Serif" w:hAnsi="Times New Roman;Times;Serif"/>
                <w:sz w:val="17"/>
              </w:rPr>
            </w:pPr>
            <w:r>
              <w:rPr>
                <w:rFonts w:ascii="Times New Roman;Times;Serif" w:hAnsi="Times New Roman;Times;Serif"/>
                <w:sz w:val="17"/>
              </w:rPr>
              <w:t>Anthony Kim</w:t>
            </w:r>
          </w:p>
        </w:tc>
      </w:tr>
      <w:tr>
        <w:trPr/>
        <w:tc>
          <w:tcPr>
            <w:tcW w:w="167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320" w:type="dxa"/>
            <w:tcBorders/>
            <w:shd w:fill="auto" w:val="clear"/>
            <w:vAlign w:val="center"/>
          </w:tcPr>
          <w:p>
            <w:pPr>
              <w:pStyle w:val="TableContents"/>
              <w:spacing w:before="0" w:after="283"/>
              <w:ind w:left="0" w:right="0" w:firstLine="60"/>
              <w:rPr/>
            </w:pPr>
            <w:r>
              <w:rPr/>
              <w:t> </w:t>
            </w:r>
          </w:p>
        </w:tc>
        <w:tc>
          <w:tcPr>
            <w:tcW w:w="120" w:type="dxa"/>
            <w:tcBorders/>
            <w:shd w:fill="auto" w:val="clear"/>
            <w:vAlign w:val="center"/>
          </w:tcPr>
          <w:p>
            <w:pPr>
              <w:pStyle w:val="TableContents"/>
              <w:spacing w:before="0" w:after="283"/>
              <w:ind w:left="0" w:right="0" w:firstLine="60"/>
              <w:rPr/>
            </w:pPr>
            <w:r>
              <w:rPr/>
              <w:t> </w:t>
            </w:r>
          </w:p>
        </w:tc>
        <w:tc>
          <w:tcPr>
            <w:tcW w:w="1625" w:type="dxa"/>
            <w:tcBorders/>
            <w:shd w:fill="auto" w:val="clear"/>
            <w:vAlign w:val="center"/>
          </w:tcPr>
          <w:p>
            <w:pPr>
              <w:pStyle w:val="TableContents"/>
              <w:spacing w:before="0" w:after="283"/>
              <w:rPr>
                <w:rFonts w:ascii="Times New Roman;Times;Serif" w:hAnsi="Times New Roman;Times;Serif"/>
                <w:i/>
                <w:sz w:val="17"/>
              </w:rPr>
            </w:pPr>
            <w:r>
              <w:rPr>
                <w:rFonts w:ascii="Times New Roman;Times;Serif" w:hAnsi="Times New Roman;Times;Serif"/>
                <w:i/>
                <w:sz w:val="17"/>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rPr/>
      </w:pPr>
      <w:bookmarkStart w:id="2" w:name="tv527215_ex99-1.htm"/>
      <w:bookmarkStart w:id="3" w:name="kstv527215_ex991"/>
      <w:bookmarkEnd w:id="2"/>
      <w:bookmarkEnd w:id="3"/>
      <w:r>
        <w:rPr/>
        <w:t> </w:t>
      </w:r>
    </w:p>
    <w:p>
      <w:pPr>
        <w:pStyle w:val="TextBody"/>
        <w:jc w:val="right"/>
        <w:rPr>
          <w:b/>
        </w:rPr>
      </w:pPr>
      <w:r>
        <w:rPr>
          <w:b/>
        </w:rPr>
        <w:t>Exhibit 99.1</w:t>
      </w:r>
    </w:p>
    <w:p>
      <w:pPr>
        <w:pStyle w:val="TextBody"/>
        <w:jc w:val="right"/>
        <w:rPr/>
      </w:pPr>
      <w:r>
        <w:rPr/>
        <w:t> </w:t>
      </w:r>
    </w:p>
    <w:p>
      <w:pPr>
        <w:pStyle w:val="TextBody"/>
        <w:spacing w:before="0" w:after="0"/>
        <w:ind w:left="0" w:right="0" w:hanging="0"/>
        <w:rPr>
          <w:caps w:val="false"/>
          <w:smallCaps w:val="false"/>
          <w:color w:val="FF0000"/>
        </w:rPr>
      </w:pPr>
      <w:r>
        <w:rPr>
          <w:caps w:val="false"/>
          <w:smallCaps w:val="false"/>
          <w:color w:val="FF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caps w:val="false"/>
          <w:smallCaps w:val="false"/>
        </w:rPr>
        <w:drawing>
          <wp:inline distT="0" distB="0" distL="0" distR="0">
            <wp:extent cx="23050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5715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Marker Therapeutics Reports Second Quarter 2019 Operating and Financial Results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i w:val="false"/>
          <w:caps w:val="false"/>
          <w:smallCaps w:val="false"/>
          <w:sz w:val="20"/>
          <w:highlight w:val="white"/>
        </w:rPr>
        <w:t>Houston, TX—August 8, 2019—</w:t>
      </w:r>
      <w:r>
        <w:rPr>
          <w:rFonts w:ascii="Times New Roman;Times;Serif" w:hAnsi="Times New Roman;Times;Serif"/>
          <w:b w:val="false"/>
          <w:i w:val="false"/>
          <w:caps w:val="false"/>
          <w:smallCaps w:val="false"/>
          <w:sz w:val="20"/>
          <w:highlight w:val="white"/>
        </w:rPr>
        <w:t>Marker Therapeutics, Inc. (Nasdaq:MRKR), a clinical-stage immuno-oncology company specializing in the development of next-generation T cell-based immunotherapies for the treatment of hematological malignancies and solid tumor indications, today provided a corporate update and reported financial results for the second quarter ended June 30, 2019.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highlight w:val="white"/>
        </w:rPr>
        <w:t>“</w:t>
      </w:r>
      <w:r>
        <w:rPr>
          <w:rFonts w:ascii="Times New Roman;Times;Serif" w:hAnsi="Times New Roman;Times;Serif"/>
          <w:b w:val="false"/>
          <w:i w:val="false"/>
          <w:caps w:val="false"/>
          <w:smallCaps w:val="false"/>
          <w:sz w:val="20"/>
          <w:highlight w:val="white"/>
        </w:rPr>
        <w:t xml:space="preserve">We are encouraged by the data generated to date with our MultiTAA T cell therapies—particularly in pancreatic cancer—a disease that has not seen meaningful improvements in treatment outcomes in more than 40 years,” said Peter L. Hoang, President &amp; CEO of Marker Therapeutics. “These data suggest that our therapy—which targets multiple antigens—continues to demonstrate epitope spreading, potentially contributing to the </w:t>
      </w:r>
      <w:r>
        <w:rPr>
          <w:rFonts w:ascii="Times New Roman;Times;Serif" w:hAnsi="Times New Roman;Times;Serif"/>
          <w:b w:val="false"/>
          <w:i w:val="false"/>
          <w:caps w:val="false"/>
          <w:smallCaps w:val="false"/>
          <w:sz w:val="20"/>
        </w:rPr>
        <w:t xml:space="preserve">T cells’ ability to expand and produce a lasting anti-tumor effect, with no added toxicities. We will continue to </w:t>
      </w:r>
      <w:r>
        <w:rPr>
          <w:rFonts w:ascii="Times New Roman;Times;Serif" w:hAnsi="Times New Roman;Times;Serif"/>
          <w:b w:val="false"/>
          <w:i w:val="false"/>
          <w:caps w:val="false"/>
          <w:smallCaps w:val="false"/>
          <w:sz w:val="20"/>
          <w:highlight w:val="white"/>
        </w:rPr>
        <w:t xml:space="preserve">follow these patients and enroll new patients to further evaluate durability.”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Continued Mr. Hoang: “Encouraged by results from our investigator-sponsored trials, we are now looking forward to initiating our first Marker-sponsored trial with MultiTAA T cell therapies in patients with post-transplant acute myeloid leukemia, and look forward to continuing our discussions with the FDA regarding our Phase 2 trial.”</w:t>
      </w:r>
    </w:p>
    <w:p>
      <w:pPr>
        <w:pStyle w:val="TextBody"/>
        <w:spacing w:before="0" w:after="0"/>
        <w:ind w:left="0" w:right="0" w:hanging="0"/>
        <w:jc w:val="both"/>
        <w:rPr>
          <w:caps w:val="false"/>
          <w:smallCaps w:val="false"/>
          <w:color w:val="FF0000"/>
        </w:rPr>
      </w:pPr>
      <w:r>
        <w:rPr>
          <w:caps w:val="false"/>
          <w:smallCaps w:val="false"/>
          <w:color w:val="FF0000"/>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PROGRAM HIGHLIGHTS AND CURRENT UPDATES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u w:val="single"/>
        </w:rPr>
      </w:pPr>
      <w:r>
        <w:rPr>
          <w:rFonts w:ascii="Times New Roman;Times;Serif" w:hAnsi="Times New Roman;Times;Serif"/>
          <w:b/>
          <w:i w:val="false"/>
          <w:caps w:val="false"/>
          <w:smallCaps w:val="false"/>
          <w:sz w:val="20"/>
          <w:highlight w:val="white"/>
          <w:u w:val="single"/>
        </w:rPr>
        <w:t>Multi-Antigen Targeted (MultiTAA) T Cell Therapies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 xml:space="preserve">Encouraging Interim Pancreatic Cancer Data Reported at AACR Meeting in July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Marker recently reported interim data from an ongoing investigator-sponsored Phase 1/2 clinical trial led by Baylor College of Medicine (BCM), evaluating the Company’s MultiTAA T cell therapy in patients with pancreatic adenocarcinoma. Investigators plan to enroll a total of 45 patients with advanced or borderline resectable pancreatic cancer in the three-arm trial and a total of 19 patients had received infusions of MultiTAA T cell therapy as of July 5, 2019. The results from these patients—which were reviewed in an oral presentation during a plenary session at AACR’s Cell Therapy meeting in July—suggested that MultiTAA T cell therapy may contribute to more durable responses without added toxicity when used in combination with standard-of-care chemotherapy, or as a second-line therapy for patients who are chemo-refractory. Additionally, in patients with borderline surgically resectable disease—a challenging setting due to the associated dense fibrotic tissue—interim data suggest that MultiTAA T cells are capable of meaningfully infiltrating the tumor. Marker plans to follow these patients and enroll new patients to further evaluate durability.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Marker Preparing for Company-Sponsored Phase 2 Clinical Trial in AML</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multicenter trial will evaluate clinical efficacy of Marker’s MultiTAA T cell therapy in patients with AML in both the adjuvant and active disease setting following an allogeneic hematopoietic stem cell transplant (HSCT). The dose in the Phase 2 trial is expected to be the maximum tolerated dose currently determined in the BCM-sponsored Phase 1 trial. In the adjuvant setting, patients will be randomized to either MultiTAA T cell therapy at approximately 90 days post-transplant or standard of care observation, while the active disease patients will receive MultiTAA T cells upon relapse as part of a single-arm group.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u w:val="single"/>
        </w:rPr>
      </w:pPr>
      <w:r>
        <w:rPr>
          <w:rFonts w:ascii="Times New Roman;Times;Serif" w:hAnsi="Times New Roman;Times;Serif"/>
          <w:b/>
          <w:i w:val="false"/>
          <w:caps w:val="false"/>
          <w:smallCaps w:val="false"/>
          <w:sz w:val="20"/>
          <w:highlight w:val="white"/>
          <w:u w:val="single"/>
        </w:rPr>
        <w:t xml:space="preserve">T Cell-Based Vaccines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Company continues to advance its T cell-based vaccine programs in ovarian cancer and triple negative breast cancer.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 xml:space="preserve">Phase 2 Ovarian Cancer Clinical Trial Highlights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highlight w:val="white"/>
              </w:rPr>
            </w:pPr>
            <w:r>
              <w:rPr>
                <w:highlight w:val="white"/>
              </w:rPr>
              <w:t>TPIV200 is being studied as a maintenance therapy for patients in their first remission after surgery and platinum-based chemotherapy.</w:t>
            </w:r>
          </w:p>
        </w:tc>
      </w:tr>
    </w:tbl>
    <w:tbl>
      <w:tblPr>
        <w:tblW w:w="5000" w:type="pct"/>
        <w:jc w:val="left"/>
        <w:tblInd w:w="0" w:type="dxa"/>
        <w:tblCellMar>
          <w:top w:w="0" w:type="dxa"/>
          <w:left w:w="0" w:type="dxa"/>
          <w:bottom w:w="0" w:type="dxa"/>
          <w:right w:w="0" w:type="dxa"/>
        </w:tblCellMar>
      </w:tblPr>
      <w:tblGrid>
        <w:gridCol w:w="43"/>
        <w:gridCol w:w="144"/>
        <w:gridCol w:w="10018"/>
      </w:tblGrid>
      <w:tr>
        <w:trPr/>
        <w:tc>
          <w:tcPr>
            <w:tcW w:w="4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rFonts w:ascii="Symbol" w:hAnsi="Symbol"/>
              </w:rPr>
            </w:pPr>
            <w:r>
              <w:rPr>
                <w:rFonts w:ascii="Symbol" w:hAnsi="Symbol"/>
              </w:rPr>
              <w:t>·</w:t>
            </w:r>
          </w:p>
        </w:tc>
        <w:tc>
          <w:tcPr>
            <w:tcW w:w="10018" w:type="dxa"/>
            <w:tcBorders/>
            <w:shd w:fill="auto" w:val="clear"/>
            <w:vAlign w:val="center"/>
          </w:tcPr>
          <w:p>
            <w:pPr>
              <w:pStyle w:val="TableContents"/>
              <w:spacing w:before="0" w:after="283"/>
              <w:jc w:val="both"/>
              <w:rPr>
                <w:highlight w:val="white"/>
              </w:rPr>
            </w:pPr>
            <w:r>
              <w:rPr>
                <w:highlight w:val="white"/>
              </w:rPr>
              <w:t>Trial is fully enrolled, with a total of 120 patients randomized and treated at 17 clinical sites.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highlight w:val="white"/>
              </w:rPr>
            </w:pPr>
            <w:r>
              <w:rPr>
                <w:highlight w:val="white"/>
              </w:rPr>
              <w:t>Company expects to reach planned interim analysis trigger of 55 patients who have progressed before the end of 2019 and to report results of this interim analysis in the fourth quarter of 2019.</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 xml:space="preserve">Phase 2 Triple Negative Breast Cancer Trial Highlights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highlight w:val="white"/>
              </w:rPr>
            </w:pPr>
            <w:r>
              <w:rPr>
                <w:highlight w:val="white"/>
              </w:rPr>
              <w:t>Based on preliminary analysis of 34 patients evaluated to date in the dose-finding, four-arm trial—including low and high-dose TPIV200 with or without cyclophosphamide—31 showed meaningful immune response to the vaccine treatment (subject to final review by independent biostatistical analysis).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highlight w:val="white"/>
              </w:rPr>
            </w:pPr>
            <w:r>
              <w:rPr>
                <w:highlight w:val="white"/>
              </w:rPr>
              <w:t>Of 80 patients treated at 11 clinical sites, 14 have shown disease progression, as of June 30, 2019, following treatment with TPIV200.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CORPORATE UPDATE</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rPr/>
            </w:pPr>
            <w:r>
              <w:rPr/>
              <w:t>On August 6, Steve Elms was appointed to Marker’s Board of Directors. Mr. Elms currently serves as Managing Partner at Aisling Capital.</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SECOND QUARTER 2019 FINANCIAL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Net loss for the quarter ended June 30, 2019 was $5.6 million, compared to a net loss of $4.8 million for the quarter ended June 30, 2018.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Research and development expenses were $3.2 million for the quarter ended June 30, 2019, an increase of $1.4 million, compared to $1.8 million for the quarter ended June 30, 2018. The increase was primarily attributable to increases in personnel-related expenses, including stock-based compensation expenses and consulting expenses, relating to the build-up of Marker’s internal infrastructure as the Company advances the clinical development of its MultiTAA T cell product candidates.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General and administrative expenses were $2.7 million for the quarter ended June 30, 2019, a decrease of $0.4 million, compared to $3.1 million for the quarter ended June 30, 2018. The decrease was primarily attributable to $1.2 million of merger-related expenses incurred during the three months ended June 30, 2018, offset by increased expenses relating to $0.3 million of headcount-related expenses, $0.4 million of non-merger-related legal and other professional expenses and $0.1 million of office-related and insurance expenses.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CASH POSITION AND GUIDANCE</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At June 30, 2019, Marker had cash and cash equivalents of $53.4 million. The Company believes that its existing cash and cash equivalents will fund the Company’s current operations into late 2020.</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About Marker Therapeutics, Inc.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2 clinical trials.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To receive future press releases via email, please visit: https://markertherapeutics.com/email-alerts/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Forward-Looking Statement Disclaimer</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and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322"/>
        <w:gridCol w:w="60"/>
        <w:gridCol w:w="125"/>
        <w:gridCol w:w="1115"/>
        <w:gridCol w:w="80"/>
        <w:gridCol w:w="60"/>
        <w:gridCol w:w="125"/>
        <w:gridCol w:w="1115"/>
        <w:gridCol w:w="203"/>
      </w:tblGrid>
      <w:tr>
        <w:trPr/>
        <w:tc>
          <w:tcPr>
            <w:tcW w:w="732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r>
      <w:tr>
        <w:trPr/>
        <w:tc>
          <w:tcPr>
            <w:tcW w:w="732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20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32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w:t>
            </w:r>
          </w:p>
        </w:tc>
        <w:tc>
          <w:tcPr>
            <w:tcW w:w="203" w:type="dxa"/>
            <w:tcBorders/>
            <w:shd w:fill="auto" w:val="clear"/>
            <w:vAlign w:val="center"/>
          </w:tcPr>
          <w:p>
            <w:pPr>
              <w:pStyle w:val="TableContents"/>
              <w:spacing w:before="0" w:after="283"/>
              <w:ind w:left="0" w:right="0" w:firstLine="108"/>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53,444,906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61,746,748</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deposits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491,467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141,717</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98,154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108,177</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54,034,527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61,996,642</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413,239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147,668</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547,455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960,694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147,668</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54,995,221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62,144,310</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2,946,782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2,754,572</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194,482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49,000</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3,206,264</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2,803,572</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net of current portion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385,169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385,169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3,591,433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2,803,572</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1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ind w:left="0" w:right="0" w:firstLine="108"/>
              <w:jc w:val="left"/>
              <w:rPr/>
            </w:pPr>
            <w:r>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 $0.001 par value, 5 million shares authorized and 0 shares issued and outstanding at June 30, 2019 and December 31, 2018, respectively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150 million shares authorized, 45.5 million and 45.4 million shares issued and outstanding as of June 30, 2019 and December 31, 2018, respectively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45,513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45,440</w:t>
            </w:r>
          </w:p>
        </w:tc>
        <w:tc>
          <w:tcPr>
            <w:tcW w:w="203" w:type="dxa"/>
            <w:tcBorders/>
            <w:shd w:fill="CCEE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368,353,041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365,400,748</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(316,994,766</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(306,105,450</w:t>
            </w:r>
          </w:p>
        </w:tc>
        <w:tc>
          <w:tcPr>
            <w:tcW w:w="203" w:type="dxa"/>
            <w:tcBorders/>
            <w:shd w:fill="CCEEFF" w:val="clear"/>
            <w:vAlign w:val="center"/>
          </w:tcPr>
          <w:p>
            <w:pPr>
              <w:pStyle w:val="TableContents"/>
              <w:spacing w:before="0" w:after="283"/>
              <w:ind w:left="0" w:right="0" w:firstLine="1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51,403,788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59,340,738</w:t>
            </w:r>
          </w:p>
        </w:tc>
        <w:tc>
          <w:tcPr>
            <w:tcW w:w="203" w:type="dxa"/>
            <w:tcBorders/>
            <w:shd w:fill="FFFFFF" w:val="clear"/>
            <w:vAlign w:val="center"/>
          </w:tcPr>
          <w:p>
            <w:pPr>
              <w:pStyle w:val="TableContents"/>
              <w:spacing w:before="0" w:after="283"/>
              <w:ind w:left="0" w:right="0" w:firstLine="108"/>
              <w:jc w:val="left"/>
              <w:rPr>
                <w:caps w:val="false"/>
                <w:smallCaps w:val="false"/>
              </w:rPr>
            </w:pPr>
            <w:r>
              <w:rPr>
                <w:caps w:val="false"/>
                <w:smallCaps w:val="false"/>
              </w:rPr>
              <w:t> </w:t>
            </w:r>
          </w:p>
        </w:tc>
      </w:tr>
      <w:tr>
        <w:trPr/>
        <w:tc>
          <w:tcPr>
            <w:tcW w:w="732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1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ind w:left="0" w:right="0" w:firstLine="108"/>
              <w:jc w:val="left"/>
              <w:rPr/>
            </w:pPr>
            <w:r>
              <w:rPr/>
              <w:t> </w:t>
            </w:r>
          </w:p>
        </w:tc>
      </w:tr>
      <w:tr>
        <w:trPr/>
        <w:tc>
          <w:tcPr>
            <w:tcW w:w="7322"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54,995,221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62,144,310</w:t>
            </w:r>
          </w:p>
        </w:tc>
        <w:tc>
          <w:tcPr>
            <w:tcW w:w="203"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tbl>
      <w:tblPr>
        <w:tblW w:w="8786" w:type="dxa"/>
        <w:jc w:val="left"/>
        <w:tblInd w:w="0" w:type="dxa"/>
        <w:tblCellMar>
          <w:top w:w="0" w:type="dxa"/>
          <w:left w:w="0" w:type="dxa"/>
          <w:bottom w:w="0" w:type="dxa"/>
          <w:right w:w="0" w:type="dxa"/>
        </w:tblCellMar>
      </w:tblPr>
      <w:tblGrid>
        <w:gridCol w:w="4040"/>
        <w:gridCol w:w="60"/>
        <w:gridCol w:w="114"/>
        <w:gridCol w:w="864"/>
        <w:gridCol w:w="83"/>
        <w:gridCol w:w="62"/>
        <w:gridCol w:w="114"/>
        <w:gridCol w:w="864"/>
        <w:gridCol w:w="80"/>
        <w:gridCol w:w="60"/>
        <w:gridCol w:w="110"/>
        <w:gridCol w:w="890"/>
        <w:gridCol w:w="80"/>
        <w:gridCol w:w="60"/>
        <w:gridCol w:w="110"/>
        <w:gridCol w:w="830"/>
        <w:gridCol w:w="365"/>
      </w:tblGrid>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1" w:type="dxa"/>
            <w:gridSpan w:val="6"/>
            <w:tcBorders/>
            <w:shd w:fill="auto" w:val="clear"/>
            <w:vAlign w:val="center"/>
          </w:tcPr>
          <w:p>
            <w:pPr>
              <w:pStyle w:val="TableContents"/>
              <w:spacing w:before="0" w:after="283"/>
              <w:jc w:val="center"/>
              <w:rPr>
                <w:b/>
                <w:sz w:val="17"/>
              </w:rPr>
            </w:pPr>
            <w:r>
              <w:rPr>
                <w:b/>
                <w:sz w:val="17"/>
              </w:rPr>
              <w:t>For the Three Months Ended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0" w:type="dxa"/>
            <w:gridSpan w:val="6"/>
            <w:tcBorders/>
            <w:shd w:fill="auto" w:val="clear"/>
            <w:vAlign w:val="center"/>
          </w:tcPr>
          <w:p>
            <w:pPr>
              <w:pStyle w:val="TableContents"/>
              <w:spacing w:before="0" w:after="283"/>
              <w:jc w:val="center"/>
              <w:rPr>
                <w:b/>
                <w:sz w:val="17"/>
              </w:rPr>
            </w:pPr>
            <w:r>
              <w:rPr>
                <w:b/>
                <w:sz w:val="17"/>
              </w:rPr>
              <w:t>For the Six Months Ended</w:t>
            </w:r>
          </w:p>
        </w:tc>
        <w:tc>
          <w:tcPr>
            <w:tcW w:w="365"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1"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365" w:type="dxa"/>
            <w:tcBorders/>
            <w:shd w:fill="auto" w:val="clear"/>
            <w:vAlign w:val="center"/>
          </w:tcPr>
          <w:p>
            <w:pPr>
              <w:pStyle w:val="TableContents"/>
              <w:spacing w:before="0" w:after="283"/>
              <w:rPr/>
            </w:pPr>
            <w:r>
              <w:rPr/>
              <w:t> </w:t>
            </w:r>
          </w:p>
        </w:tc>
      </w:tr>
      <w:tr>
        <w:trPr/>
        <w:tc>
          <w:tcPr>
            <w:tcW w:w="4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8"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3"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78"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365" w:type="dxa"/>
            <w:tcBorders/>
            <w:shd w:fill="auto" w:val="clear"/>
            <w:vAlign w:val="center"/>
          </w:tcPr>
          <w:p>
            <w:pPr>
              <w:pStyle w:val="TableContents"/>
              <w:spacing w:before="0" w:after="283"/>
              <w:rPr/>
            </w:pPr>
            <w:r>
              <w:rPr/>
              <w:t> </w:t>
            </w:r>
          </w:p>
        </w:tc>
      </w:tr>
      <w:tr>
        <w:trPr/>
        <w:tc>
          <w:tcPr>
            <w:tcW w:w="4040" w:type="dxa"/>
            <w:tcBorders/>
            <w:shd w:fill="CCEEFF" w:val="clear"/>
            <w:vAlign w:val="center"/>
          </w:tcPr>
          <w:p>
            <w:pPr>
              <w:pStyle w:val="TableContents"/>
              <w:spacing w:before="0" w:after="283"/>
              <w:rPr>
                <w:b/>
                <w:sz w:val="17"/>
              </w:rPr>
            </w:pPr>
            <w:r>
              <w:rPr>
                <w:b/>
                <w:sz w:val="17"/>
              </w:rPr>
              <w:t>Revenues:</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365"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Grant income</w:t>
            </w:r>
          </w:p>
        </w:tc>
        <w:tc>
          <w:tcPr>
            <w:tcW w:w="60"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205,994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205,994</w:t>
            </w:r>
          </w:p>
        </w:tc>
        <w:tc>
          <w:tcPr>
            <w:tcW w:w="365" w:type="dxa"/>
            <w:tcBorders/>
            <w:shd w:fill="FFFFFF" w:val="clear"/>
            <w:vAlign w:val="center"/>
          </w:tcPr>
          <w:p>
            <w:pPr>
              <w:pStyle w:val="TableContents"/>
              <w:spacing w:before="0" w:after="283"/>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Total revenues</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205,994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205,994</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b/>
                <w:sz w:val="17"/>
              </w:rPr>
            </w:pPr>
            <w:r>
              <w:rPr>
                <w:b/>
                <w:sz w:val="17"/>
              </w:rPr>
              <w:t>Operating expenses: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pPr>
            <w:r>
              <w:rPr/>
              <w:t> </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pPr>
            <w:r>
              <w:rPr/>
              <w:t> </w:t>
            </w:r>
          </w:p>
        </w:tc>
        <w:tc>
          <w:tcPr>
            <w:tcW w:w="365" w:type="dxa"/>
            <w:tcBorders/>
            <w:shd w:fill="FFFFFF" w:val="clear"/>
            <w:vAlign w:val="center"/>
          </w:tcPr>
          <w:p>
            <w:pPr>
              <w:pStyle w:val="TableContents"/>
              <w:spacing w:before="0" w:after="283"/>
              <w:ind w:left="0" w:right="0" w:firstLine="270"/>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Research and development</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sz w:val="17"/>
              </w:rPr>
            </w:pPr>
            <w:r>
              <w:rPr>
                <w:sz w:val="17"/>
              </w:rPr>
              <w:t>3,152,445</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sz w:val="17"/>
              </w:rPr>
            </w:pPr>
            <w:r>
              <w:rPr>
                <w:sz w:val="17"/>
              </w:rPr>
              <w:t>1,826,837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5,985,140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7"/>
              </w:rPr>
            </w:pPr>
            <w:r>
              <w:rPr>
                <w:sz w:val="17"/>
              </w:rPr>
              <w:t>3,426,387</w:t>
            </w:r>
          </w:p>
        </w:tc>
        <w:tc>
          <w:tcPr>
            <w:tcW w:w="365"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General and administrative</w:t>
            </w:r>
          </w:p>
        </w:tc>
        <w:tc>
          <w:tcPr>
            <w:tcW w:w="60"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2,721,120</w:t>
            </w:r>
          </w:p>
        </w:tc>
        <w:tc>
          <w:tcPr>
            <w:tcW w:w="83"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14"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3,052,954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5,526,895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4,650,890</w:t>
            </w:r>
          </w:p>
        </w:tc>
        <w:tc>
          <w:tcPr>
            <w:tcW w:w="365" w:type="dxa"/>
            <w:tcBorders/>
            <w:shd w:fill="FFFFFF" w:val="clear"/>
            <w:vAlign w:val="center"/>
          </w:tcPr>
          <w:p>
            <w:pPr>
              <w:pStyle w:val="TableContents"/>
              <w:spacing w:before="0" w:after="283"/>
              <w:jc w:val="left"/>
              <w:rPr/>
            </w:pPr>
            <w:r>
              <w:rPr/>
              <w:t> </w:t>
            </w:r>
          </w:p>
        </w:tc>
      </w:tr>
      <w:tr>
        <w:trPr/>
        <w:tc>
          <w:tcPr>
            <w:tcW w:w="4040" w:type="dxa"/>
            <w:tcBorders/>
            <w:shd w:fill="CCEEFF" w:val="clear"/>
            <w:vAlign w:val="center"/>
          </w:tcPr>
          <w:p>
            <w:pPr>
              <w:pStyle w:val="TableContents"/>
              <w:spacing w:before="0" w:after="283"/>
              <w:jc w:val="left"/>
              <w:rPr>
                <w:sz w:val="17"/>
              </w:rPr>
            </w:pPr>
            <w:r>
              <w:rPr>
                <w:sz w:val="17"/>
              </w:rPr>
              <w:t>Total operating expenses</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5,873,565</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4,879,791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11,512,035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8,077,277</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Loss from operations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(5,873,565</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(4,673,797</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(11,512,035</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(7,871,283</w:t>
            </w:r>
          </w:p>
        </w:tc>
        <w:tc>
          <w:tcPr>
            <w:tcW w:w="365"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jc w:val="left"/>
              <w:rPr>
                <w:b/>
                <w:sz w:val="17"/>
              </w:rPr>
            </w:pPr>
            <w:r>
              <w:rPr>
                <w:b/>
                <w:sz w:val="17"/>
              </w:rPr>
              <w:t>Other income (expense):</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365" w:type="dxa"/>
            <w:tcBorders/>
            <w:shd w:fill="CCEEFF" w:val="clear"/>
            <w:vAlign w:val="center"/>
          </w:tcPr>
          <w:p>
            <w:pPr>
              <w:pStyle w:val="TableContents"/>
              <w:spacing w:before="0" w:after="283"/>
              <w:ind w:left="0" w:right="0" w:firstLine="270"/>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Change in fair value of warrant liabilities</w:t>
            </w:r>
          </w:p>
        </w:tc>
        <w:tc>
          <w:tcPr>
            <w:tcW w:w="60"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(7,000</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shd w:fill="FFFFFF" w:val="clear"/>
            <w:vAlign w:val="center"/>
          </w:tcPr>
          <w:p>
            <w:pPr>
              <w:pStyle w:val="TableContents"/>
              <w:spacing w:before="0" w:after="283"/>
              <w:jc w:val="left"/>
              <w:rPr/>
            </w:pPr>
            <w:r>
              <w:rPr/>
              <w:t> </w:t>
            </w:r>
          </w:p>
        </w:tc>
        <w:tc>
          <w:tcPr>
            <w:tcW w:w="864" w:type="dxa"/>
            <w:tcBorders/>
            <w:shd w:fill="FFFFFF" w:val="clear"/>
            <w:vAlign w:val="center"/>
          </w:tcPr>
          <w:p>
            <w:pPr>
              <w:pStyle w:val="TableContents"/>
              <w:spacing w:before="0" w:after="283"/>
              <w:jc w:val="right"/>
              <w:rPr>
                <w:sz w:val="17"/>
              </w:rPr>
            </w:pPr>
            <w:r>
              <w:rPr>
                <w:sz w:val="17"/>
              </w:rPr>
              <w:t>(139,000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(16,000</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7"/>
              </w:rPr>
            </w:pPr>
            <w:r>
              <w:rPr>
                <w:sz w:val="17"/>
              </w:rPr>
              <w:t>(138,000</w:t>
            </w:r>
          </w:p>
        </w:tc>
        <w:tc>
          <w:tcPr>
            <w:tcW w:w="365" w:type="dxa"/>
            <w:tcBorders/>
            <w:shd w:fill="FFFFFF" w:val="clear"/>
            <w:vAlign w:val="center"/>
          </w:tcPr>
          <w:p>
            <w:pPr>
              <w:pStyle w:val="TableContents"/>
              <w:spacing w:before="0" w:after="283"/>
              <w:ind w:left="0" w:right="0" w:firstLine="270"/>
              <w:jc w:val="left"/>
              <w:rPr>
                <w:sz w:val="17"/>
              </w:rPr>
            </w:pPr>
            <w:r>
              <w:rPr>
                <w:sz w:val="17"/>
              </w:rPr>
              <w:t>)</w:t>
            </w:r>
          </w:p>
        </w:tc>
      </w:tr>
      <w:tr>
        <w:trPr/>
        <w:tc>
          <w:tcPr>
            <w:tcW w:w="4040" w:type="dxa"/>
            <w:tcBorders/>
            <w:shd w:fill="CCEEFF" w:val="clear"/>
            <w:vAlign w:val="center"/>
          </w:tcPr>
          <w:p>
            <w:pPr>
              <w:pStyle w:val="TableContents"/>
              <w:spacing w:before="0" w:after="283"/>
              <w:jc w:val="left"/>
              <w:rPr>
                <w:sz w:val="17"/>
              </w:rPr>
            </w:pPr>
            <w:r>
              <w:rPr>
                <w:sz w:val="17"/>
              </w:rPr>
              <w:t>Interest income</w:t>
            </w:r>
          </w:p>
        </w:tc>
        <w:tc>
          <w:tcPr>
            <w:tcW w:w="60"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310,174</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638,719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b/>
                <w:sz w:val="17"/>
              </w:rPr>
            </w:pPr>
            <w:r>
              <w:rPr>
                <w:b/>
                <w:sz w:val="17"/>
              </w:rPr>
              <w:t>Net loss</w:t>
            </w:r>
          </w:p>
        </w:tc>
        <w:tc>
          <w:tcPr>
            <w:tcW w:w="60"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(5,570,391</w:t>
            </w:r>
          </w:p>
        </w:tc>
        <w:tc>
          <w:tcPr>
            <w:tcW w:w="83" w:type="dxa"/>
            <w:tcBorders/>
            <w:shd w:fill="FFFFFF" w:val="clear"/>
            <w:vAlign w:val="center"/>
          </w:tcPr>
          <w:p>
            <w:pPr>
              <w:pStyle w:val="TableContents"/>
              <w:spacing w:before="0" w:after="283"/>
              <w:jc w:val="left"/>
              <w:rPr>
                <w:b/>
                <w:sz w:val="17"/>
              </w:rPr>
            </w:pPr>
            <w:r>
              <w:rPr>
                <w:b/>
                <w:sz w:val="17"/>
              </w:rPr>
              <w:t>)</w:t>
            </w:r>
          </w:p>
        </w:tc>
        <w:tc>
          <w:tcPr>
            <w:tcW w:w="62"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(4,812,797</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9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(10,889,316</w:t>
            </w:r>
          </w:p>
        </w:tc>
        <w:tc>
          <w:tcPr>
            <w:tcW w:w="80" w:type="dxa"/>
            <w:tcBorders/>
            <w:shd w:fill="FFFFFF" w:val="clear"/>
            <w:vAlign w:val="center"/>
          </w:tcPr>
          <w:p>
            <w:pPr>
              <w:pStyle w:val="TableContents"/>
              <w:spacing w:before="0" w:after="283"/>
              <w:jc w:val="left"/>
              <w:rPr>
                <w:b/>
                <w:sz w:val="17"/>
              </w:rPr>
            </w:pPr>
            <w:r>
              <w:rPr>
                <w:b/>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b/>
                <w:sz w:val="17"/>
              </w:rPr>
            </w:pPr>
            <w:r>
              <w:rPr>
                <w:b/>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b/>
                <w:sz w:val="17"/>
              </w:rPr>
            </w:pPr>
            <w:r>
              <w:rPr>
                <w:b/>
                <w:sz w:val="17"/>
              </w:rPr>
              <w:t>(8,009,283</w:t>
            </w:r>
          </w:p>
        </w:tc>
        <w:tc>
          <w:tcPr>
            <w:tcW w:w="365" w:type="dxa"/>
            <w:tcBorders/>
            <w:shd w:fill="FFFFFF" w:val="clear"/>
            <w:vAlign w:val="center"/>
          </w:tcPr>
          <w:p>
            <w:pPr>
              <w:pStyle w:val="TableContents"/>
              <w:spacing w:before="0" w:after="283"/>
              <w:jc w:val="left"/>
              <w:rPr>
                <w:b/>
                <w:sz w:val="17"/>
              </w:rPr>
            </w:pPr>
            <w:r>
              <w:rPr>
                <w:b/>
                <w:sz w:val="17"/>
              </w:rPr>
              <w:t>)</w:t>
            </w:r>
          </w:p>
        </w:tc>
      </w:tr>
      <w:tr>
        <w:trPr/>
        <w:tc>
          <w:tcPr>
            <w:tcW w:w="40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shd w:fill="CCEEFF" w:val="clear"/>
            <w:vAlign w:val="center"/>
          </w:tcPr>
          <w:p>
            <w:pPr>
              <w:pStyle w:val="TableContents"/>
              <w:spacing w:before="0" w:after="283"/>
              <w:jc w:val="left"/>
              <w:rPr/>
            </w:pPr>
            <w:r>
              <w:rPr/>
              <w:t> </w:t>
            </w:r>
          </w:p>
        </w:tc>
        <w:tc>
          <w:tcPr>
            <w:tcW w:w="86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pPr>
            <w:r>
              <w:rPr/>
              <w:t> </w:t>
            </w:r>
          </w:p>
        </w:tc>
        <w:tc>
          <w:tcPr>
            <w:tcW w:w="365" w:type="dxa"/>
            <w:tcBorders/>
            <w:shd w:fill="CCEEFF" w:val="clear"/>
            <w:vAlign w:val="center"/>
          </w:tcPr>
          <w:p>
            <w:pPr>
              <w:pStyle w:val="TableContents"/>
              <w:spacing w:before="0" w:after="283"/>
              <w:jc w:val="left"/>
              <w:rPr/>
            </w:pPr>
            <w:r>
              <w:rPr/>
              <w:t> </w:t>
            </w:r>
          </w:p>
        </w:tc>
      </w:tr>
      <w:tr>
        <w:trPr/>
        <w:tc>
          <w:tcPr>
            <w:tcW w:w="4040" w:type="dxa"/>
            <w:tcBorders/>
            <w:shd w:fill="FFFFFF" w:val="clear"/>
            <w:vAlign w:val="center"/>
          </w:tcPr>
          <w:p>
            <w:pPr>
              <w:pStyle w:val="TableContents"/>
              <w:spacing w:before="0" w:after="283"/>
              <w:jc w:val="left"/>
              <w:rPr>
                <w:sz w:val="17"/>
              </w:rPr>
            </w:pPr>
            <w:r>
              <w:rPr>
                <w:sz w:val="17"/>
              </w:rPr>
              <w:t>Net loss per share, basic and diluted</w:t>
            </w:r>
          </w:p>
        </w:tc>
        <w:tc>
          <w:tcPr>
            <w:tcW w:w="60"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(0.12</w:t>
            </w:r>
          </w:p>
        </w:tc>
        <w:tc>
          <w:tcPr>
            <w:tcW w:w="83" w:type="dxa"/>
            <w:tcBorders/>
            <w:shd w:fill="FFFFFF" w:val="clear"/>
            <w:vAlign w:val="center"/>
          </w:tcPr>
          <w:p>
            <w:pPr>
              <w:pStyle w:val="TableContents"/>
              <w:spacing w:before="0" w:after="283"/>
              <w:jc w:val="left"/>
              <w:rPr>
                <w:sz w:val="17"/>
              </w:rPr>
            </w:pPr>
            <w:r>
              <w:rPr>
                <w:sz w:val="17"/>
              </w:rPr>
              <w:t>)</w:t>
            </w:r>
          </w:p>
        </w:tc>
        <w:tc>
          <w:tcPr>
            <w:tcW w:w="62" w:type="dxa"/>
            <w:tcBorders/>
            <w:shd w:fill="FFFFFF" w:val="clear"/>
            <w:vAlign w:val="center"/>
          </w:tcPr>
          <w:p>
            <w:pPr>
              <w:pStyle w:val="TableContents"/>
              <w:spacing w:before="0" w:after="283"/>
              <w:rPr/>
            </w:pPr>
            <w:r>
              <w:rPr/>
              <w:t> </w:t>
            </w:r>
          </w:p>
        </w:tc>
        <w:tc>
          <w:tcPr>
            <w:tcW w:w="114"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64"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(0.41</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9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(0.24</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double" w:sz="6" w:space="0" w:color="000000"/>
            </w:tcBorders>
            <w:shd w:fill="FFFFFF" w:val="clear"/>
            <w:tcMar>
              <w:bottom w:w="28" w:type="dxa"/>
            </w:tcMar>
            <w:vAlign w:val="center"/>
          </w:tcPr>
          <w:p>
            <w:pPr>
              <w:pStyle w:val="TableContents"/>
              <w:spacing w:before="0" w:after="283"/>
              <w:jc w:val="left"/>
              <w:rPr>
                <w:sz w:val="17"/>
              </w:rPr>
            </w:pPr>
            <w:r>
              <w:rPr>
                <w:sz w:val="17"/>
              </w:rPr>
              <w:t>$</w:t>
            </w:r>
          </w:p>
        </w:tc>
        <w:tc>
          <w:tcPr>
            <w:tcW w:w="830" w:type="dxa"/>
            <w:tcBorders>
              <w:bottom w:val="double" w:sz="6" w:space="0" w:color="000000"/>
            </w:tcBorders>
            <w:shd w:fill="FFFFFF" w:val="clear"/>
            <w:tcMar>
              <w:bottom w:w="28" w:type="dxa"/>
            </w:tcMar>
            <w:vAlign w:val="center"/>
          </w:tcPr>
          <w:p>
            <w:pPr>
              <w:pStyle w:val="TableContents"/>
              <w:spacing w:before="0" w:after="283"/>
              <w:jc w:val="right"/>
              <w:rPr>
                <w:sz w:val="17"/>
              </w:rPr>
            </w:pPr>
            <w:r>
              <w:rPr>
                <w:sz w:val="17"/>
              </w:rPr>
              <w:t>(0.71</w:t>
            </w:r>
          </w:p>
        </w:tc>
        <w:tc>
          <w:tcPr>
            <w:tcW w:w="365" w:type="dxa"/>
            <w:tcBorders/>
            <w:shd w:fill="FFFFFF" w:val="clear"/>
            <w:vAlign w:val="center"/>
          </w:tcPr>
          <w:p>
            <w:pPr>
              <w:pStyle w:val="TableContents"/>
              <w:spacing w:before="0" w:after="283"/>
              <w:jc w:val="left"/>
              <w:rPr>
                <w:sz w:val="17"/>
              </w:rPr>
            </w:pPr>
            <w:r>
              <w:rPr>
                <w:sz w:val="17"/>
              </w:rPr>
              <w:t>)</w:t>
            </w:r>
          </w:p>
        </w:tc>
      </w:tr>
      <w:tr>
        <w:trPr/>
        <w:tc>
          <w:tcPr>
            <w:tcW w:w="4040" w:type="dxa"/>
            <w:tcBorders/>
            <w:shd w:fill="CCEEFF" w:val="clear"/>
            <w:vAlign w:val="center"/>
          </w:tcPr>
          <w:p>
            <w:pPr>
              <w:pStyle w:val="TableContents"/>
              <w:spacing w:before="0" w:after="283"/>
              <w:rPr>
                <w:sz w:val="17"/>
              </w:rPr>
            </w:pPr>
            <w:r>
              <w:rPr>
                <w:sz w:val="17"/>
              </w:rPr>
              <w:t>Weighted average number of common shares outstanding</w:t>
            </w:r>
          </w:p>
        </w:tc>
        <w:tc>
          <w:tcPr>
            <w:tcW w:w="60" w:type="dxa"/>
            <w:tcBorders/>
            <w:shd w:fill="CCEEFF" w:val="clear"/>
            <w:vAlign w:val="center"/>
          </w:tcPr>
          <w:p>
            <w:pPr>
              <w:pStyle w:val="TableContents"/>
              <w:spacing w:before="0" w:after="283"/>
              <w:rPr/>
            </w:pPr>
            <w:r>
              <w:rPr/>
              <w:t> </w:t>
            </w:r>
          </w:p>
        </w:tc>
        <w:tc>
          <w:tcPr>
            <w:tcW w:w="114"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45,501,078</w:t>
            </w:r>
          </w:p>
        </w:tc>
        <w:tc>
          <w:tcPr>
            <w:tcW w:w="83"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14"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64"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11,838,371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45,483,513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11,233,755</w:t>
            </w:r>
          </w:p>
        </w:tc>
        <w:tc>
          <w:tcPr>
            <w:tcW w:w="36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Marker Therapeutics,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both"/>
        <w:rPr>
          <w:caps w:val="false"/>
          <w:smallCaps w:val="false"/>
        </w:rPr>
      </w:pPr>
      <w:r>
        <w:rPr>
          <w:caps w:val="false"/>
          <w:smallCaps w:val="false"/>
        </w:rPr>
        <w:t> </w:t>
      </w:r>
    </w:p>
    <w:tbl>
      <w:tblPr>
        <w:tblW w:w="9510" w:type="dxa"/>
        <w:jc w:val="left"/>
        <w:tblInd w:w="0" w:type="dxa"/>
        <w:tblCellMar>
          <w:top w:w="0" w:type="dxa"/>
          <w:left w:w="0" w:type="dxa"/>
          <w:bottom w:w="0" w:type="dxa"/>
          <w:right w:w="0" w:type="dxa"/>
        </w:tblCellMar>
      </w:tblPr>
      <w:tblGrid>
        <w:gridCol w:w="6785"/>
        <w:gridCol w:w="60"/>
        <w:gridCol w:w="110"/>
        <w:gridCol w:w="890"/>
        <w:gridCol w:w="80"/>
        <w:gridCol w:w="60"/>
        <w:gridCol w:w="110"/>
        <w:gridCol w:w="800"/>
        <w:gridCol w:w="615"/>
      </w:tblGrid>
      <w:tr>
        <w:trPr/>
        <w:tc>
          <w:tcPr>
            <w:tcW w:w="6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0" w:type="dxa"/>
            <w:gridSpan w:val="6"/>
            <w:tcBorders/>
            <w:shd w:fill="auto" w:val="clear"/>
            <w:vAlign w:val="center"/>
          </w:tcPr>
          <w:p>
            <w:pPr>
              <w:pStyle w:val="TableContents"/>
              <w:spacing w:before="0" w:after="283"/>
              <w:jc w:val="center"/>
              <w:rPr>
                <w:b/>
                <w:sz w:val="17"/>
              </w:rPr>
            </w:pPr>
            <w:r>
              <w:rPr>
                <w:b/>
                <w:sz w:val="17"/>
              </w:rPr>
              <w:t>For the Six Months Ended</w:t>
            </w:r>
          </w:p>
        </w:tc>
        <w:tc>
          <w:tcPr>
            <w:tcW w:w="615" w:type="dxa"/>
            <w:tcBorders/>
            <w:shd w:fill="auto" w:val="clear"/>
            <w:vAlign w:val="center"/>
          </w:tcPr>
          <w:p>
            <w:pPr>
              <w:pStyle w:val="TableContents"/>
              <w:spacing w:before="0" w:after="283"/>
              <w:rPr/>
            </w:pPr>
            <w:r>
              <w:rPr/>
              <w:t> </w:t>
            </w:r>
          </w:p>
        </w:tc>
      </w:tr>
      <w:tr>
        <w:trPr/>
        <w:tc>
          <w:tcPr>
            <w:tcW w:w="6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50" w:type="dxa"/>
            <w:gridSpan w:val="6"/>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June 30,</w:t>
            </w:r>
          </w:p>
        </w:tc>
        <w:tc>
          <w:tcPr>
            <w:tcW w:w="615" w:type="dxa"/>
            <w:tcBorders/>
            <w:shd w:fill="auto" w:val="clear"/>
            <w:vAlign w:val="center"/>
          </w:tcPr>
          <w:p>
            <w:pPr>
              <w:pStyle w:val="TableContents"/>
              <w:spacing w:before="0" w:after="283"/>
              <w:rPr/>
            </w:pPr>
            <w:r>
              <w:rPr/>
              <w:t> </w:t>
            </w:r>
          </w:p>
        </w:tc>
      </w:tr>
      <w:tr>
        <w:trPr/>
        <w:tc>
          <w:tcPr>
            <w:tcW w:w="6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2019</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0" w:type="dxa"/>
            <w:gridSpan w:val="2"/>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2018</w:t>
            </w:r>
          </w:p>
        </w:tc>
        <w:tc>
          <w:tcPr>
            <w:tcW w:w="615" w:type="dxa"/>
            <w:tcBorders/>
            <w:shd w:fill="auto" w:val="clear"/>
            <w:vAlign w:val="center"/>
          </w:tcPr>
          <w:p>
            <w:pPr>
              <w:pStyle w:val="TableContents"/>
              <w:spacing w:before="0" w:after="283"/>
              <w:rPr/>
            </w:pPr>
            <w:r>
              <w:rPr/>
              <w:t> </w:t>
            </w:r>
          </w:p>
        </w:tc>
      </w:tr>
      <w:tr>
        <w:trPr/>
        <w:tc>
          <w:tcPr>
            <w:tcW w:w="6785" w:type="dxa"/>
            <w:tcBorders/>
            <w:shd w:fill="CCEEFF" w:val="clear"/>
            <w:vAlign w:val="center"/>
          </w:tcPr>
          <w:p>
            <w:pPr>
              <w:pStyle w:val="TableContents"/>
              <w:spacing w:before="0" w:after="283"/>
              <w:jc w:val="left"/>
              <w:rPr>
                <w:b/>
                <w:sz w:val="17"/>
              </w:rPr>
            </w:pPr>
            <w:r>
              <w:rPr>
                <w:b/>
                <w:sz w:val="17"/>
              </w:rPr>
              <w:t>Cash Flows from Operating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135"/>
              <w:jc w:val="left"/>
              <w:rPr/>
            </w:pPr>
            <w:r>
              <w:rPr/>
              <w:t> </w:t>
            </w:r>
          </w:p>
        </w:tc>
      </w:tr>
      <w:tr>
        <w:trPr/>
        <w:tc>
          <w:tcPr>
            <w:tcW w:w="6785" w:type="dxa"/>
            <w:tcBorders/>
            <w:shd w:fill="FFFFFF" w:val="clear"/>
            <w:vAlign w:val="center"/>
          </w:tcPr>
          <w:p>
            <w:pPr>
              <w:pStyle w:val="TableContents"/>
              <w:spacing w:before="0" w:after="283"/>
              <w:jc w:val="left"/>
              <w:rPr>
                <w:b/>
                <w:sz w:val="17"/>
              </w:rPr>
            </w:pPr>
            <w:r>
              <w:rPr>
                <w:b/>
                <w:sz w:val="17"/>
              </w:rPr>
              <w:t>Net loss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890" w:type="dxa"/>
            <w:tcBorders/>
            <w:shd w:fill="FFFFFF" w:val="clear"/>
            <w:vAlign w:val="center"/>
          </w:tcPr>
          <w:p>
            <w:pPr>
              <w:pStyle w:val="TableContents"/>
              <w:spacing w:before="0" w:after="283"/>
              <w:jc w:val="right"/>
              <w:rPr>
                <w:sz w:val="17"/>
              </w:rPr>
            </w:pPr>
            <w:r>
              <w:rPr>
                <w:sz w:val="17"/>
              </w:rPr>
              <w:t>(10,889,316</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sz w:val="17"/>
              </w:rPr>
            </w:pPr>
            <w:r>
              <w:rPr>
                <w:sz w:val="17"/>
              </w:rPr>
              <w:t>$</w:t>
            </w:r>
          </w:p>
        </w:tc>
        <w:tc>
          <w:tcPr>
            <w:tcW w:w="800" w:type="dxa"/>
            <w:tcBorders/>
            <w:shd w:fill="FFFFFF" w:val="clear"/>
            <w:vAlign w:val="center"/>
          </w:tcPr>
          <w:p>
            <w:pPr>
              <w:pStyle w:val="TableContents"/>
              <w:spacing w:before="0" w:after="283"/>
              <w:jc w:val="right"/>
              <w:rPr>
                <w:sz w:val="17"/>
              </w:rPr>
            </w:pPr>
            <w:r>
              <w:rPr>
                <w:sz w:val="17"/>
              </w:rPr>
              <w:t>(8,009,283</w:t>
            </w:r>
          </w:p>
        </w:tc>
        <w:tc>
          <w:tcPr>
            <w:tcW w:w="615" w:type="dxa"/>
            <w:tcBorders/>
            <w:shd w:fill="FFFFFF" w:val="clear"/>
            <w:vAlign w:val="center"/>
          </w:tcPr>
          <w:p>
            <w:pPr>
              <w:pStyle w:val="TableContents"/>
              <w:spacing w:before="0" w:after="283"/>
              <w:ind w:left="0" w:right="0" w:firstLine="135"/>
              <w:jc w:val="left"/>
              <w:rPr>
                <w:sz w:val="17"/>
              </w:rPr>
            </w:pPr>
            <w:r>
              <w:rPr>
                <w:sz w:val="17"/>
              </w:rPr>
              <w:t>)</w:t>
            </w:r>
          </w:p>
        </w:tc>
      </w:tr>
      <w:tr>
        <w:trPr/>
        <w:tc>
          <w:tcPr>
            <w:tcW w:w="6785" w:type="dxa"/>
            <w:tcBorders/>
            <w:shd w:fill="CCEEFF" w:val="clear"/>
            <w:vAlign w:val="center"/>
          </w:tcPr>
          <w:p>
            <w:pPr>
              <w:pStyle w:val="TableContents"/>
              <w:spacing w:before="0" w:after="283"/>
              <w:jc w:val="left"/>
              <w:rPr>
                <w:b/>
                <w:sz w:val="17"/>
              </w:rPr>
            </w:pPr>
            <w:r>
              <w:rPr>
                <w:b/>
                <w:sz w:val="17"/>
              </w:rPr>
              <w:t>Reconciliation of net loss to net cash used in operating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Depreciation and amortization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39,811</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Changes in fair value of warrant liabilities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16,000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138,000</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Stock-based compensation</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2,889,243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1,096,472</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Amortization on right-of-use assets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89,178</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b/>
                <w:sz w:val="17"/>
              </w:rPr>
            </w:pPr>
            <w:r>
              <w:rPr>
                <w:b/>
                <w:sz w:val="17"/>
              </w:rPr>
              <w:t>Changes in operating assets and liabilities: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405"/>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Prepaid expenses and deposits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(349,750</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(57,566</w:t>
            </w:r>
          </w:p>
        </w:tc>
        <w:tc>
          <w:tcPr>
            <w:tcW w:w="615" w:type="dxa"/>
            <w:tcBorders/>
            <w:shd w:fill="CCEEFF" w:val="clear"/>
            <w:vAlign w:val="center"/>
          </w:tcPr>
          <w:p>
            <w:pPr>
              <w:pStyle w:val="TableContents"/>
              <w:spacing w:before="0" w:after="283"/>
              <w:ind w:left="0" w:right="0" w:firstLine="405"/>
              <w:jc w:val="left"/>
              <w:rPr>
                <w:sz w:val="17"/>
              </w:rPr>
            </w:pPr>
            <w:r>
              <w:rPr>
                <w:sz w:val="17"/>
              </w:rPr>
              <w:t>)</w:t>
            </w:r>
          </w:p>
        </w:tc>
      </w:tr>
      <w:tr>
        <w:trPr/>
        <w:tc>
          <w:tcPr>
            <w:tcW w:w="6785" w:type="dxa"/>
            <w:tcBorders/>
            <w:shd w:fill="FFFFFF" w:val="clear"/>
            <w:vAlign w:val="center"/>
          </w:tcPr>
          <w:p>
            <w:pPr>
              <w:pStyle w:val="TableContents"/>
              <w:spacing w:before="0" w:after="283"/>
              <w:jc w:val="left"/>
              <w:rPr>
                <w:sz w:val="17"/>
              </w:rPr>
            </w:pPr>
            <w:r>
              <w:rPr>
                <w:sz w:val="17"/>
              </w:rPr>
              <w:t>Interest receivable</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10,023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405"/>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Accounts payable and accrued expenses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225,135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2,086,840</w:t>
            </w:r>
          </w:p>
        </w:tc>
        <w:tc>
          <w:tcPr>
            <w:tcW w:w="615" w:type="dxa"/>
            <w:tcBorders/>
            <w:shd w:fill="CCEEFF" w:val="clear"/>
            <w:vAlign w:val="center"/>
          </w:tcPr>
          <w:p>
            <w:pPr>
              <w:pStyle w:val="TableContents"/>
              <w:spacing w:before="0" w:after="283"/>
              <w:ind w:left="0" w:right="0" w:firstLine="405"/>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Lease liability</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(89,907</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ind w:left="0" w:right="0" w:firstLine="54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Net cash used in operating activities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(8,059,583</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(4,745,537</w:t>
            </w:r>
          </w:p>
        </w:tc>
        <w:tc>
          <w:tcPr>
            <w:tcW w:w="615" w:type="dxa"/>
            <w:tcBorders/>
            <w:shd w:fill="CCEEFF" w:val="clear"/>
            <w:vAlign w:val="center"/>
          </w:tcPr>
          <w:p>
            <w:pPr>
              <w:pStyle w:val="TableContents"/>
              <w:spacing w:before="0" w:after="283"/>
              <w:jc w:val="left"/>
              <w:rPr>
                <w:sz w:val="17"/>
              </w:rPr>
            </w:pPr>
            <w:r>
              <w:rPr>
                <w:sz w:val="17"/>
              </w:rPr>
              <w:t>)</w:t>
            </w:r>
          </w:p>
        </w:tc>
      </w:tr>
      <w:tr>
        <w:trPr/>
        <w:tc>
          <w:tcPr>
            <w:tcW w:w="6785" w:type="dxa"/>
            <w:tcBorders/>
            <w:shd w:fill="FFFFFF" w:val="clear"/>
            <w:vAlign w:val="center"/>
          </w:tcPr>
          <w:p>
            <w:pPr>
              <w:pStyle w:val="TableContents"/>
              <w:spacing w:before="0" w:after="283"/>
              <w:jc w:val="left"/>
              <w:rPr>
                <w:b/>
                <w:sz w:val="17"/>
              </w:rPr>
            </w:pPr>
            <w:r>
              <w:rPr>
                <w:b/>
                <w:sz w:val="17"/>
              </w:rPr>
              <w:t>Cash Flows from Investing Activities: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Purchase of property and equipment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(305,382</w:t>
            </w:r>
          </w:p>
        </w:tc>
        <w:tc>
          <w:tcPr>
            <w:tcW w:w="80" w:type="dxa"/>
            <w:tcBorders/>
            <w:shd w:fill="CCEEFF" w:val="clear"/>
            <w:vAlign w:val="center"/>
          </w:tcPr>
          <w:p>
            <w:pPr>
              <w:pStyle w:val="TableContents"/>
              <w:spacing w:before="0" w:after="283"/>
              <w:jc w:val="left"/>
              <w:rPr>
                <w:sz w:val="17"/>
              </w:rPr>
            </w:pPr>
            <w:r>
              <w:rPr>
                <w:sz w:val="17"/>
              </w:rPr>
              <w:t>)</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w:t>
            </w:r>
          </w:p>
        </w:tc>
        <w:tc>
          <w:tcPr>
            <w:tcW w:w="615" w:type="dxa"/>
            <w:tcBorders/>
            <w:shd w:fill="CCEEFF" w:val="clear"/>
            <w:vAlign w:val="center"/>
          </w:tcPr>
          <w:p>
            <w:pPr>
              <w:pStyle w:val="TableContents"/>
              <w:spacing w:before="0" w:after="283"/>
              <w:ind w:left="0" w:right="0" w:firstLine="405"/>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Net cash used in investing activities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(305,382</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w:t>
            </w:r>
          </w:p>
        </w:tc>
        <w:tc>
          <w:tcPr>
            <w:tcW w:w="615"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jc w:val="left"/>
              <w:rPr>
                <w:b/>
                <w:sz w:val="17"/>
              </w:rPr>
            </w:pPr>
            <w:r>
              <w:rPr>
                <w:b/>
                <w:sz w:val="17"/>
              </w:rPr>
              <w:t>Cash Flows from Financing Activities: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Proceeds from issuance of common stock and warrants in private placement, net of offering costs</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3,120,000</w:t>
            </w:r>
          </w:p>
        </w:tc>
        <w:tc>
          <w:tcPr>
            <w:tcW w:w="615" w:type="dxa"/>
            <w:tcBorders/>
            <w:shd w:fill="FFFFFF" w:val="clear"/>
            <w:vAlign w:val="center"/>
          </w:tcPr>
          <w:p>
            <w:pPr>
              <w:pStyle w:val="TableContents"/>
              <w:spacing w:before="0" w:after="283"/>
              <w:ind w:left="0" w:right="0" w:firstLine="270"/>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Proceeds from exercise of stock options</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7"/>
              </w:rPr>
            </w:pPr>
            <w:r>
              <w:rPr>
                <w:sz w:val="17"/>
              </w:rPr>
              <w:t>57,744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sz w:val="17"/>
              </w:rPr>
            </w:pPr>
            <w:r>
              <w:rPr>
                <w:sz w:val="17"/>
              </w:rPr>
              <w:t>18,125</w:t>
            </w:r>
          </w:p>
        </w:tc>
        <w:tc>
          <w:tcPr>
            <w:tcW w:w="615" w:type="dxa"/>
            <w:tcBorders/>
            <w:shd w:fill="CCEEFF" w:val="clear"/>
            <w:vAlign w:val="center"/>
          </w:tcPr>
          <w:p>
            <w:pPr>
              <w:pStyle w:val="TableContents"/>
              <w:spacing w:before="0" w:after="283"/>
              <w:ind w:left="0" w:right="0" w:firstLine="270"/>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Proceeds from exercise of warrants</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5,379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4,261,085</w:t>
            </w:r>
          </w:p>
        </w:tc>
        <w:tc>
          <w:tcPr>
            <w:tcW w:w="615" w:type="dxa"/>
            <w:tcBorders/>
            <w:shd w:fill="FFFFFF" w:val="clear"/>
            <w:vAlign w:val="center"/>
          </w:tcPr>
          <w:p>
            <w:pPr>
              <w:pStyle w:val="TableContents"/>
              <w:spacing w:before="0" w:after="283"/>
              <w:ind w:left="0" w:right="0" w:firstLine="405"/>
              <w:jc w:val="left"/>
              <w:rPr/>
            </w:pPr>
            <w:r>
              <w:rPr/>
              <w:t> </w:t>
            </w:r>
          </w:p>
        </w:tc>
      </w:tr>
      <w:tr>
        <w:trPr/>
        <w:tc>
          <w:tcPr>
            <w:tcW w:w="6785" w:type="dxa"/>
            <w:tcBorders/>
            <w:shd w:fill="CCEEFF" w:val="clear"/>
            <w:vAlign w:val="center"/>
          </w:tcPr>
          <w:p>
            <w:pPr>
              <w:pStyle w:val="TableContents"/>
              <w:spacing w:before="0" w:after="283"/>
              <w:jc w:val="left"/>
              <w:rPr>
                <w:sz w:val="17"/>
              </w:rPr>
            </w:pPr>
            <w:r>
              <w:rPr>
                <w:sz w:val="17"/>
              </w:rPr>
              <w:t>Net cash provided by financing activities</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63,123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8"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spacing w:before="0" w:after="283"/>
              <w:jc w:val="right"/>
              <w:rPr>
                <w:sz w:val="17"/>
              </w:rPr>
            </w:pPr>
            <w:r>
              <w:rPr>
                <w:sz w:val="17"/>
              </w:rPr>
              <w:t>7,399,210</w:t>
            </w:r>
          </w:p>
        </w:tc>
        <w:tc>
          <w:tcPr>
            <w:tcW w:w="615" w:type="dxa"/>
            <w:tcBorders/>
            <w:shd w:fill="CCEEFF" w:val="clear"/>
            <w:vAlign w:val="center"/>
          </w:tcPr>
          <w:p>
            <w:pPr>
              <w:pStyle w:val="TableContents"/>
              <w:spacing w:before="0" w:after="283"/>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Net (decrease) increase in cash</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7"/>
              </w:rPr>
            </w:pPr>
            <w:r>
              <w:rPr>
                <w:sz w:val="17"/>
              </w:rPr>
              <w:t>(8,301,842</w:t>
            </w:r>
          </w:p>
        </w:tc>
        <w:tc>
          <w:tcPr>
            <w:tcW w:w="80" w:type="dxa"/>
            <w:tcBorders/>
            <w:shd w:fill="FFFFFF" w:val="clear"/>
            <w:vAlign w:val="center"/>
          </w:tcPr>
          <w:p>
            <w:pPr>
              <w:pStyle w:val="TableContents"/>
              <w:spacing w:before="0" w:after="283"/>
              <w:jc w:val="left"/>
              <w:rPr>
                <w:sz w:val="17"/>
              </w:rPr>
            </w:pPr>
            <w:r>
              <w:rPr>
                <w:sz w:val="17"/>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sz w:val="17"/>
              </w:rPr>
            </w:pPr>
            <w:r>
              <w:rPr>
                <w:sz w:val="17"/>
              </w:rPr>
              <w:t>2,653,673</w:t>
            </w:r>
          </w:p>
        </w:tc>
        <w:tc>
          <w:tcPr>
            <w:tcW w:w="615"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15" w:type="dxa"/>
            <w:tcBorders/>
            <w:shd w:fill="CCEEFF" w:val="clear"/>
            <w:vAlign w:val="center"/>
          </w:tcPr>
          <w:p>
            <w:pPr>
              <w:pStyle w:val="TableContents"/>
              <w:spacing w:before="0" w:after="283"/>
              <w:jc w:val="left"/>
              <w:rPr/>
            </w:pPr>
            <w:r>
              <w:rPr/>
              <w:t> </w:t>
            </w:r>
          </w:p>
        </w:tc>
      </w:tr>
      <w:tr>
        <w:trPr/>
        <w:tc>
          <w:tcPr>
            <w:tcW w:w="6785" w:type="dxa"/>
            <w:tcBorders/>
            <w:shd w:fill="FFFFFF" w:val="clear"/>
            <w:vAlign w:val="center"/>
          </w:tcPr>
          <w:p>
            <w:pPr>
              <w:pStyle w:val="TableContents"/>
              <w:spacing w:before="0" w:after="283"/>
              <w:jc w:val="left"/>
              <w:rPr>
                <w:sz w:val="17"/>
              </w:rPr>
            </w:pPr>
            <w:r>
              <w:rPr>
                <w:sz w:val="17"/>
              </w:rPr>
              <w:t>Cash and cash equivalents at beginning of period</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61,746,748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8"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spacing w:before="0" w:after="283"/>
              <w:jc w:val="right"/>
              <w:rPr>
                <w:sz w:val="17"/>
              </w:rPr>
            </w:pPr>
            <w:r>
              <w:rPr>
                <w:sz w:val="17"/>
              </w:rPr>
              <w:t>5,129,289</w:t>
            </w:r>
          </w:p>
        </w:tc>
        <w:tc>
          <w:tcPr>
            <w:tcW w:w="615" w:type="dxa"/>
            <w:tcBorders/>
            <w:shd w:fill="FFFFFF" w:val="clear"/>
            <w:vAlign w:val="center"/>
          </w:tcPr>
          <w:p>
            <w:pPr>
              <w:pStyle w:val="TableContents"/>
              <w:spacing w:before="0" w:after="283"/>
              <w:jc w:val="left"/>
              <w:rPr/>
            </w:pPr>
            <w:r>
              <w:rPr/>
              <w:t> </w:t>
            </w:r>
          </w:p>
        </w:tc>
      </w:tr>
      <w:tr>
        <w:trPr/>
        <w:tc>
          <w:tcPr>
            <w:tcW w:w="6785" w:type="dxa"/>
            <w:tcBorders/>
            <w:shd w:fill="CCEEFF" w:val="clear"/>
            <w:vAlign w:val="center"/>
          </w:tcPr>
          <w:p>
            <w:pPr>
              <w:pStyle w:val="TableContents"/>
              <w:spacing w:before="0" w:after="283"/>
              <w:jc w:val="left"/>
              <w:rPr>
                <w:b/>
                <w:sz w:val="17"/>
              </w:rPr>
            </w:pPr>
            <w:r>
              <w:rPr>
                <w:b/>
                <w:sz w:val="17"/>
              </w:rPr>
              <w:t>Cash and cash equivalents at end of period</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89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53,444,906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double" w:sz="6" w:space="0" w:color="000000"/>
            </w:tcBorders>
            <w:shd w:fill="CCEEFF" w:val="clear"/>
            <w:tcMar>
              <w:bottom w:w="28" w:type="dxa"/>
            </w:tcMar>
            <w:vAlign w:val="center"/>
          </w:tcPr>
          <w:p>
            <w:pPr>
              <w:pStyle w:val="TableContents"/>
              <w:spacing w:before="0" w:after="283"/>
              <w:jc w:val="left"/>
              <w:rPr>
                <w:sz w:val="17"/>
              </w:rPr>
            </w:pPr>
            <w:r>
              <w:rPr>
                <w:sz w:val="17"/>
              </w:rPr>
              <w:t>$</w:t>
            </w:r>
          </w:p>
        </w:tc>
        <w:tc>
          <w:tcPr>
            <w:tcW w:w="800" w:type="dxa"/>
            <w:tcBorders>
              <w:bottom w:val="double" w:sz="6" w:space="0" w:color="000000"/>
            </w:tcBorders>
            <w:shd w:fill="CCEEFF" w:val="clear"/>
            <w:tcMar>
              <w:bottom w:w="28" w:type="dxa"/>
            </w:tcMar>
            <w:vAlign w:val="center"/>
          </w:tcPr>
          <w:p>
            <w:pPr>
              <w:pStyle w:val="TableContents"/>
              <w:spacing w:before="0" w:after="283"/>
              <w:jc w:val="right"/>
              <w:rPr>
                <w:sz w:val="17"/>
              </w:rPr>
            </w:pPr>
            <w:r>
              <w:rPr>
                <w:sz w:val="17"/>
              </w:rPr>
              <w:t>7,782,962</w:t>
            </w:r>
          </w:p>
        </w:tc>
        <w:tc>
          <w:tcPr>
            <w:tcW w:w="61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w:t>
        <w:br/>
        <w:t>Solebury Trout</w:t>
        <w:br/>
        <w:t>Chiara Russo</w:t>
        <w:br/>
        <w:t>(617) 221-9197</w:t>
        <w:br/>
        <w:t>crusso@soleburytrout.com</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t>Solebury Trout</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Amy Bonanno</w:t>
        <w:br/>
        <w:t>(914) 450-0349</w:t>
        <w:br/>
        <w:t>abonanno@soleburytrout.com</w:t>
      </w:r>
    </w:p>
    <w:p>
      <w:pPr>
        <w:pStyle w:val="TextBody"/>
        <w:shd w:fill="FFFFFF" w:val="clear"/>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2465</Words>
  <CharactersWithSpaces>17142</CharactersWithSpaces>
  <Paragraphs>1116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