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10-Q</w:t>
      </w:r>
    </w:p>
    <w:p>
      <w:pPr>
        <w:spacing w:after="0" w:line="242"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 xml:space="preserve">Quarterly Report Under Section 13 or 15(d) of the Securities Exchange Act of 1934 for the quarterly period ended </w:t>
      </w:r>
      <w:r>
        <w:rPr>
          <w:rFonts w:ascii="Arial" w:cs="Arial" w:eastAsia="Arial" w:hAnsi="Arial"/>
          <w:sz w:val="18"/>
          <w:szCs w:val="18"/>
          <w:b w:val="1"/>
          <w:bCs w:val="1"/>
          <w:u w:val="single" w:color="auto"/>
          <w:color w:val="auto"/>
        </w:rPr>
        <w:t>March 31, 2010</w:t>
      </w:r>
    </w:p>
    <w:p>
      <w:pPr>
        <w:spacing w:after="0" w:line="256" w:lineRule="exact"/>
        <w:rPr>
          <w:sz w:val="24"/>
          <w:szCs w:val="24"/>
          <w:color w:val="auto"/>
        </w:rPr>
      </w:pPr>
    </w:p>
    <w:p>
      <w:pPr>
        <w:ind w:left="4340" w:right="1380" w:hanging="4332"/>
        <w:spacing w:after="0" w:line="559" w:lineRule="auto"/>
        <w:tabs>
          <w:tab w:leader="none" w:pos="588"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Transition Report Under Section 13 or 15(d) of the Securities Exchange Act of 1934 for the transition period from _____ to _____. Commission File Number: </w:t>
      </w:r>
      <w:r>
        <w:rPr>
          <w:rFonts w:ascii="Arial" w:cs="Arial" w:eastAsia="Arial" w:hAnsi="Arial"/>
          <w:sz w:val="18"/>
          <w:szCs w:val="18"/>
          <w:b w:val="1"/>
          <w:bCs w:val="1"/>
          <w:u w:val="single" w:color="auto"/>
          <w:color w:val="auto"/>
        </w:rPr>
        <w:t>000-27239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TAPIMMUNE INC.</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ind w:left="4500"/>
              <w:spacing w:after="0"/>
              <w:rPr>
                <w:sz w:val="20"/>
                <w:szCs w:val="20"/>
                <w:color w:val="auto"/>
              </w:rPr>
            </w:pPr>
            <w:r>
              <w:rPr>
                <w:rFonts w:ascii="Arial" w:cs="Arial" w:eastAsia="Arial" w:hAnsi="Arial"/>
                <w:sz w:val="18"/>
                <w:szCs w:val="18"/>
                <w:color w:val="auto"/>
                <w:w w:val="91"/>
              </w:rPr>
              <w:t>(Name of registrant in its charter)</w:t>
            </w:r>
          </w:p>
        </w:tc>
        <w:tc>
          <w:tcPr>
            <w:tcW w:w="3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94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4480" w:type="dxa"/>
            <w:vAlign w:val="bottom"/>
            <w:gridSpan w:val="2"/>
          </w:tcPr>
          <w:p>
            <w:pPr>
              <w:jc w:val="right"/>
              <w:ind w:right="1530"/>
              <w:spacing w:after="0"/>
              <w:rPr>
                <w:sz w:val="20"/>
                <w:szCs w:val="20"/>
                <w:color w:val="auto"/>
              </w:rPr>
            </w:pPr>
            <w:r>
              <w:rPr>
                <w:rFonts w:ascii="Arial" w:cs="Arial" w:eastAsia="Arial" w:hAnsi="Arial"/>
                <w:sz w:val="18"/>
                <w:szCs w:val="18"/>
                <w:b w:val="1"/>
                <w:bCs w:val="1"/>
                <w:color w:val="auto"/>
              </w:rPr>
              <w:t>88-0277072</w:t>
            </w:r>
          </w:p>
        </w:tc>
        <w:tc>
          <w:tcPr>
            <w:tcW w:w="0" w:type="dxa"/>
            <w:vAlign w:val="bottom"/>
          </w:tcPr>
          <w:p>
            <w:pPr>
              <w:spacing w:after="0"/>
              <w:rPr>
                <w:sz w:val="1"/>
                <w:szCs w:val="1"/>
                <w:color w:val="auto"/>
              </w:rPr>
            </w:pPr>
          </w:p>
        </w:tc>
      </w:tr>
      <w:tr>
        <w:trPr>
          <w:trHeight w:val="230"/>
        </w:trPr>
        <w:tc>
          <w:tcPr>
            <w:tcW w:w="6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04"/>
        </w:trPr>
        <w:tc>
          <w:tcPr>
            <w:tcW w:w="6940" w:type="dxa"/>
            <w:vAlign w:val="bottom"/>
          </w:tcPr>
          <w:p>
            <w:pPr>
              <w:jc w:val="center"/>
              <w:spacing w:after="0"/>
              <w:rPr>
                <w:sz w:val="20"/>
                <w:szCs w:val="20"/>
                <w:color w:val="auto"/>
              </w:rPr>
            </w:pPr>
            <w:r>
              <w:rPr>
                <w:rFonts w:ascii="Arial" w:cs="Arial" w:eastAsia="Arial" w:hAnsi="Arial"/>
                <w:sz w:val="18"/>
                <w:szCs w:val="18"/>
                <w:color w:val="auto"/>
                <w:w w:val="90"/>
              </w:rPr>
              <w:t>800 Bellevue Way, NE, Suite 400</w:t>
            </w:r>
          </w:p>
        </w:tc>
        <w:tc>
          <w:tcPr>
            <w:tcW w:w="4480" w:type="dxa"/>
            <w:vAlign w:val="bottom"/>
            <w:gridSpan w:val="2"/>
            <w:vMerge w:val="restart"/>
          </w:tcPr>
          <w:p>
            <w:pPr>
              <w:jc w:val="right"/>
              <w:ind w:right="1730"/>
              <w:spacing w:after="0"/>
              <w:rPr>
                <w:sz w:val="20"/>
                <w:szCs w:val="20"/>
                <w:color w:val="auto"/>
              </w:rPr>
            </w:pPr>
            <w:r>
              <w:rPr>
                <w:rFonts w:ascii="Arial" w:cs="Arial" w:eastAsia="Arial" w:hAnsi="Arial"/>
                <w:sz w:val="18"/>
                <w:szCs w:val="18"/>
                <w:b w:val="1"/>
                <w:bCs w:val="1"/>
                <w:color w:val="auto"/>
              </w:rPr>
              <w:t>98004</w:t>
            </w:r>
          </w:p>
        </w:tc>
        <w:tc>
          <w:tcPr>
            <w:tcW w:w="0" w:type="dxa"/>
            <w:vAlign w:val="bottom"/>
          </w:tcPr>
          <w:p>
            <w:pPr>
              <w:spacing w:after="0"/>
              <w:rPr>
                <w:sz w:val="1"/>
                <w:szCs w:val="1"/>
                <w:color w:val="auto"/>
              </w:rPr>
            </w:pPr>
          </w:p>
        </w:tc>
      </w:tr>
      <w:tr>
        <w:trPr>
          <w:trHeight w:val="237"/>
        </w:trPr>
        <w:tc>
          <w:tcPr>
            <w:tcW w:w="6940" w:type="dxa"/>
            <w:vAlign w:val="bottom"/>
          </w:tcPr>
          <w:p>
            <w:pPr>
              <w:jc w:val="center"/>
              <w:spacing w:after="0"/>
              <w:rPr>
                <w:sz w:val="20"/>
                <w:szCs w:val="20"/>
                <w:color w:val="auto"/>
              </w:rPr>
            </w:pPr>
            <w:r>
              <w:rPr>
                <w:rFonts w:ascii="Arial" w:cs="Arial" w:eastAsia="Arial" w:hAnsi="Arial"/>
                <w:sz w:val="18"/>
                <w:szCs w:val="18"/>
                <w:color w:val="auto"/>
                <w:w w:val="94"/>
              </w:rPr>
              <w:t>Bellevue, WA</w:t>
            </w:r>
          </w:p>
        </w:tc>
        <w:tc>
          <w:tcPr>
            <w:tcW w:w="44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8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425"/>
        </w:trPr>
        <w:tc>
          <w:tcPr>
            <w:tcW w:w="6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(425) 462-2556</w:t>
            </w:r>
          </w:p>
        </w:tc>
        <w:tc>
          <w:tcPr>
            <w:tcW w:w="3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40" w:type="dxa"/>
            <w:vAlign w:val="bottom"/>
          </w:tcPr>
          <w:p>
            <w:pPr>
              <w:jc w:val="center"/>
              <w:spacing w:after="0"/>
              <w:rPr>
                <w:sz w:val="20"/>
                <w:szCs w:val="20"/>
                <w:color w:val="auto"/>
              </w:rPr>
            </w:pPr>
            <w:r>
              <w:rPr>
                <w:rFonts w:ascii="Arial" w:cs="Arial" w:eastAsia="Arial" w:hAnsi="Arial"/>
                <w:sz w:val="18"/>
                <w:szCs w:val="18"/>
                <w:color w:val="auto"/>
                <w:w w:val="88"/>
              </w:rPr>
              <w:t>(Issuer's telephone number)</w:t>
            </w:r>
          </w:p>
        </w:tc>
        <w:tc>
          <w:tcPr>
            <w:tcW w:w="3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S</w:t>
      </w:r>
      <w:r>
        <w:rPr>
          <w:rFonts w:ascii="Arial" w:cs="Arial" w:eastAsia="Arial" w:hAnsi="Arial"/>
          <w:sz w:val="18"/>
          <w:szCs w:val="18"/>
          <w:color w:val="auto"/>
        </w:rPr>
        <w:t xml:space="preserve"> No £</w:t>
      </w:r>
    </w:p>
    <w:p>
      <w:pPr>
        <w:spacing w:after="0" w:line="20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420"/>
          </w:cols>
          <w:pgMar w:left="240" w:top="796"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 Large 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 Non-accelerated filer (Do not check</w:t>
      </w:r>
    </w:p>
    <w:p>
      <w:pPr>
        <w:spacing w:after="0" w:line="32"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if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100"/>
        <w:spacing w:after="0"/>
        <w:rPr>
          <w:sz w:val="20"/>
          <w:szCs w:val="20"/>
          <w:color w:val="auto"/>
        </w:rPr>
      </w:pPr>
      <w:r>
        <w:rPr>
          <w:rFonts w:ascii="Arial" w:cs="Arial" w:eastAsia="Arial" w:hAnsi="Arial"/>
          <w:sz w:val="18"/>
          <w:szCs w:val="18"/>
          <w:color w:val="auto"/>
        </w:rPr>
        <w:t>£ 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6"/>
          <w:szCs w:val="16"/>
          <w:color w:val="auto"/>
        </w:rPr>
        <w:t>Smaller reporting company</w:t>
      </w:r>
    </w:p>
    <w:p>
      <w:pPr>
        <w:spacing w:after="0" w:line="439" w:lineRule="exact"/>
        <w:rPr>
          <w:sz w:val="24"/>
          <w:szCs w:val="24"/>
          <w:color w:val="auto"/>
        </w:rPr>
      </w:pPr>
    </w:p>
    <w:p>
      <w:pPr>
        <w:sectPr>
          <w:pgSz w:w="11900" w:h="16838" w:orient="portrait"/>
          <w:cols w:equalWidth="0" w:num="2">
            <w:col w:w="4800" w:space="720"/>
            <w:col w:w="5900"/>
          </w:cols>
          <w:pgMar w:left="240" w:top="796" w:right="23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Yes £  No </w:t>
      </w:r>
      <w:r>
        <w:rPr>
          <w:rFonts w:ascii="Arial" w:cs="Arial" w:eastAsia="Arial" w:hAnsi="Arial"/>
          <w:sz w:val="18"/>
          <w:szCs w:val="18"/>
          <w:b w:val="1"/>
          <w:bCs w:val="1"/>
          <w:color w:val="auto"/>
        </w:rPr>
        <w:t>S</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As of May 20, 2010, the Company had 40,256,026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98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440" w:type="dxa"/>
            <w:vAlign w:val="bottom"/>
          </w:tcPr>
          <w:p>
            <w:pPr>
              <w:spacing w:after="0"/>
              <w:rPr>
                <w:sz w:val="20"/>
                <w:szCs w:val="20"/>
                <w:color w:val="auto"/>
              </w:rPr>
            </w:pPr>
          </w:p>
        </w:tc>
      </w:tr>
      <w:tr>
        <w:trPr>
          <w:trHeight w:val="419"/>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900" w:type="dxa"/>
            <w:vAlign w:val="bottom"/>
            <w:gridSpan w:val="3"/>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1440" w:type="dxa"/>
            <w:vAlign w:val="bottom"/>
          </w:tcPr>
          <w:p>
            <w:pPr>
              <w:spacing w:after="0"/>
              <w:rPr>
                <w:sz w:val="24"/>
                <w:szCs w:val="24"/>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730"/>
        </w:trPr>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8"/>
              </w:rPr>
              <w:t>Page</w:t>
            </w:r>
          </w:p>
        </w:tc>
      </w:tr>
      <w:tr>
        <w:trPr>
          <w:trHeight w:val="432"/>
        </w:trPr>
        <w:tc>
          <w:tcPr>
            <w:tcW w:w="9980" w:type="dxa"/>
            <w:vAlign w:val="bottom"/>
            <w:gridSpan w:val="5"/>
          </w:tcPr>
          <w:p>
            <w:pPr>
              <w:spacing w:after="0"/>
              <w:rPr>
                <w:sz w:val="20"/>
                <w:szCs w:val="20"/>
                <w:color w:val="auto"/>
              </w:rPr>
            </w:pPr>
            <w:r>
              <w:rPr>
                <w:rFonts w:ascii="Arial" w:cs="Arial" w:eastAsia="Arial" w:hAnsi="Arial"/>
                <w:sz w:val="18"/>
                <w:szCs w:val="18"/>
                <w:color w:val="auto"/>
              </w:rPr>
              <w:t>Consolidated Balance Sheets as of March 31, 2010 (Unaudited) and December 31, 2009</w:t>
            </w:r>
          </w:p>
        </w:tc>
        <w:tc>
          <w:tcPr>
            <w:tcW w:w="1440" w:type="dxa"/>
            <w:vAlign w:val="bottom"/>
          </w:tcPr>
          <w:p>
            <w:pPr>
              <w:jc w:val="center"/>
              <w:ind w:right="250"/>
              <w:spacing w:after="0"/>
              <w:rPr>
                <w:sz w:val="20"/>
                <w:szCs w:val="20"/>
                <w:color w:val="auto"/>
              </w:rPr>
            </w:pPr>
            <w:r>
              <w:rPr>
                <w:rFonts w:ascii="Arial" w:cs="Arial" w:eastAsia="Arial" w:hAnsi="Arial"/>
                <w:sz w:val="18"/>
                <w:szCs w:val="18"/>
                <w:color w:val="auto"/>
                <w:w w:val="99"/>
              </w:rPr>
              <w:t>3</w:t>
            </w:r>
          </w:p>
        </w:tc>
      </w:tr>
      <w:tr>
        <w:trPr>
          <w:trHeight w:val="418"/>
        </w:trPr>
        <w:tc>
          <w:tcPr>
            <w:tcW w:w="9980" w:type="dxa"/>
            <w:vAlign w:val="bottom"/>
            <w:gridSpan w:val="5"/>
          </w:tcPr>
          <w:p>
            <w:pPr>
              <w:spacing w:after="0"/>
              <w:rPr>
                <w:sz w:val="20"/>
                <w:szCs w:val="20"/>
                <w:color w:val="auto"/>
              </w:rPr>
            </w:pPr>
            <w:r>
              <w:rPr>
                <w:rFonts w:ascii="Arial" w:cs="Arial" w:eastAsia="Arial" w:hAnsi="Arial"/>
                <w:sz w:val="18"/>
                <w:szCs w:val="18"/>
                <w:color w:val="auto"/>
                <w:w w:val="93"/>
              </w:rPr>
              <w:t>Consolidated Statements of Operations for the Three Months Ended March 31, 2010 and 2009, and for the Period from July 27, 1999</w:t>
            </w:r>
          </w:p>
        </w:tc>
        <w:tc>
          <w:tcPr>
            <w:tcW w:w="1440" w:type="dxa"/>
            <w:vAlign w:val="bottom"/>
          </w:tcPr>
          <w:p>
            <w:pPr>
              <w:spacing w:after="0"/>
              <w:rPr>
                <w:sz w:val="24"/>
                <w:szCs w:val="24"/>
                <w:color w:val="auto"/>
              </w:rPr>
            </w:pPr>
          </w:p>
        </w:tc>
      </w:tr>
      <w:tr>
        <w:trPr>
          <w:trHeight w:val="230"/>
        </w:trPr>
        <w:tc>
          <w:tcPr>
            <w:tcW w:w="9980" w:type="dxa"/>
            <w:vAlign w:val="bottom"/>
            <w:gridSpan w:val="5"/>
          </w:tcPr>
          <w:p>
            <w:pPr>
              <w:spacing w:after="0"/>
              <w:rPr>
                <w:sz w:val="20"/>
                <w:szCs w:val="20"/>
                <w:color w:val="auto"/>
              </w:rPr>
            </w:pPr>
            <w:r>
              <w:rPr>
                <w:rFonts w:ascii="Arial" w:cs="Arial" w:eastAsia="Arial" w:hAnsi="Arial"/>
                <w:sz w:val="18"/>
                <w:szCs w:val="18"/>
                <w:color w:val="auto"/>
              </w:rPr>
              <w:t>(Date of Inception) to March 31, 2010 (Unaudited)</w:t>
            </w:r>
          </w:p>
        </w:tc>
        <w:tc>
          <w:tcPr>
            <w:tcW w:w="1440" w:type="dxa"/>
            <w:vAlign w:val="bottom"/>
          </w:tcPr>
          <w:p>
            <w:pPr>
              <w:jc w:val="center"/>
              <w:ind w:right="250"/>
              <w:spacing w:after="0"/>
              <w:rPr>
                <w:sz w:val="20"/>
                <w:szCs w:val="20"/>
                <w:color w:val="auto"/>
              </w:rPr>
            </w:pPr>
            <w:r>
              <w:rPr>
                <w:rFonts w:ascii="Arial" w:cs="Arial" w:eastAsia="Arial" w:hAnsi="Arial"/>
                <w:sz w:val="18"/>
                <w:szCs w:val="18"/>
                <w:color w:val="auto"/>
                <w:w w:val="99"/>
              </w:rPr>
              <w:t>4</w:t>
            </w:r>
          </w:p>
        </w:tc>
      </w:tr>
      <w:tr>
        <w:trPr>
          <w:trHeight w:val="418"/>
        </w:trPr>
        <w:tc>
          <w:tcPr>
            <w:tcW w:w="9980" w:type="dxa"/>
            <w:vAlign w:val="bottom"/>
            <w:gridSpan w:val="5"/>
          </w:tcPr>
          <w:p>
            <w:pPr>
              <w:spacing w:after="0"/>
              <w:rPr>
                <w:sz w:val="20"/>
                <w:szCs w:val="20"/>
                <w:color w:val="auto"/>
              </w:rPr>
            </w:pPr>
            <w:r>
              <w:rPr>
                <w:rFonts w:ascii="Arial" w:cs="Arial" w:eastAsia="Arial" w:hAnsi="Arial"/>
                <w:sz w:val="18"/>
                <w:szCs w:val="18"/>
                <w:color w:val="auto"/>
                <w:w w:val="97"/>
              </w:rPr>
              <w:t>Consolidated Statements of Cash Flows for the Three Months Ended March 31, 2010 and 2009, and for the Period from July 27,</w:t>
            </w:r>
          </w:p>
        </w:tc>
        <w:tc>
          <w:tcPr>
            <w:tcW w:w="1440" w:type="dxa"/>
            <w:vAlign w:val="bottom"/>
          </w:tcPr>
          <w:p>
            <w:pPr>
              <w:spacing w:after="0"/>
              <w:rPr>
                <w:sz w:val="24"/>
                <w:szCs w:val="24"/>
                <w:color w:val="auto"/>
              </w:rPr>
            </w:pPr>
          </w:p>
        </w:tc>
      </w:tr>
      <w:tr>
        <w:trPr>
          <w:trHeight w:val="230"/>
        </w:trPr>
        <w:tc>
          <w:tcPr>
            <w:tcW w:w="9980" w:type="dxa"/>
            <w:vAlign w:val="bottom"/>
            <w:gridSpan w:val="5"/>
          </w:tcPr>
          <w:p>
            <w:pPr>
              <w:spacing w:after="0"/>
              <w:rPr>
                <w:sz w:val="20"/>
                <w:szCs w:val="20"/>
                <w:color w:val="auto"/>
              </w:rPr>
            </w:pPr>
            <w:r>
              <w:rPr>
                <w:rFonts w:ascii="Arial" w:cs="Arial" w:eastAsia="Arial" w:hAnsi="Arial"/>
                <w:sz w:val="18"/>
                <w:szCs w:val="18"/>
                <w:color w:val="auto"/>
              </w:rPr>
              <w:t>1999 (Date of Inception) to March 31, 2010 (Unaudited)</w:t>
            </w:r>
          </w:p>
        </w:tc>
        <w:tc>
          <w:tcPr>
            <w:tcW w:w="1440" w:type="dxa"/>
            <w:vAlign w:val="bottom"/>
          </w:tcPr>
          <w:p>
            <w:pPr>
              <w:jc w:val="center"/>
              <w:ind w:right="250"/>
              <w:spacing w:after="0"/>
              <w:rPr>
                <w:sz w:val="20"/>
                <w:szCs w:val="20"/>
                <w:color w:val="auto"/>
              </w:rPr>
            </w:pPr>
            <w:r>
              <w:rPr>
                <w:rFonts w:ascii="Arial" w:cs="Arial" w:eastAsia="Arial" w:hAnsi="Arial"/>
                <w:sz w:val="18"/>
                <w:szCs w:val="18"/>
                <w:color w:val="auto"/>
                <w:w w:val="99"/>
              </w:rPr>
              <w:t>5</w:t>
            </w:r>
          </w:p>
        </w:tc>
      </w:tr>
      <w:tr>
        <w:trPr>
          <w:trHeight w:val="432"/>
        </w:trPr>
        <w:tc>
          <w:tcPr>
            <w:tcW w:w="9980" w:type="dxa"/>
            <w:vAlign w:val="bottom"/>
            <w:gridSpan w:val="5"/>
          </w:tcPr>
          <w:p>
            <w:pPr>
              <w:spacing w:after="0"/>
              <w:rPr>
                <w:sz w:val="20"/>
                <w:szCs w:val="20"/>
                <w:color w:val="auto"/>
              </w:rPr>
            </w:pPr>
            <w:r>
              <w:rPr>
                <w:rFonts w:ascii="Arial" w:cs="Arial" w:eastAsia="Arial" w:hAnsi="Arial"/>
                <w:sz w:val="18"/>
                <w:szCs w:val="18"/>
                <w:color w:val="auto"/>
              </w:rPr>
              <w:t>Notes to the Consolidated Financial Statements (Unaudited)</w:t>
            </w:r>
          </w:p>
        </w:tc>
        <w:tc>
          <w:tcPr>
            <w:tcW w:w="1440" w:type="dxa"/>
            <w:vAlign w:val="bottom"/>
          </w:tcPr>
          <w:p>
            <w:pPr>
              <w:jc w:val="center"/>
              <w:ind w:right="250"/>
              <w:spacing w:after="0"/>
              <w:rPr>
                <w:sz w:val="20"/>
                <w:szCs w:val="20"/>
                <w:color w:val="auto"/>
              </w:rPr>
            </w:pPr>
            <w:r>
              <w:rPr>
                <w:rFonts w:ascii="Arial" w:cs="Arial" w:eastAsia="Arial" w:hAnsi="Arial"/>
                <w:sz w:val="18"/>
                <w:szCs w:val="18"/>
                <w:color w:val="auto"/>
                <w:w w:val="99"/>
              </w:rPr>
              <w:t>6</w:t>
            </w:r>
          </w:p>
        </w:tc>
      </w:tr>
      <w:tr>
        <w:trPr>
          <w:trHeight w:val="223"/>
        </w:trPr>
        <w:tc>
          <w:tcPr>
            <w:tcW w:w="5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7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March 31,</w:t>
            </w: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00" w:type="dxa"/>
            <w:vAlign w:val="bottom"/>
            <w:vMerge w:val="restart"/>
          </w:tcPr>
          <w:p>
            <w:pPr>
              <w:ind w:left="53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1"/>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7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Cash</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21,367</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141,431</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Due from government agency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30"/>
        </w:trPr>
        <w:tc>
          <w:tcPr>
            <w:tcW w:w="8700" w:type="dxa"/>
            <w:vAlign w:val="bottom"/>
          </w:tcPr>
          <w:p>
            <w:pPr>
              <w:ind w:left="100"/>
              <w:spacing w:after="0"/>
              <w:rPr>
                <w:sz w:val="20"/>
                <w:szCs w:val="20"/>
                <w:color w:val="auto"/>
              </w:rPr>
            </w:pPr>
            <w:r>
              <w:rPr>
                <w:rFonts w:ascii="Arial" w:cs="Arial" w:eastAsia="Arial" w:hAnsi="Arial"/>
                <w:sz w:val="18"/>
                <w:szCs w:val="18"/>
                <w:color w:val="auto"/>
              </w:rPr>
              <w:t>Prepaid expenses and deposits (Note 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127,501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214,501</w:t>
            </w:r>
          </w:p>
        </w:tc>
        <w:tc>
          <w:tcPr>
            <w:tcW w:w="0" w:type="dxa"/>
            <w:vAlign w:val="bottom"/>
          </w:tcPr>
          <w:p>
            <w:pPr>
              <w:spacing w:after="0"/>
              <w:rPr>
                <w:sz w:val="1"/>
                <w:szCs w:val="1"/>
                <w:color w:val="auto"/>
              </w:rPr>
            </w:pPr>
          </w:p>
        </w:tc>
      </w:tr>
      <w:tr>
        <w:trPr>
          <w:trHeight w:val="27"/>
        </w:trPr>
        <w:tc>
          <w:tcPr>
            <w:tcW w:w="8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87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149,932</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356,965</w:t>
            </w:r>
          </w:p>
        </w:tc>
        <w:tc>
          <w:tcPr>
            <w:tcW w:w="0" w:type="dxa"/>
            <w:vAlign w:val="bottom"/>
          </w:tcPr>
          <w:p>
            <w:pPr>
              <w:spacing w:after="0"/>
              <w:rPr>
                <w:sz w:val="1"/>
                <w:szCs w:val="1"/>
                <w:color w:val="auto"/>
              </w:rPr>
            </w:pPr>
          </w:p>
        </w:tc>
      </w:tr>
      <w:tr>
        <w:trPr>
          <w:trHeight w:val="21"/>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8700" w:type="dxa"/>
            <w:vAlign w:val="bottom"/>
          </w:tcPr>
          <w:p>
            <w:pPr>
              <w:ind w:left="3680"/>
              <w:spacing w:after="0"/>
              <w:rPr>
                <w:sz w:val="20"/>
                <w:szCs w:val="20"/>
                <w:color w:val="auto"/>
              </w:rPr>
            </w:pPr>
            <w:r>
              <w:rPr>
                <w:rFonts w:ascii="Arial" w:cs="Arial" w:eastAsia="Arial" w:hAnsi="Arial"/>
                <w:sz w:val="18"/>
                <w:szCs w:val="18"/>
                <w:b w:val="1"/>
                <w:bCs w:val="1"/>
                <w:color w:val="auto"/>
              </w:rPr>
              <w:t>LIABILITIES AND STOCKHOLDERS’ DEFICIT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7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8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584,767</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586,556</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Research agreement obligations (Note 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71,601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45,676</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Convertible note payable (Note 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203,021</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Notes payable and secured loan (Note 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37"/>
        </w:trPr>
        <w:tc>
          <w:tcPr>
            <w:tcW w:w="8700" w:type="dxa"/>
            <w:vAlign w:val="bottom"/>
          </w:tcPr>
          <w:p>
            <w:pPr>
              <w:ind w:left="100"/>
              <w:spacing w:after="0"/>
              <w:rPr>
                <w:sz w:val="20"/>
                <w:szCs w:val="20"/>
                <w:color w:val="auto"/>
              </w:rPr>
            </w:pPr>
            <w:r>
              <w:rPr>
                <w:rFonts w:ascii="Arial" w:cs="Arial" w:eastAsia="Arial" w:hAnsi="Arial"/>
                <w:sz w:val="18"/>
                <w:szCs w:val="18"/>
                <w:color w:val="auto"/>
              </w:rPr>
              <w:t>Due to related parties (Note 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101,400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16,100</w:t>
            </w:r>
          </w:p>
        </w:tc>
        <w:tc>
          <w:tcPr>
            <w:tcW w:w="0" w:type="dxa"/>
            <w:vAlign w:val="bottom"/>
          </w:tcPr>
          <w:p>
            <w:pPr>
              <w:spacing w:after="0"/>
              <w:rPr>
                <w:sz w:val="1"/>
                <w:szCs w:val="1"/>
                <w:color w:val="auto"/>
              </w:rPr>
            </w:pPr>
          </w:p>
        </w:tc>
      </w:tr>
      <w:tr>
        <w:trPr>
          <w:trHeight w:val="223"/>
        </w:trPr>
        <w:tc>
          <w:tcPr>
            <w:tcW w:w="87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1,242,768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(Notes 1, 3 and 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70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Capital stock (Note 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Common stock, $0.001 par value, 150,000,000 shares authorized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39,076,674 shares issued and outstanding (2009 – 38,361,674)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39,077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38,362</w:t>
            </w:r>
          </w:p>
        </w:tc>
        <w:tc>
          <w:tcPr>
            <w:tcW w:w="0" w:type="dxa"/>
            <w:vAlign w:val="bottom"/>
          </w:tcPr>
          <w:p>
            <w:pPr>
              <w:spacing w:after="0"/>
              <w:rPr>
                <w:sz w:val="1"/>
                <w:szCs w:val="1"/>
                <w:color w:val="auto"/>
              </w:rPr>
            </w:pPr>
          </w:p>
        </w:tc>
      </w:tr>
      <w:tr>
        <w:trPr>
          <w:trHeight w:val="216"/>
        </w:trPr>
        <w:tc>
          <w:tcPr>
            <w:tcW w:w="8700" w:type="dxa"/>
            <w:vAlign w:val="bottom"/>
          </w:tcPr>
          <w:p>
            <w:pPr>
              <w:ind w:left="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25,783,462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24,152,319</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Shares and warrants to be issued (Note 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52,573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513,733</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Deficit accumulated during the development stage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(26,908,222)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(25,274,076)</w:t>
            </w:r>
          </w:p>
        </w:tc>
        <w:tc>
          <w:tcPr>
            <w:tcW w:w="0" w:type="dxa"/>
            <w:vAlign w:val="bottom"/>
          </w:tcPr>
          <w:p>
            <w:pPr>
              <w:spacing w:after="0"/>
              <w:rPr>
                <w:sz w:val="1"/>
                <w:szCs w:val="1"/>
                <w:color w:val="auto"/>
              </w:rPr>
            </w:pPr>
          </w:p>
        </w:tc>
      </w:tr>
      <w:tr>
        <w:trPr>
          <w:trHeight w:val="237"/>
        </w:trPr>
        <w:tc>
          <w:tcPr>
            <w:tcW w:w="8700" w:type="dxa"/>
            <w:vAlign w:val="bottom"/>
          </w:tcPr>
          <w:p>
            <w:pPr>
              <w:ind w:left="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(59,726)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(59,726)</w:t>
            </w:r>
          </w:p>
        </w:tc>
        <w:tc>
          <w:tcPr>
            <w:tcW w:w="0" w:type="dxa"/>
            <w:vAlign w:val="bottom"/>
          </w:tcPr>
          <w:p>
            <w:pPr>
              <w:spacing w:after="0"/>
              <w:rPr>
                <w:sz w:val="1"/>
                <w:szCs w:val="1"/>
                <w:color w:val="auto"/>
              </w:rPr>
            </w:pPr>
          </w:p>
        </w:tc>
      </w:tr>
      <w:tr>
        <w:trPr>
          <w:trHeight w:val="223"/>
        </w:trPr>
        <w:tc>
          <w:tcPr>
            <w:tcW w:w="87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(1,092,836)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7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149,932</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356,965</w:t>
            </w:r>
          </w:p>
        </w:tc>
        <w:tc>
          <w:tcPr>
            <w:tcW w:w="0" w:type="dxa"/>
            <w:vAlign w:val="bottom"/>
          </w:tcPr>
          <w:p>
            <w:pPr>
              <w:spacing w:after="0"/>
              <w:rPr>
                <w:sz w:val="1"/>
                <w:szCs w:val="1"/>
                <w:color w:val="auto"/>
              </w:rPr>
            </w:pPr>
          </w:p>
        </w:tc>
      </w:tr>
      <w:tr>
        <w:trPr>
          <w:trHeight w:val="21"/>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91"/>
              </w:rPr>
              <w:t>July 27, 1999</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(inception) to</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March 31,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March 31,</w:t>
            </w:r>
          </w:p>
        </w:tc>
      </w:tr>
      <w:tr>
        <w:trPr>
          <w:trHeight w:val="237"/>
        </w:trPr>
        <w:tc>
          <w:tcPr>
            <w:tcW w:w="7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0"/>
                <w:szCs w:val="20"/>
                <w:color w:val="auto"/>
              </w:rPr>
            </w:pPr>
          </w:p>
        </w:tc>
      </w:tr>
      <w:tr>
        <w:trPr>
          <w:trHeight w:val="418"/>
        </w:trPr>
        <w:tc>
          <w:tcPr>
            <w:tcW w:w="73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Consulting fees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12,000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1,783,206</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Consulting fees – stock-based (Note 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863,698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4,655,515</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213,227</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15,966</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23,333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2,424,422</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Interest and finance charges (Note 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165,596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199,916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4,076,199</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Management fees (Note 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69,300</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75,642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2,263,777</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Management fees – stock-based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(Notes 5 and 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324,000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13,167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3,171,050</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135,834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108,009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3,450,283</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Research and development (Note 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43,273</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24,381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5,460,665</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 stock-based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612,000</w:t>
            </w:r>
          </w:p>
        </w:tc>
      </w:tr>
      <w:tr>
        <w:trPr>
          <w:trHeight w:val="223"/>
        </w:trPr>
        <w:tc>
          <w:tcPr>
            <w:tcW w:w="7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1,629,667</w:t>
            </w:r>
          </w:p>
        </w:tc>
        <w:tc>
          <w:tcPr>
            <w:tcW w:w="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486,316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28,110,344</w:t>
            </w:r>
          </w:p>
        </w:tc>
        <w:tc>
          <w:tcPr>
            <w:tcW w:w="100" w:type="dxa"/>
            <w:vAlign w:val="bottom"/>
          </w:tcPr>
          <w:p>
            <w:pPr>
              <w:spacing w:after="0"/>
              <w:rPr>
                <w:sz w:val="19"/>
                <w:szCs w:val="19"/>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b w:val="1"/>
                <w:bCs w:val="1"/>
                <w:color w:val="auto"/>
              </w:rPr>
              <w:t>Net Loss Before Other Items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(1,629,667)</w:t>
            </w:r>
          </w:p>
        </w:tc>
        <w:tc>
          <w:tcPr>
            <w:tcW w:w="26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(486,316)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(28,110,344)</w:t>
            </w:r>
          </w:p>
        </w:tc>
      </w:tr>
      <w:tr>
        <w:trPr>
          <w:trHeight w:val="418"/>
        </w:trPr>
        <w:tc>
          <w:tcPr>
            <w:tcW w:w="7320" w:type="dxa"/>
            <w:vAlign w:val="bottom"/>
          </w:tcPr>
          <w:p>
            <w:pPr>
              <w:spacing w:after="0"/>
              <w:rPr>
                <w:sz w:val="20"/>
                <w:szCs w:val="20"/>
                <w:color w:val="auto"/>
              </w:rPr>
            </w:pPr>
            <w:r>
              <w:rPr>
                <w:rFonts w:ascii="Arial" w:cs="Arial" w:eastAsia="Arial" w:hAnsi="Arial"/>
                <w:sz w:val="18"/>
                <w:szCs w:val="18"/>
                <w:b w:val="1"/>
                <w:bCs w:val="1"/>
                <w:color w:val="auto"/>
              </w:rPr>
              <w:t>Other Items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Foreign exchange (loss) gain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(4,479)</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33,898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40,111</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Gain on settlement of debt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1,134,066</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33,344</w:t>
            </w:r>
          </w:p>
        </w:tc>
      </w:tr>
      <w:tr>
        <w:trPr>
          <w:trHeight w:val="230"/>
        </w:trPr>
        <w:tc>
          <w:tcPr>
            <w:tcW w:w="7320" w:type="dxa"/>
            <w:vAlign w:val="bottom"/>
          </w:tcPr>
          <w:p>
            <w:pPr>
              <w:ind w:left="100"/>
              <w:spacing w:after="0"/>
              <w:rPr>
                <w:sz w:val="20"/>
                <w:szCs w:val="20"/>
                <w:color w:val="auto"/>
              </w:rPr>
            </w:pPr>
            <w:r>
              <w:rPr>
                <w:rFonts w:ascii="Arial" w:cs="Arial" w:eastAsia="Arial" w:hAnsi="Arial"/>
                <w:sz w:val="18"/>
                <w:szCs w:val="18"/>
                <w:color w:val="auto"/>
              </w:rPr>
              <w:t>Loss on disposal of assets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(5,399)</w:t>
            </w:r>
          </w:p>
        </w:tc>
      </w:tr>
      <w:tr>
        <w:trPr>
          <w:trHeight w:val="432"/>
        </w:trPr>
        <w:tc>
          <w:tcPr>
            <w:tcW w:w="7320" w:type="dxa"/>
            <w:vAlign w:val="bottom"/>
          </w:tcPr>
          <w:p>
            <w:pPr>
              <w:spacing w:after="0"/>
              <w:rPr>
                <w:sz w:val="20"/>
                <w:szCs w:val="20"/>
                <w:color w:val="auto"/>
              </w:rPr>
            </w:pPr>
            <w:r>
              <w:rPr>
                <w:rFonts w:ascii="Arial" w:cs="Arial" w:eastAsia="Arial" w:hAnsi="Arial"/>
                <w:sz w:val="18"/>
                <w:szCs w:val="18"/>
                <w:b w:val="1"/>
                <w:bCs w:val="1"/>
                <w:color w:val="auto"/>
              </w:rPr>
              <w:t>Net Loss for the Period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(1,634,146)</w:t>
            </w:r>
          </w:p>
        </w:tc>
        <w:tc>
          <w:tcPr>
            <w:tcW w:w="26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(452,418)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(26,908,222)</w:t>
            </w:r>
          </w:p>
        </w:tc>
      </w:tr>
      <w:tr>
        <w:trPr>
          <w:trHeight w:val="414"/>
        </w:trPr>
        <w:tc>
          <w:tcPr>
            <w:tcW w:w="7320" w:type="dxa"/>
            <w:vAlign w:val="bottom"/>
          </w:tcPr>
          <w:p>
            <w:pPr>
              <w:spacing w:after="0"/>
              <w:rPr>
                <w:sz w:val="20"/>
                <w:szCs w:val="20"/>
                <w:color w:val="auto"/>
              </w:rPr>
            </w:pPr>
            <w:r>
              <w:rPr>
                <w:rFonts w:ascii="Arial" w:cs="Arial" w:eastAsia="Arial" w:hAnsi="Arial"/>
                <w:sz w:val="18"/>
                <w:szCs w:val="18"/>
                <w:b w:val="1"/>
                <w:bCs w:val="1"/>
                <w:color w:val="auto"/>
              </w:rPr>
              <w:t>Deficit Accumulated During the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Development Stage, beginning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of period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(25,274,076)</w:t>
            </w:r>
          </w:p>
        </w:tc>
        <w:tc>
          <w:tcPr>
            <w:tcW w:w="2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(20,812,106)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14"/>
        </w:trPr>
        <w:tc>
          <w:tcPr>
            <w:tcW w:w="73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Deficit Accumulated During the</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Development Stage, end of period</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(26,908,222)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w w:val="94"/>
              </w:rPr>
              <w:t>(21,264,524)  $</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(26,908,222)</w:t>
            </w:r>
          </w:p>
        </w:tc>
      </w:tr>
      <w:tr>
        <w:trPr>
          <w:trHeight w:val="21"/>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2"/>
        </w:trPr>
        <w:tc>
          <w:tcPr>
            <w:tcW w:w="732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(0.04)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38,854,230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2,414,983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3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91"/>
              </w:rPr>
              <w:t>Three Months</w:t>
            </w:r>
          </w:p>
        </w:tc>
        <w:tc>
          <w:tcPr>
            <w:tcW w:w="128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91"/>
              </w:rPr>
              <w:t>Three Months</w:t>
            </w: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July 27, 1999</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Ended</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Ended</w:t>
            </w:r>
          </w:p>
        </w:tc>
        <w:tc>
          <w:tcPr>
            <w:tcW w:w="80" w:type="dxa"/>
            <w:vAlign w:val="bottom"/>
          </w:tcPr>
          <w:p>
            <w:pPr>
              <w:spacing w:after="0"/>
              <w:rPr>
                <w:sz w:val="18"/>
                <w:szCs w:val="18"/>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(inception) to</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March 31,</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March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March 31,</w:t>
            </w:r>
          </w:p>
        </w:tc>
      </w:tr>
      <w:tr>
        <w:trPr>
          <w:trHeight w:val="237"/>
        </w:trPr>
        <w:tc>
          <w:tcPr>
            <w:tcW w:w="20" w:type="dxa"/>
            <w:vAlign w:val="bottom"/>
          </w:tcPr>
          <w:p>
            <w:pPr>
              <w:spacing w:after="0"/>
              <w:rPr>
                <w:sz w:val="20"/>
                <w:szCs w:val="20"/>
                <w:color w:val="auto"/>
              </w:rPr>
            </w:pPr>
          </w:p>
        </w:tc>
        <w:tc>
          <w:tcPr>
            <w:tcW w:w="7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0"/>
                <w:szCs w:val="20"/>
                <w:color w:val="auto"/>
              </w:rPr>
            </w:pP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(1,634,146)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(452,418)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(26,908,222)</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cash used in operating activities: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213,228</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Gain on settlement of debts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(1,134,066)</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Loss on disposal of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5,399</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Non-cash interest and finance fees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146,979</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153,340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3,695,068</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1,187,698</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13,167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8,454,815</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Due from government agency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(1,064)</w:t>
            </w: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Prepaid expenses and receivables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(30,000)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9,520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(24,000)</w:t>
            </w: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98,211</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116,843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2,584,224</w:t>
            </w:r>
          </w:p>
        </w:tc>
      </w:tr>
      <w:tr>
        <w:trPr>
          <w:trHeight w:val="237"/>
        </w:trPr>
        <w:tc>
          <w:tcPr>
            <w:tcW w:w="20" w:type="dxa"/>
            <w:vAlign w:val="bottom"/>
          </w:tcPr>
          <w:p>
            <w:pPr>
              <w:spacing w:after="0"/>
              <w:rPr>
                <w:sz w:val="20"/>
                <w:szCs w:val="20"/>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Research agreement obligations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25,925</w:t>
            </w: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(13,626)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289,732</w:t>
            </w:r>
          </w:p>
        </w:tc>
      </w:tr>
      <w:tr>
        <w:trPr>
          <w:trHeight w:val="223"/>
        </w:trPr>
        <w:tc>
          <w:tcPr>
            <w:tcW w:w="20" w:type="dxa"/>
            <w:vAlign w:val="bottom"/>
            <w:tcBorders>
              <w:bottom w:val="single" w:sz="8" w:color="auto"/>
            </w:tcBorders>
          </w:tcPr>
          <w:p>
            <w:pPr>
              <w:spacing w:after="0"/>
              <w:rPr>
                <w:sz w:val="19"/>
                <w:szCs w:val="19"/>
                <w:color w:val="auto"/>
              </w:rPr>
            </w:pPr>
          </w:p>
        </w:tc>
        <w:tc>
          <w:tcPr>
            <w:tcW w:w="7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(205,364)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(12,824,886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Purchase of furniture and equipment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(218,626)</w:t>
            </w:r>
          </w:p>
        </w:tc>
      </w:tr>
      <w:tr>
        <w:trPr>
          <w:trHeight w:val="237"/>
        </w:trPr>
        <w:tc>
          <w:tcPr>
            <w:tcW w:w="20" w:type="dxa"/>
            <w:vAlign w:val="bottom"/>
          </w:tcPr>
          <w:p>
            <w:pPr>
              <w:spacing w:after="0"/>
              <w:rPr>
                <w:sz w:val="20"/>
                <w:szCs w:val="20"/>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Cash acquired on reverse acquisition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423,373</w:t>
            </w:r>
          </w:p>
        </w:tc>
      </w:tr>
      <w:tr>
        <w:trPr>
          <w:trHeight w:val="223"/>
        </w:trPr>
        <w:tc>
          <w:tcPr>
            <w:tcW w:w="20" w:type="dxa"/>
            <w:vAlign w:val="bottom"/>
            <w:tcBorders>
              <w:bottom w:val="single" w:sz="8" w:color="auto"/>
            </w:tcBorders>
          </w:tcPr>
          <w:p>
            <w:pPr>
              <w:spacing w:after="0"/>
              <w:rPr>
                <w:sz w:val="19"/>
                <w:szCs w:val="19"/>
                <w:color w:val="auto"/>
              </w:rPr>
            </w:pPr>
          </w:p>
        </w:tc>
        <w:tc>
          <w:tcPr>
            <w:tcW w:w="7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204,747</w:t>
            </w:r>
          </w:p>
        </w:tc>
        <w:tc>
          <w:tcPr>
            <w:tcW w:w="100" w:type="dxa"/>
            <w:vAlign w:val="bottom"/>
          </w:tcPr>
          <w:p>
            <w:pPr>
              <w:spacing w:after="0"/>
              <w:rPr>
                <w:sz w:val="19"/>
                <w:szCs w:val="19"/>
                <w:color w:val="auto"/>
              </w:rPr>
            </w:pP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Issuance of common stock,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9,622,125</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658,450</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Notes and loans payable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919,845</w:t>
            </w:r>
          </w:p>
        </w:tc>
      </w:tr>
      <w:tr>
        <w:trPr>
          <w:trHeight w:val="237"/>
        </w:trPr>
        <w:tc>
          <w:tcPr>
            <w:tcW w:w="20" w:type="dxa"/>
            <w:vAlign w:val="bottom"/>
          </w:tcPr>
          <w:p>
            <w:pPr>
              <w:spacing w:after="0"/>
              <w:rPr>
                <w:sz w:val="20"/>
                <w:szCs w:val="20"/>
                <w:color w:val="auto"/>
              </w:rPr>
            </w:pPr>
          </w:p>
        </w:tc>
        <w:tc>
          <w:tcPr>
            <w:tcW w:w="7300" w:type="dxa"/>
            <w:vAlign w:val="bottom"/>
          </w:tcPr>
          <w:p>
            <w:pPr>
              <w:ind w:left="60"/>
              <w:spacing w:after="0"/>
              <w:rPr>
                <w:sz w:val="20"/>
                <w:szCs w:val="20"/>
                <w:color w:val="auto"/>
              </w:rPr>
            </w:pPr>
            <w:r>
              <w:rPr>
                <w:rFonts w:ascii="Arial" w:cs="Arial" w:eastAsia="Arial" w:hAnsi="Arial"/>
                <w:sz w:val="18"/>
                <w:szCs w:val="18"/>
                <w:color w:val="auto"/>
              </w:rPr>
              <w:t>Advances from related parties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85,300</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54,567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1,441,086</w:t>
            </w:r>
          </w:p>
        </w:tc>
      </w:tr>
      <w:tr>
        <w:trPr>
          <w:trHeight w:val="223"/>
        </w:trPr>
        <w:tc>
          <w:tcPr>
            <w:tcW w:w="20" w:type="dxa"/>
            <w:vAlign w:val="bottom"/>
            <w:tcBorders>
              <w:bottom w:val="single" w:sz="8" w:color="auto"/>
            </w:tcBorders>
          </w:tcPr>
          <w:p>
            <w:pPr>
              <w:spacing w:after="0"/>
              <w:rPr>
                <w:sz w:val="19"/>
                <w:szCs w:val="19"/>
                <w:color w:val="auto"/>
              </w:rPr>
            </w:pPr>
          </w:p>
        </w:tc>
        <w:tc>
          <w:tcPr>
            <w:tcW w:w="7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85,300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12,641,506</w:t>
            </w:r>
          </w:p>
        </w:tc>
        <w:tc>
          <w:tcPr>
            <w:tcW w:w="100" w:type="dxa"/>
            <w:vAlign w:val="bottom"/>
          </w:tcPr>
          <w:p>
            <w:pPr>
              <w:spacing w:after="0"/>
              <w:rPr>
                <w:sz w:val="19"/>
                <w:szCs w:val="19"/>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Net (Decrease) Increase in Cash</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(120,064)</w:t>
            </w:r>
          </w:p>
        </w:tc>
        <w:tc>
          <w:tcPr>
            <w:tcW w:w="16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3,754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21,367</w:t>
            </w: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Cash, Beginning of Period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141,431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987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Cash, End of Period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21,367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21,367</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7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w w:val="92"/>
              </w:rPr>
              <w:t xml:space="preserve">Supplemental cash flow information and non-cash investing and financing activities: </w:t>
            </w:r>
            <w:r>
              <w:rPr>
                <w:rFonts w:ascii="Arial" w:cs="Arial" w:eastAsia="Arial" w:hAnsi="Arial"/>
                <w:sz w:val="18"/>
                <w:szCs w:val="18"/>
                <w:color w:val="auto"/>
                <w:w w:val="92"/>
              </w:rPr>
              <w:t>(refer to</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Note 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 (UNAUDITED)</w:t>
      </w:r>
    </w:p>
    <w:p>
      <w:pPr>
        <w:spacing w:after="0" w:line="234"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70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70455" cy="8890"/>
                    </a:xfrm>
                    <a:prstGeom prst="rect">
                      <a:avLst/>
                    </a:prstGeom>
                    <a:noFill/>
                  </pic:spPr>
                </pic:pic>
              </a:graphicData>
            </a:graphic>
          </wp:anchor>
        </w:drawing>
      </w:r>
    </w:p>
    <w:p>
      <w:pPr>
        <w:spacing w:after="0" w:line="2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TapImmune Inc. (the “Company”), a Nevada corporation incorporated in 1992, is a development stage company which was formed for the purpose of building a biotechnology business specializing in the discovery and development of immunotherapeutics aimed at the treatment of cancer, and therapies for infectious diseases, autoimmune disorders and transplant tissue rejection.</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July 10, 2009 the Company executed a 1 for 10 reverse stock split reducing the authorized capital to 50,000,000 common shares with a $0.001 par value and 5,000,000 non-voting preferred shares with a $0.001 par value. Unless specifically noted, all amounts have been retroactively restated to recognize the reverse stock splits (refer to Note 6). Effective February 21, 2010, the Company increased its shares of common stock from 50,000,000 common shares to 150,000,000 common shares. The Company maintained its authorized shares of preferred stock at 5,000,000.</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inception, TapImmune and the University of British Columbia (“UBC”) have been parties to various Collaborative Research Agreements (“CRA”) appointing UBC to carry out development of the licensed technology and providing TapImmune the option to acquire the rights to commercialize any additional technologies developed within the CRA. The lead product candidate, now wholly owned and with no ongoing license or royalty, resulting from these license agreements is an immunotherapy vaccine, on which the Company has been completing pre-clinical work in anticipation of clinical trials. Specifically, the Company has obtained and expanded on three U.S. and international patents, tested various viral vectors, licensed a viral vector and is working towards production of a clinical grade vaccine. 60; The Company plans to continue development of the lead product vaccine through to clinical trials in both oncology and infectious diseases alone or in partnership with other vaccine developers.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consolidated financial statements have been prepared on the basis of a going concern which contemplates the realization of assets and the satisfaction of liabilities in the normal course of business. As at March 31, 2010, the Company had a working capital and stockholders’ deficit of $1,092,836, and had incurred significant losses since inception. Further losses are anticipated in the development stage raising substantial doubt as to the Company’s ability to continue as a going concern. The ability of the Company to continue as a going concern is dependent on raising additional capital to fund ongoing research and development, maintenance and protection of patents, accommodation from certain debt obligations and ultimately on generating future profitable operations. Planned expenditures relating to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was able to substantially complete ongoing restructuring plans in the second half of 2009. Additional funding and equity for debt settlements have retired notes payable and other debt obligations were satisfied. Additional capital is required now to expand programs including pre-clinical work and to establish future manufacturing contracts necessary for clinical trials for the lead TAP (Transporters of Antigen Processing) vaccine and infectious disease adjuvant technology. Strategic partnerships will be needed to continue the product development portfolio and fund development costs. These measures, if successful, may contribute to reduce the risk of going concern uncertainties for the Company over the next twelve months.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certainty that the Company will be able to raise sufficient funding to satisfy current debt obligations or to continue development of products to marketability.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spacing w:after="0"/>
        <w:tabs>
          <w:tab w:leader="none" w:pos="14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UNAUDITED CONSOLIDATED FINANCIAL STATEMENTS FOR AN INTERIM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521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213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opinion of management, the accompanying balance sheets and related interim statements of income and cash flows include all adjustments, consisting only of normal recurring items, necessary for their fair presentation in conformity with accounting principles generally accepted in the United States of America (“U.S. GAAP”). Preparing financial statements requires management to make estimates and assumptions that affect the reported amounts of assets, liabilities, and expenses. Examples include: valuation of the beneficial conversion feature of convertible debt and stock-based compensation. Actual results and outcomes may differ from management’s estimates and assumptions.</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Interim results are not necessarily indicative of results for a full year. The information included in this quarterly report on Form 10-Q should be read in conjunction with information included in the Company’s annual report on Form 10-K filed on April 15, 2010, with the U.S. Securities and Exchange Commission.</w:t>
      </w:r>
    </w:p>
    <w:p>
      <w:pPr>
        <w:spacing w:after="0" w:line="204"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RESEARCH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4098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Crucell Holland B.V. (“Crucell”) – Research License and Option Agreement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August 7, 2003, Crucell and GPI entered into a five-year research license and option agreement whereby Crucell granted to GPI a non-exclusive worldwide license for the research use of its adenovirus technology. The Company was required to make certain payments over the five-year term totaling Euro €450,000 (approximately $510,100).</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2008, $243,598 (€172,801) was owing to Crucell under this agreement. During the year ended December 31, 2009, management negotiated a settlement of the outstanding balance requiring a €17,000 cash payment (paid) and the issuance of 265,000 shares of the Company’s common stock (issued, refer to Note 6).</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retroactively effective August 7, 2008, the Company negotiated an amended license agreement for the use of Crucell’s adenovirus technology. The Company is required to make annual license payments on the anniversary of the effective date for the three year term equal to €75,000 per annum. As at March 31, 2010, the Company had accrued $71,601 (€50,000) under the amended agreement.</w:t>
      </w:r>
    </w:p>
    <w:p>
      <w:pPr>
        <w:spacing w:after="0" w:line="204"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SHORT 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40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debt instrument transactions that are relevant to the current and prior period: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Unamortized</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 at</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9"/>
              </w:rPr>
              <w:t>Balance at</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Note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March 31,</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December 31,</w:t>
            </w:r>
          </w:p>
        </w:tc>
      </w:tr>
      <w:tr>
        <w:trPr>
          <w:trHeight w:val="237"/>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Face Value</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Discount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r>
      <w:tr>
        <w:trPr>
          <w:trHeight w:val="418"/>
        </w:trPr>
        <w:tc>
          <w:tcPr>
            <w:tcW w:w="5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2009 Secured Debentures</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Secured Notes, 30% 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60" w:type="dxa"/>
            <w:vAlign w:val="bottom"/>
          </w:tcPr>
          <w:p>
            <w:pPr>
              <w:ind w:left="100"/>
              <w:spacing w:after="0"/>
              <w:rPr>
                <w:sz w:val="20"/>
                <w:szCs w:val="20"/>
                <w:color w:val="auto"/>
              </w:rPr>
            </w:pPr>
            <w:r>
              <w:rPr>
                <w:rFonts w:ascii="Arial" w:cs="Arial" w:eastAsia="Arial" w:hAnsi="Arial"/>
                <w:sz w:val="18"/>
                <w:szCs w:val="18"/>
                <w:color w:val="auto"/>
              </w:rPr>
              <w:t>due October 4, 2009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135,000</w:t>
            </w:r>
          </w:p>
        </w:tc>
        <w:tc>
          <w:tcPr>
            <w:tcW w:w="118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135,000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135,000</w:t>
            </w:r>
          </w:p>
        </w:tc>
      </w:tr>
      <w:tr>
        <w:trPr>
          <w:trHeight w:val="21"/>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issuance of the Debentures, the Company entered into a Security Agreement with the Debenture holders secured by all of the Company’s assets, including the Company’s tangible assets and patents and patent applications, until there has been full compliance with the terms of the Debentures.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Debentures, the Company issued a total of 270,000 warrants which have a term of two years from the date of issuance. Management estimated the fair value of these warrants to be $60,000 using the Black-Scholes pricing model.</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2010, no repayment has been made to the principal amount and interest of $45,382 (December 31, 2009 - $35,396) has been accrued and included in accounts payable and accrued liabilities.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Unamortized</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 at</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9"/>
              </w:rPr>
              <w:t>Balance at</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Note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March 31,</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December 31,</w:t>
            </w: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Face Value</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Discount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2009 Convertible Debentures</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Unsecured Convertible Note, 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Arial" w:cs="Arial" w:eastAsia="Arial" w:hAnsi="Arial"/>
                <w:sz w:val="18"/>
                <w:szCs w:val="18"/>
                <w:color w:val="auto"/>
              </w:rPr>
              <w:t>interest, due February 28, 2010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350,000</w:t>
            </w:r>
          </w:p>
        </w:tc>
        <w:tc>
          <w:tcPr>
            <w:tcW w:w="118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203,021</w:t>
            </w:r>
          </w:p>
        </w:tc>
      </w:tr>
      <w:tr>
        <w:trPr>
          <w:trHeight w:val="21"/>
        </w:trPr>
        <w:tc>
          <w:tcPr>
            <w:tcW w:w="20" w:type="dxa"/>
            <w:vAlign w:val="bottom"/>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31, 2009, the Company completed a convertible debenture financing of $350,000 issuing a convertible promissory note bearing interest at 10% per annum. If not converted, the note was due on February 28, 2010. The unpaid amount of principal and accrued interest can be converted at any time at the holder's option into shares of the Company's common stock at a price of $0.80 per share.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Under the terms of the debenture agreement, the note would automatically convert to equity if, during the term of the note, the Company received funding equal to or exceeding $2,000,000 through the sale of its shares of common stock or additional debt instruments that are converted into common stock during the term of the debenture. If the Company did not receive $2,000,000 additional funding by the end of the term the holders may convert the debentures into 3,500,000 common shares of the Company or get repaid in full.</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the embedded beneficial conversion feature of $139,571 as additional paid-in capital as the convertible notes were issued with an intrinsic value conversion feature. Additionally, the Company issued 437,500 non-transferable and registerable share purchase warrants. Management estimated the fair value of the warrants to be $210,429 as the relative fair value of the warrants and beneficial conversion feature together is limited to the face value of the loan.</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2010, no repayment has been made to the principal amount and interest of $20,329 (December 31, 2009 - $11,699) has been accrued and included in accounts payable and accrued liabilities.</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238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2384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2010, the Company entered into transactions with certain officers and directors of the Company as follows:</w:t>
      </w:r>
    </w:p>
    <w:p>
      <w:pPr>
        <w:spacing w:after="0" w:line="264" w:lineRule="exact"/>
        <w:rPr>
          <w:sz w:val="20"/>
          <w:szCs w:val="20"/>
          <w:color w:val="auto"/>
        </w:rPr>
      </w:pPr>
    </w:p>
    <w:p>
      <w:pPr>
        <w:ind w:left="980" w:hanging="289"/>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incurred $69,300 (2009 - $75,642) in management fees and $18,000 (2009 - $Nil) in research and development paid to officers and directors during the period;</w:t>
      </w:r>
    </w:p>
    <w:p>
      <w:pPr>
        <w:spacing w:after="0" w:line="1" w:lineRule="exact"/>
        <w:rPr>
          <w:rFonts w:ascii="Arial" w:cs="Arial" w:eastAsia="Arial" w:hAnsi="Arial"/>
          <w:sz w:val="18"/>
          <w:szCs w:val="18"/>
          <w:color w:val="auto"/>
        </w:rPr>
      </w:pPr>
    </w:p>
    <w:p>
      <w:pPr>
        <w:ind w:left="980" w:right="20" w:hanging="299"/>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recorded $324,000 (2009 - $13,167) in stock based compensation for the fair value of options granted to management that were granted and or vested during the period;</w:t>
      </w:r>
    </w:p>
    <w:p>
      <w:pPr>
        <w:ind w:left="980" w:hanging="289"/>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incurred $Nil (2009 - $37,828) in interest and finance charges on promissory notes due to related parties during the period, which were settled in conection with an equity issuance effective June 4, 2009; and</w:t>
      </w:r>
    </w:p>
    <w:p>
      <w:pPr>
        <w:ind w:left="980" w:hanging="299"/>
        <w:spacing w:after="0" w:line="261"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incurred $Nil (2009 - $130,051) in interest and finance charges related to an agreement to issue warrants in connection with extending the terms of the promissory notes due to related parties during the period.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related party transactions (other than stock based consideration) involving provision of services were recorded at the exchange amount, which is the amount established and agreed to by the related parties as representing fair value. The Company accounted for the debt settlement transactions with related parties at management’s estimate of fair value, which is evidenced by settlements between arms length parties.</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March 31, 2010, the Company had amounts owing to directors and officers of $101,400 (December 31, 2009 - $16,100). These amounts were in the normal course of operations. Amounts due to related parties are unsecured, non-interest bearing and have no specific terms of repayment.</w:t>
      </w:r>
    </w:p>
    <w:p>
      <w:pPr>
        <w:spacing w:after="0" w:line="17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656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6563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Prior to March 27, 2007, the authorized capital of the Company consisted of 500,000,000 common shares with $0.001 par value and 5,000,000 non-voting preferred shares with $0.001 par value. On March 27, 2007, the Company’s Articles of Incorporation were amended to increase the authorized shares of common stock from 20,000,000 shares of common stock to 80,000,000 shares of common stock, and on January 22, 2009 the authorized shares of common stock increased from 80,000,000 shares of common stock to 500,000,000 shares of common stock. Effective July 10, 2009, the Company executed a further 1 for 10 reverse stock split while simultaneously reducing the authorized shares of common stock to 50,000,000 common shares with a $0.001 par value and maintaining 5,000,000 non-voting preferred shares with a $0.001 par valu e. Effective February 21, 2010, the Company increased its authorized shares of common stock from 50,000,000 common shares to 150,000,000 common shares. The Company maintained its authorized shares of preferred stock at 5,000,000.</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prior period share transactions included in the company’s stock transactions and balances have been retroactively restated to give effect to the 1 for 10 reverse stock split noted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Share Transactions</w:t>
      </w:r>
    </w:p>
    <w:p>
      <w:pPr>
        <w:spacing w:after="0" w:line="27"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On January 28, 2010, the Company issued 250,000 shares of its restricted common stock pursuant to a consulting services agreement. At the time of issuance the shares had a fair value of $0.52 per share, as quoted in an observable market, and $130,000 was recorded as stock-based consulting fees.</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January 28, 2010, the Company issued 100,000 shares of its restricted common stock pursuant to a consulting services agreement. At the time of issuance the shares had a fair value of $0.52 per share, as quoted in an observable market, and $52,000 was recorded as stock-based consulting fees.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8" w:name="page9"/>
    <w:bookmarkEnd w:id="8"/>
    <w:p>
      <w:pPr>
        <w:jc w:val="both"/>
        <w:ind w:right="20"/>
        <w:spacing w:after="0" w:line="277" w:lineRule="auto"/>
        <w:rPr>
          <w:sz w:val="20"/>
          <w:szCs w:val="20"/>
          <w:color w:val="auto"/>
        </w:rPr>
      </w:pPr>
      <w:r>
        <w:rPr>
          <w:rFonts w:ascii="Arial" w:cs="Arial" w:eastAsia="Arial" w:hAnsi="Arial"/>
          <w:sz w:val="18"/>
          <w:szCs w:val="18"/>
          <w:color w:val="auto"/>
        </w:rPr>
        <w:t>On January 28, 2010, the Company issued 100,000 shares of its restricted common stock pursuant to a consulting services agreement. At the time of issuance the shares had a fair value of $0.52 per share and $52,000 was recorded as stock-based consulting fees.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On January 28, 2010, the Company issued 265,000 shares of its restricted common stock pursuant to a debt settlement agreement (refer to Note 3).</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8, 2007, the Board of Directors of the Company approved the adoption of a stock option plan (the “2007 Plan”) allowing for the granting of up to 640,000 options to directors, officers, employees and consultants of the Company and its subsidiaries. On October 14, 2009, the Company adopted the 2009 Stock Incentive Plan (the “2009 Plan”) which supersedes and replaces the 2007 Stock Plan. The 2009 Plan allows for the issuance of up to 10,000,000 common shares. Options granted under the Plan shall be at prices and for terms as determined by the Board of Directors.</w:t>
      </w:r>
    </w:p>
    <w:p>
      <w:pPr>
        <w:spacing w:after="0" w:line="2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8, 2007, a total of 632,000 stock options were granted at an exercise price of $2.50 per share. The term of these options is ten years. Of the 632,000 options granted, 310,000 vested upon grant, 242,000 vested in one year, 40,000 vested in two years and 40,000 vested in three years. The aggregate fair value of these options was estimated at $1,179,600, or $1.90 per option, using the Black-Scholes option pricing model with a risk free interest rate of 5.26%, a dividend yield of 0%, an expected volatility of 83%, and expected life of 5 years for the options vesting immediately, 4 years for the options vesting in one year, 3 years for the options vesting in two years, and 2 years for the options vesting in three years. The earned portion of the value of these options during the three mon ths ended March 31, 2010 was $Nil (2009 - $13,167) which was recorded as stock based management fees.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14, 2009, the Company granted a total of 3,326,000 stock options at an exercise price of $0.97 per share to consultants and management, of which 1,913,000 vested immediately and the remaining 1,413,000 vest in one year. The term of the options is ten years. Additionally, on October 14, 2009, the Company approved the repricing of certain stock options issued to consultants and management. Options with an exercise price of $2.50 were repriced to $0.97 per share and the aggregate fair value of the repriced options is $5,840. The aggregate fair value of the new grants was estimated at $3,192,960, or $0.96 per option, using the Black-Scholes option pricing model with a risk free interest rate of 2.36%, a dividend yield of 0%, an expected volatility of 236%, and an expected life of 5 yea rs. The expensed portion of the value of these options during the three months ended March 31, 2010 was $339,120 (2009 - $Nil) which was recorded as stock based consulting and management fees.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options as of March 31, 2010 and changes during the period is presented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Weighted</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180"/>
              <w:spacing w:after="0"/>
              <w:rPr>
                <w:sz w:val="20"/>
                <w:szCs w:val="20"/>
                <w:color w:val="auto"/>
              </w:rPr>
            </w:pPr>
            <w:r>
              <w:rPr>
                <w:rFonts w:ascii="Arial" w:cs="Arial" w:eastAsia="Arial" w:hAnsi="Arial"/>
                <w:sz w:val="18"/>
                <w:szCs w:val="18"/>
                <w:color w:val="auto"/>
              </w:rPr>
              <w:t>Number of</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Remaining</w:t>
            </w:r>
          </w:p>
        </w:tc>
      </w:tr>
      <w:tr>
        <w:trPr>
          <w:trHeight w:val="237"/>
        </w:trPr>
        <w:tc>
          <w:tcPr>
            <w:tcW w:w="7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Options</w:t>
            </w:r>
          </w:p>
        </w:tc>
        <w:tc>
          <w:tcPr>
            <w:tcW w:w="220" w:type="dxa"/>
            <w:vAlign w:val="bottom"/>
            <w:gridSpan w:val="2"/>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rPr>
              <w:t>Life</w:t>
            </w:r>
          </w:p>
        </w:tc>
        <w:tc>
          <w:tcPr>
            <w:tcW w:w="100" w:type="dxa"/>
            <w:vAlign w:val="bottom"/>
          </w:tcPr>
          <w:p>
            <w:pPr>
              <w:spacing w:after="0"/>
              <w:rPr>
                <w:sz w:val="20"/>
                <w:szCs w:val="20"/>
                <w:color w:val="auto"/>
              </w:rPr>
            </w:pPr>
          </w:p>
        </w:tc>
      </w:tr>
      <w:tr>
        <w:trPr>
          <w:trHeight w:val="418"/>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2009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3,618,000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9.60</w:t>
            </w:r>
          </w:p>
        </w:tc>
      </w:tr>
      <w:tr>
        <w:trPr>
          <w:trHeight w:val="216"/>
        </w:trPr>
        <w:tc>
          <w:tcPr>
            <w:tcW w:w="7440" w:type="dxa"/>
            <w:vAlign w:val="bottom"/>
            <w:gridSpan w:val="2"/>
          </w:tcPr>
          <w:p>
            <w:pPr>
              <w:ind w:left="100"/>
              <w:spacing w:after="0"/>
              <w:rPr>
                <w:sz w:val="20"/>
                <w:szCs w:val="20"/>
                <w:color w:val="auto"/>
              </w:rPr>
            </w:pPr>
            <w:r>
              <w:rPr>
                <w:rFonts w:ascii="Arial" w:cs="Arial" w:eastAsia="Arial" w:hAnsi="Arial"/>
                <w:sz w:val="18"/>
                <w:szCs w:val="18"/>
                <w:color w:val="auto"/>
              </w:rPr>
              <w:t>Issued</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100"/>
              <w:spacing w:after="0"/>
              <w:rPr>
                <w:sz w:val="20"/>
                <w:szCs w:val="20"/>
                <w:color w:val="auto"/>
              </w:rPr>
            </w:pPr>
            <w:r>
              <w:rPr>
                <w:rFonts w:ascii="Arial" w:cs="Arial" w:eastAsia="Arial" w:hAnsi="Arial"/>
                <w:sz w:val="18"/>
                <w:szCs w:val="18"/>
                <w:color w:val="auto"/>
              </w:rPr>
              <w:t>Cancelled</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b w:val="1"/>
                <w:bCs w:val="1"/>
                <w:color w:val="auto"/>
              </w:rPr>
              <w:t>Balance, March 31, 2010 (Unaudited)</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3,618,000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r>
      <w:tr>
        <w:trPr>
          <w:trHeight w:val="21"/>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440" w:type="dxa"/>
            <w:vAlign w:val="bottom"/>
            <w:gridSpan w:val="2"/>
          </w:tcPr>
          <w:p>
            <w:pPr>
              <w:spacing w:after="0"/>
              <w:rPr>
                <w:sz w:val="20"/>
                <w:szCs w:val="20"/>
                <w:color w:val="auto"/>
              </w:rPr>
            </w:pPr>
            <w:r>
              <w:rPr>
                <w:rFonts w:ascii="Arial" w:cs="Arial" w:eastAsia="Arial" w:hAnsi="Arial"/>
                <w:sz w:val="18"/>
                <w:szCs w:val="18"/>
                <w:color w:val="auto"/>
                <w:w w:val="91"/>
              </w:rPr>
              <w:t>A summary of the status of the Company’s unvested options as of March 31, 2010 is presented below:</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spacing w:after="0"/>
              <w:rPr>
                <w:sz w:val="21"/>
                <w:szCs w:val="21"/>
                <w:color w:val="auto"/>
              </w:rPr>
            </w:pPr>
          </w:p>
        </w:tc>
      </w:tr>
      <w:tr>
        <w:trPr>
          <w:trHeight w:val="202"/>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9"/>
              </w:rPr>
              <w:t>Weighted</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Grant-Date</w:t>
            </w:r>
          </w:p>
        </w:tc>
      </w:tr>
      <w:tr>
        <w:trPr>
          <w:trHeight w:val="237"/>
        </w:trPr>
        <w:tc>
          <w:tcPr>
            <w:tcW w:w="7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20"/>
                <w:szCs w:val="20"/>
                <w:color w:val="auto"/>
              </w:rPr>
            </w:pPr>
          </w:p>
        </w:tc>
      </w:tr>
      <w:tr>
        <w:trPr>
          <w:trHeight w:val="418"/>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Unvested, December 31, 2009</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1,413,000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0.97</w:t>
            </w:r>
          </w:p>
        </w:tc>
      </w:tr>
      <w:tr>
        <w:trPr>
          <w:trHeight w:val="216"/>
        </w:trPr>
        <w:tc>
          <w:tcPr>
            <w:tcW w:w="7440" w:type="dxa"/>
            <w:vAlign w:val="bottom"/>
            <w:gridSpan w:val="2"/>
          </w:tcPr>
          <w:p>
            <w:pPr>
              <w:ind w:left="100"/>
              <w:spacing w:after="0"/>
              <w:rPr>
                <w:sz w:val="20"/>
                <w:szCs w:val="20"/>
                <w:color w:val="auto"/>
              </w:rPr>
            </w:pPr>
            <w:r>
              <w:rPr>
                <w:rFonts w:ascii="Arial" w:cs="Arial" w:eastAsia="Arial" w:hAnsi="Arial"/>
                <w:sz w:val="18"/>
                <w:szCs w:val="18"/>
                <w:color w:val="auto"/>
              </w:rPr>
              <w:t>Vested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gridSpan w:val="2"/>
          </w:tcPr>
          <w:p>
            <w:pPr>
              <w:ind w:left="100"/>
              <w:spacing w:after="0"/>
              <w:rPr>
                <w:sz w:val="20"/>
                <w:szCs w:val="20"/>
                <w:color w:val="auto"/>
              </w:rPr>
            </w:pPr>
            <w:r>
              <w:rPr>
                <w:rFonts w:ascii="Arial" w:cs="Arial" w:eastAsia="Arial" w:hAnsi="Arial"/>
                <w:sz w:val="18"/>
                <w:szCs w:val="18"/>
                <w:color w:val="auto"/>
              </w:rPr>
              <w:t>Cancelled</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gridSpan w:val="2"/>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Unvested, March 31, 2010 (Unaudited)</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1,413,000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0.97</w:t>
            </w:r>
          </w:p>
        </w:tc>
      </w:tr>
      <w:tr>
        <w:trPr>
          <w:trHeight w:val="21"/>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Share Purchase Warrants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January 19, 2010, the Company issued 600,000 share purchase warrants to acquire an equivalent number of common shares of the Company, at an exercise price of $0.50 per share for an exercise period of up to three years from the issuance date, and 600,000 share purchase warrants to acquire an equivalent number of common shares of the Company, at an exercise price of $0.60 per share and for an exercise period of up to three years from the issuance date. The warrants were issued pursuant to a consulting services agreement. The fair value of these warrants was determined to be $648,000, using the Black-Scholes option pricing model with an expected life of 3 years, a risk free interest rate of 1.38%, a dividend yield of 0%, and an expected volatility of 235%.</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8, 2010, the Company issued 750,000 share purchase warrants to acquire an equivalent number of common shares of the Company, at an exercise price of $0.50 per share and for an exercise period of up to five years from the issuance date. The warrants were issued pursuant to a debt settlement agreement. The fair value of these warrants was determined to be $63,835, equal to the amount of debt being settled.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purchase warrants as of March 31, 2010 and changes during the period is presented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9"/>
              </w:rPr>
              <w:t>Weighted</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Average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Remaining</w:t>
            </w:r>
          </w:p>
        </w:tc>
      </w:tr>
      <w:tr>
        <w:trPr>
          <w:trHeight w:val="237"/>
        </w:trPr>
        <w:tc>
          <w:tcPr>
            <w:tcW w:w="7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Life</w:t>
            </w:r>
          </w:p>
        </w:tc>
        <w:tc>
          <w:tcPr>
            <w:tcW w:w="100" w:type="dxa"/>
            <w:vAlign w:val="bottom"/>
          </w:tcPr>
          <w:p>
            <w:pPr>
              <w:spacing w:after="0"/>
              <w:rPr>
                <w:sz w:val="20"/>
                <w:szCs w:val="20"/>
                <w:color w:val="auto"/>
              </w:rPr>
            </w:pPr>
          </w:p>
        </w:tc>
      </w:tr>
      <w:tr>
        <w:trPr>
          <w:trHeight w:val="418"/>
        </w:trPr>
        <w:tc>
          <w:tcPr>
            <w:tcW w:w="7320" w:type="dxa"/>
            <w:vAlign w:val="bottom"/>
          </w:tcPr>
          <w:p>
            <w:pPr>
              <w:spacing w:after="0"/>
              <w:rPr>
                <w:sz w:val="20"/>
                <w:szCs w:val="20"/>
                <w:color w:val="auto"/>
              </w:rPr>
            </w:pPr>
            <w:r>
              <w:rPr>
                <w:rFonts w:ascii="Arial" w:cs="Arial" w:eastAsia="Arial" w:hAnsi="Arial"/>
                <w:sz w:val="18"/>
                <w:szCs w:val="18"/>
                <w:b w:val="1"/>
                <w:bCs w:val="1"/>
                <w:color w:val="auto"/>
              </w:rPr>
              <w:t>Balance, December 31, 2009</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4,112,800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Issued</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1,950,000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Exercised, cancelled or expired</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b w:val="1"/>
                <w:bCs w:val="1"/>
                <w:color w:val="auto"/>
              </w:rPr>
              <w:t>Balance, March 31, 2010 (Unaudited)</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6,062,800</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0.98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r>
      <w:tr>
        <w:trPr>
          <w:trHeight w:val="21"/>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8"/>
          <w:szCs w:val="18"/>
          <w:b w:val="1"/>
          <w:bCs w:val="1"/>
          <w:color w:val="auto"/>
        </w:rPr>
        <w:t>SUPPLEMENTAL CASH FLOW INFORMATION AND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711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11315" cy="8890"/>
                    </a:xfrm>
                    <a:prstGeom prst="rect">
                      <a:avLst/>
                    </a:prstGeom>
                    <a:noFill/>
                  </pic:spPr>
                </pic:pic>
              </a:graphicData>
            </a:graphic>
          </wp:anchor>
        </w:drawing>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2010, the prepaid portion of the fair value of shares issued pursuant to consulting services agreements was $97,501 (December 31, 2009 - $214,501).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$63,835 of accounts payable was settled by the issuance of 750,000 share purchase warrants, exercisable at $0.50 per share for a 5 year period (refer to Note 6).</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Persuant to a consulting arrangement entered into during the period, the Company issued 600,000 share purchase warrants with an exercise price of $0.50 per share and 600,000 share purchase warrants with an excerise price of $0.60 per share exercisable for a three year period (refer to Note 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7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2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w w:val="94"/>
              </w:rPr>
              <w:t>Three Months Ended March 31,</w:t>
            </w:r>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r>
      <w:tr>
        <w:trPr>
          <w:trHeight w:val="237"/>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2010</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8700" w:type="dxa"/>
            <w:vAlign w:val="bottom"/>
          </w:tcPr>
          <w:p>
            <w:pPr>
              <w:spacing w:after="0"/>
              <w:rPr>
                <w:sz w:val="20"/>
                <w:szCs w:val="20"/>
                <w:color w:val="auto"/>
              </w:rPr>
            </w:pPr>
            <w:r>
              <w:rPr>
                <w:rFonts w:ascii="Arial" w:cs="Arial" w:eastAsia="Arial" w:hAnsi="Arial"/>
                <w:sz w:val="18"/>
                <w:szCs w:val="18"/>
                <w:color w:val="auto"/>
              </w:rPr>
              <w:t>Interest paid</w:t>
            </w:r>
          </w:p>
        </w:tc>
        <w:tc>
          <w:tcPr>
            <w:tcW w:w="104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Income taxes paid</w:t>
            </w:r>
          </w:p>
        </w:tc>
        <w:tc>
          <w:tcPr>
            <w:tcW w:w="104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r>
      <w:tr>
        <w:trPr>
          <w:trHeight w:val="21"/>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8"/>
          <w:szCs w:val="18"/>
          <w:b w:val="1"/>
          <w:bCs w:val="1"/>
          <w:color w:val="auto"/>
        </w:rPr>
        <w:t>CONTINGENCY AND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0226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226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Contingency</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not filed income tax returns for several years in certain operating jurisdictions, and may be subject to possible compliance penalties and interest. Management is currently not able to make a reliably measurable provision for possible liability for penalties and interest, if any, at this time, and the Company may be liable for such amounts upon assessment. Penalties and interest, if assessed in the future, will be recorded in the period such amounts are determinable.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Effective December 10, 2009, the Company entered into a twelve month public relations retainer agreement. Pursuant to the terms of the agreement, the Company agreed to: (i) pay a monthly fee of $6,500 through November 30, 2010, (ii) issue 200,000 share purchase warrants to acquire an equivalent number of common shares of the Company, at an exercise price of $0.50 per share and for an exercise period of up to five years from the issuance date (issued), and</w:t>
      </w:r>
    </w:p>
    <w:p>
      <w:pPr>
        <w:spacing w:after="0" w:line="2" w:lineRule="exact"/>
        <w:rPr>
          <w:sz w:val="20"/>
          <w:szCs w:val="20"/>
          <w:color w:val="auto"/>
        </w:rPr>
      </w:pPr>
    </w:p>
    <w:p>
      <w:pPr>
        <w:jc w:val="both"/>
        <w:ind w:firstLine="8"/>
        <w:spacing w:after="0" w:line="255"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 200,000 share purchase warrants to acquire an equivalent number of common shares of the Company, at an exercise price of $0.60 per share for an exercise period of up to five years from the issuance date (issued). The fair value of these warrants was determined to be $204,000 using the Black-Scholes option pricing model.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On June 22, 2009, the Company entered into a one year office lease in Bellevue, Washington commencing on July 1, 2009. The terms of the lease require the Company to make minimum monthly payments of $2,654 per month.</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Combined Research and Operating Obligations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obligations under various agreements through November 30, 2010. The aggregate minimum annual payments for the years ending March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 is as follows:</w:t>
      </w:r>
    </w:p>
    <w:p>
      <w:pPr>
        <w:spacing w:after="0" w:line="200" w:lineRule="exact"/>
        <w:rPr>
          <w:sz w:val="20"/>
          <w:szCs w:val="20"/>
          <w:color w:val="auto"/>
        </w:rPr>
      </w:pPr>
    </w:p>
    <w:p>
      <w:pPr>
        <w:spacing w:after="0" w:line="2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40" w:type="dxa"/>
            <w:vAlign w:val="bottom"/>
          </w:tcPr>
          <w:p>
            <w:pPr>
              <w:jc w:val="right"/>
              <w:ind w:right="190"/>
              <w:spacing w:after="0"/>
              <w:rPr>
                <w:sz w:val="20"/>
                <w:szCs w:val="20"/>
                <w:color w:val="auto"/>
              </w:rPr>
            </w:pPr>
            <w:r>
              <w:rPr>
                <w:rFonts w:ascii="Arial" w:cs="Arial" w:eastAsia="Arial" w:hAnsi="Arial"/>
                <w:sz w:val="18"/>
                <w:szCs w:val="18"/>
                <w:color w:val="auto"/>
                <w:w w:val="84"/>
              </w:rPr>
              <w:t>2011</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161,055</w:t>
            </w:r>
          </w:p>
        </w:tc>
      </w:tr>
      <w:tr>
        <w:trPr>
          <w:trHeight w:val="216"/>
        </w:trPr>
        <w:tc>
          <w:tcPr>
            <w:tcW w:w="640" w:type="dxa"/>
            <w:vAlign w:val="bottom"/>
          </w:tcPr>
          <w:p>
            <w:pPr>
              <w:jc w:val="right"/>
              <w:ind w:right="190"/>
              <w:spacing w:after="0"/>
              <w:rPr>
                <w:sz w:val="20"/>
                <w:szCs w:val="20"/>
                <w:color w:val="auto"/>
              </w:rPr>
            </w:pPr>
            <w:r>
              <w:rPr>
                <w:rFonts w:ascii="Arial" w:cs="Arial" w:eastAsia="Arial" w:hAnsi="Arial"/>
                <w:sz w:val="18"/>
                <w:szCs w:val="18"/>
                <w:color w:val="auto"/>
                <w:w w:val="84"/>
              </w:rPr>
              <w:t>2012</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101,093</w:t>
            </w:r>
          </w:p>
        </w:tc>
      </w:tr>
      <w:tr>
        <w:trPr>
          <w:trHeight w:val="190"/>
        </w:trPr>
        <w:tc>
          <w:tcPr>
            <w:tcW w:w="640" w:type="dxa"/>
            <w:vAlign w:val="bottom"/>
          </w:tcPr>
          <w:p>
            <w:pPr>
              <w:jc w:val="right"/>
              <w:ind w:right="190"/>
              <w:spacing w:after="0" w:line="190" w:lineRule="exact"/>
              <w:rPr>
                <w:sz w:val="20"/>
                <w:szCs w:val="20"/>
                <w:color w:val="auto"/>
              </w:rPr>
            </w:pPr>
            <w:r>
              <w:rPr>
                <w:rFonts w:ascii="Arial" w:cs="Arial" w:eastAsia="Arial" w:hAnsi="Arial"/>
                <w:sz w:val="18"/>
                <w:szCs w:val="18"/>
                <w:color w:val="auto"/>
                <w:w w:val="84"/>
              </w:rPr>
              <w:t>2013</w:t>
            </w:r>
          </w:p>
        </w:tc>
        <w:tc>
          <w:tcPr>
            <w:tcW w:w="540" w:type="dxa"/>
            <w:vAlign w:val="bottom"/>
          </w:tcPr>
          <w:p>
            <w:pPr>
              <w:spacing w:after="0"/>
              <w:rPr>
                <w:sz w:val="16"/>
                <w:szCs w:val="16"/>
                <w:color w:val="auto"/>
              </w:rPr>
            </w:pPr>
          </w:p>
        </w:tc>
        <w:tc>
          <w:tcPr>
            <w:tcW w:w="58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w w:val="86"/>
              </w:rPr>
              <w:t>101,093</w:t>
            </w:r>
          </w:p>
        </w:tc>
      </w:tr>
      <w:tr>
        <w:trPr>
          <w:trHeight w:val="196"/>
        </w:trPr>
        <w:tc>
          <w:tcPr>
            <w:tcW w:w="640" w:type="dxa"/>
            <w:vAlign w:val="bottom"/>
          </w:tcPr>
          <w:p>
            <w:pPr>
              <w:spacing w:after="0"/>
              <w:rPr>
                <w:sz w:val="17"/>
                <w:szCs w:val="17"/>
                <w:color w:val="auto"/>
              </w:rPr>
            </w:pPr>
          </w:p>
        </w:tc>
        <w:tc>
          <w:tcPr>
            <w:tcW w:w="540" w:type="dxa"/>
            <w:vAlign w:val="bottom"/>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363,241</w:t>
            </w:r>
          </w:p>
        </w:tc>
      </w:tr>
    </w:tbl>
    <w:p>
      <w:pPr>
        <w:spacing w:after="0" w:line="200" w:lineRule="exact"/>
        <w:rPr>
          <w:sz w:val="20"/>
          <w:szCs w:val="20"/>
          <w:color w:val="auto"/>
        </w:rPr>
      </w:pPr>
    </w:p>
    <w:p>
      <w:pPr>
        <w:spacing w:after="0" w:line="29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1882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88210" cy="8890"/>
                    </a:xfrm>
                    <a:prstGeom prst="rect">
                      <a:avLst/>
                    </a:prstGeom>
                    <a:noFill/>
                  </pic:spPr>
                </pic:pic>
              </a:graphicData>
            </a:graphic>
          </wp:anchor>
        </w:drawing>
      </w:r>
    </w:p>
    <w:p>
      <w:pPr>
        <w:spacing w:after="0" w:line="23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4, 2010 the Company entered into a debt settlement agreement. Pursuant to the terms of the agreement the Company issued 361,648 restricted common shares in settlement of an outstanding amount of $126,577 and agreed to pay $85,000 towards the remaining outstanding balance.</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4, 2010 the Company issued 687,305 restricted common shares pursuant to the conversion of the 2009 secured debentures with a face value of $135,000 plus accrued interest of approximately $31,392.</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May 17, 2010, the Company entered into a securities purchase agreement to place Senior Secured Convertible Notes (the “</w:t>
      </w:r>
      <w:r>
        <w:rPr>
          <w:rFonts w:ascii="Arial" w:cs="Arial" w:eastAsia="Arial" w:hAnsi="Arial"/>
          <w:sz w:val="16"/>
          <w:szCs w:val="16"/>
          <w:u w:val="single" w:color="auto"/>
          <w:color w:val="auto"/>
        </w:rPr>
        <w:t>Notes</w:t>
      </w:r>
      <w:r>
        <w:rPr>
          <w:rFonts w:ascii="Arial" w:cs="Arial" w:eastAsia="Arial" w:hAnsi="Arial"/>
          <w:sz w:val="16"/>
          <w:szCs w:val="16"/>
          <w:color w:val="auto"/>
        </w:rPr>
        <w:t>”) with a face value of $1,530,000 and a maturity date of May 17, 2011, in exchange for $925,000 in cash and the cancelation of an outstanding convertible debenture in the amount of $350,000. The Notes are original issue discount notes and bear no interest except in a case of default in which case they bear an interest of 18%. The principal and any interest due on the Notes are due in equal monthly installment dates starting four months from the Closing Date. Subject to the satisfaction of certain conditions including the effectiveness of a registration statement and certain minimums on the amount and v alue of the shares of the Company’s common stock sold on the Over-the-Counter Bulletin Board, the Company may elect to pay amounts due on any installment date in either cash or shares of its common stock. Any shares of common stock that the Company issues for a payment on an installment date will be issued at price which is the lesser of $.30 or 85% of the average volume-weighted average price of its common stock on the Over-the-Counter Bulletin Board over the prior twenty trading days. The holders may convert the Notes into shares of the Company’s common stock at a conversion price of $0.30 at any time which upon full conversion of the Notes would result in the issuance of 5,100,000 shares of common stock. In connection with the issuance of the Notes, the Company issued Series A Warrants to purchase fully paid and nonassessable shares of its common stock, Series B Warrants to purchase fully paid and nonassessable shares of its common stock and Series C Warrants t o purchase fully paid and nonassessable shares of its common stock (together, the “</w:t>
      </w:r>
      <w:r>
        <w:rPr>
          <w:rFonts w:ascii="Arial" w:cs="Arial" w:eastAsia="Arial" w:hAnsi="Arial"/>
          <w:sz w:val="16"/>
          <w:szCs w:val="16"/>
          <w:u w:val="single" w:color="auto"/>
          <w:color w:val="auto"/>
        </w:rPr>
        <w:t>Warrants</w:t>
      </w:r>
      <w:r>
        <w:rPr>
          <w:rFonts w:ascii="Arial" w:cs="Arial" w:eastAsia="Arial" w:hAnsi="Arial"/>
          <w:sz w:val="16"/>
          <w:szCs w:val="16"/>
          <w:color w:val="auto"/>
        </w:rPr>
        <w:t>”). The initial exercise price of the Series A Warrants is $0.30 per share, and such warrants are exercisable into 6,375,000 shares of common stock in the aggregate. The initial exercise price of the Series B Warrants is $0.30 per share, and such warrants are exercisable into 5,100,000 shares of common stock in the aggregate. The initial exercise price of the Series C Warrants is $.30 per share, and such warrants are exercisable into 6,375,000 shares of common stock. The Notes and each series of the Warrants contain full-ratchet and other anti-dilution protections. The Company also entered into a Security Agreement to secure payment and performance of its obligations under the Notes pursuant to which it granted the investors a security interest in all of its assets. In addition, the Company engaged a placement agent with respect to the Transaction. Accordingly, as consideration for the placement agent’s services, the placement agent received compensation equal to $64,000 and 400,000 Series A Warrants, 320,000 Series B Warrants and 400,000 Series C Warrants, respectively.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1" w:name="page12"/>
    <w:bookmarkEnd w:id="11"/>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1682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68265" cy="8890"/>
                    </a:xfrm>
                    <a:prstGeom prst="rect">
                      <a:avLst/>
                    </a:prstGeom>
                    <a:noFill/>
                  </pic:spPr>
                </pic:pic>
              </a:graphicData>
            </a:graphic>
          </wp:anchor>
        </w:drawing>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 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should be read in conjunction with our unaudited consolidated interim financial statements and related notes for the three months ended March 31, 2010 included in this quarterly report, as well as our Annual Report on Form 10-K for the year ended December 31,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biotechnology company whose strategic vision is to develop and market products specializing in the application of discoveries in cellular and molecular immunology and cancer biology to the development of proprietary therapeutics aimed at the treatment and eradication of cancer and prevention of infectious diseases. Our technologies are based on an understanding of the function of a protein pump known as “TAP”, which is located within cells and which is essential to the processing of foreign (microbial) or autologous antigens, and subsequent presentation to the immune system for eradication of the cancer or infected cell. We currently have none of our product candidates on the market and are focusing on the development and testing of our product candidates.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Management believes that there is a critical need for more effective cancer therapies. Management further believes that the global market for effective cancer treatments is large, and that immunotherapies representing potential treatments for metastatic cancer are an unmet need in the area of oncology.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human immune system appears to have the potential to clear cancers from the body, based on clinical observations that some tumors spontaneously regress when the immune system is activated. Most cancers are not very “immunogenic”, however,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many solid cancer tumors, the TAP protein system does not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By restoring TAP expression to TAP-deficient cells, the MHC Class I protein peptide complexes could signal the immune system to attack the cancer. The strategic vision of TapImmune is to be a product-driven biotechnology company, focusing primarily on use of its patented TAP technology to restore the TAP function within cancerous cells, thus making them immunogenic, or more “visible” to cancer fighting immune cells. Management believes that this cancer vaccine strategy will provide the most viable therapeutic approach that addresses this problem of “non-immunogenicity” of cancer. Management believes that this therapy may have a strong competitive advantage over other cancer therapies, since restoring the TAP protein will direct the immune system to specifically target the cancero us cells without damaging healthy tissue.</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key part of its overall strategy, and with adequate funding, the company is pursuing the development of prophylactic vaccines against infectious microbes and will also do so in partnership with other vaccine developers. The company intends to develop the TAP technology for use as a vaccine that restores normal immune recognition for the treatment of cancer and supplements immune recognition for the development of prophylactic vaccines.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Target Market Strategy</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With the required funding in place, we will support and expand on our key infectious disease partnerships, including our recently announced collaboration effort with Aeras TB Foundation. We will also continue product development in oncology either alone or with corporate partners. Cancer encompasses a large number of diseases that affect many different parts of the human body.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Research &amp; Markets (Global Vaccine Market Outlook 2007 – 2010) estimated that the market for cancer vaccine s could reach approximately $6 billion in 2010. IMS has estimated that the cancer market will mushroom from $48 billion to $75 billion in 2012 with biopharma companies anticipating that cancer vaccines will grab a large slice of the market (Fierch Biotech, March 23, 2010). The goal of TapImmune management is to have the FDA approve our cancer vaccines within the next few years so that we can secure a portion of this market.</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 also believes that our prophylactic vaccine adjuvant will improve the creation of new vaccines and enhance the efficacy of current vaccines. It will be a key business development strategy to pursue additional partnerships and joint research and development ventures with vaccine manufacturers and pharmaceutical companies to bring new and improved vaccines to market. This strategy includes the development of vaccines for pandemic diseases and for bioterrorism threats. The market for prophylactic vaccines is around $6 billion and is expected to reach $11 billion in 2010 (Frost &amp; Sullivan). Management believes that our adjuvant will increase the potency of many of the currently available vaccines and lead to the creation of better, more effective new vaccines, thereby allowing us to participa te in this large market through novel new products and in combination with existing vaccines.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Efforts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direct our research and development efforts towards the development of immunotherapeutic and prophylactic vaccine products for the treatment of cancer and protection against pathogenic microbes respectively, using our proprietary TAP technology. We have focused our efforts initially on the development of a therapeutic vaccine for applications in cancer treatment while demonstrating the breadth of the TAP technology for the development of prophylactic vaccines and its ability to complement currently approved and emerging products in both cancer therapeutics and prophylactic vaccines against microbes. This approach allows us to pursue our own internal product development while positioning us to enter into multiple partnerships and licensing agreements. Our first generation TAP vaccines that have been u sed in animal preclinical studies are based on insertion of TAP genes into a proprietary modified adeno virus vector. For clinical studies, we plan to have this product manufactured using the PerC6 cell line licensed from Crucell Holland B.V. (“Crucell”). We have an opportunity to take advantage of our potential partners’ capabilities while reducing our overhead costs. Our relationship with the University of British Columbia (“UBC”) allowed us to conduct contract research and development by employing highly skilled scientists at UBC. The research and development team performed the basic research on the biological function of TAP and related licensed technology as well as preclinical animal studies in cancer and infectious diseases. Moving into the development phase, we plan to initiate a contract with a qualified CRO (contract research organization) for the production of clinical grade vaccine product to be used in preclinic al and clinical studies that require production facilities with Good Manufacturing Practices (“GMP”) and Good Laboratory Practices (“GLP”) certification. We will also plan to rely on our new partnership with Aeras to demonstrate the use of TAP in a new TB vaccine candidate. Second generation vaccines using TAP-encoding DNA plasmids will also be developed.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TAP Cancer Vaccine</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previously developed our TAP Cancer Vaccine at the UBC Biomedical Research Centre under an agreement we refer to in this report as our “Collaborative Research Agreement”. This therapeutic cancer vaccine candidate, to be tested in preclinical toxicology studies, will, if successfully developed, include the patented use of the TAP-1 gene to restore the TAP protein, with the objective being to develop the TAP technology as a therapeutic cancer vaccine that will restore the normal immune recognition of cancer cells. The TAP Cancer Vaccine will be targeted at those cancers that are deficient in the TAP protein, which include breast cancer, prostate cancer, lung cancer, liver cancer, melanoma, renal cancer and colorectal cancer.</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believes that the TAP Cancer Vaccine will deliver the genetic information required for the production of the TAP protein in the target cancer cell. This will trigger the cancer cell’s ability to effectively identify itself to the body’s immune system by transporting the cancer antigen peptides to the cell surface using the individual’s specific MHC Class I proteins. As a result, we believe that the immune response could be targeted to the entire repertoire of cancer antigen peptides produced by the cancer cell, rather than just to a single cancer antigen, as delivered by current cancer vaccines. The TAP Cancer Vaccine could allow the immune response to respond to the cancer even if the TAP protein and genetic information were only delivered to a small portion of the cancer c ells. In addition, the TAP Cancer Vaccine would generate an immune response to any TAP-deficient cancer, regardless of the patient’s individual genetic variability either in the MHC Class I proteins or in the cancer-specific proteins and resultant peptides.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general, a “cancer vaccine” is a therapy whose goal is to stimulate the immune system to attack tumors. Management believes that most current cancer vaccines contain either cancer-specific proteins that directly activate the immune system or contain genetic information, such as DNA, that encodes these cancer-specific proteins. Management believes that there are a number of key conditions that must be met before a cancer vaccine can be effective in generating a therapeutic immune response: (i) the cancer antigen peptide delivered by the vaccine has to be recognized by the immune system as “abnormal” or “foreign” in order to generate a strong and specific T-cell response; (ii) the same cancer antigen peptide has to be displayed on the surface of the cancer cells in association with the MHC Class I proteins; and (iii) these cancer antigen peptides then have to be sufficiently different from normal proteins in order to generate a strong anti-tumor response.</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these conditions are all met, then management believes that such cancer vaccines should generate a sufficiently strong immune response to kill the cancer cells. However, the identification of suitable cancer-specific antigen proteins to use in these therapeutic vaccines has proven extremely complex. In addition, the MHC Class I proteins are highly variable, with over 100 different types in humans and, as a result, any one-cancer antigen peptide will not produce an immune response for all individuals. Cancers are “genetically unstable” and their proteins are highly variable, so that the selected cancer antigen protein may result in the immune system only attacking a small subset of the cancerous cells.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Laboratory Testing of the TAP Cancer Vaccine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completed small animal pre-clinical animal testing of our TAP Cancer Vaccine to the extent that is required as a prerequisite for further preclinical toxicology analysis and Investigational New Drug (or “IND”) application to the FDA. The pre-clinical testing of the TAP Cancer Vaccine to date included the evaluation of several strains of vaccinia and adenovirus vectors to assess their respective ability to deliver the correct genetic information allowing expression of the TAP protein in tumors, the selection and licensing of the vector from Crucell and the identification and entering into an agreement, that we refer to in this report as our “Production Services Agreement”, with a CRO, a GMP manufacturer, for subsequent production of the TAP Cancer Vaccine. We have to complete the per formance of toxicology studies using the TAP Cancer Vaccine on at least two animal species to confirm its non-toxicity. In addition, we must complete initial vaccine production, and develop internal and external clinical trials, support personnel and infrastructure before commencing clinical trials.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Once the formal pre-clinical testing is completed, we intend to compile and summarize the data and submit it to the United States Federal Drug Administration (or “FDA”) and/or the Canadian Health Canada (or “HC”), and/or other national regulatory agencies, in the form of an investigational new drug application. We anticipate that these applications would include data on vaccine production, animal studies and toxicology studies, as well as proposed protocols for the Phase I human clinical trials, described below.</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Phase I Human Clinical Trials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believes that, subject to the completion of remaining pre-clinical work and financing, estimated at approximately $5,000,000, the Phase I human clinical trials could commence in 2011 depending on how quickly funding or an appropriate partnership is in place. The Phase I human clinical trials will be designed to provide data on the safety of the TAP Cancer Vaccine when used alone or as a component of a cancer vaccine in humans. If the latter strategy is employed the clinical trial design and specific cancer indication will be dependent upon the collaboration.</w:t>
      </w:r>
    </w:p>
    <w:p>
      <w:pPr>
        <w:spacing w:after="0" w:line="20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Clinical trials to support new drug applications are typically conducted in three sequential phases, although the phases may overlap. During Phase I there is an initial introduction of the therapeutic candidate into healthy human subjects or patients. The drug is tested to assess metabolism, pharmacokinetics and pharmacological actions and safety, including side effects associated with increasing doses. Phase II usually involves studies in a limited patient population to assess the clinical activity of the drug in specific targeted indications, assess dosage tolerance and optimal dosage and continue to identify possible adverse effects and safety risks. If the therapeutic candidate is found to be potentially effective and to have an acceptable safety profile in Phase II evaluations, Phase</w:t>
      </w:r>
    </w:p>
    <w:p>
      <w:pPr>
        <w:spacing w:after="0" w:line="2" w:lineRule="exact"/>
        <w:rPr>
          <w:sz w:val="20"/>
          <w:szCs w:val="20"/>
          <w:color w:val="auto"/>
        </w:rPr>
      </w:pPr>
    </w:p>
    <w:p>
      <w:pPr>
        <w:ind w:firstLine="8"/>
        <w:spacing w:after="0" w:line="261" w:lineRule="auto"/>
        <w:tabs>
          <w:tab w:leader="none" w:pos="225" w:val="left"/>
        </w:tabs>
        <w:numPr>
          <w:ilvl w:val="0"/>
          <w:numId w:val="5"/>
        </w:numPr>
        <w:rPr>
          <w:rFonts w:ascii="Arial" w:cs="Arial" w:eastAsia="Arial" w:hAnsi="Arial"/>
          <w:sz w:val="18"/>
          <w:szCs w:val="18"/>
          <w:color w:val="auto"/>
        </w:rPr>
      </w:pPr>
      <w:r>
        <w:rPr>
          <w:rFonts w:ascii="Arial" w:cs="Arial" w:eastAsia="Arial" w:hAnsi="Arial"/>
          <w:sz w:val="18"/>
          <w:szCs w:val="18"/>
          <w:color w:val="auto"/>
        </w:rPr>
        <w:t>trials are undertaken to further demonstrate clinical efficacy and to further test for safety within an expanded patient population at geographically dispersed clinical trial sites.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Infectious Disease Application for “TAP” Adjuvant</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TapImmune plans to develop or license out our technology for the creation of enhanced viral vaccines, such as for smallpox and others, based on our findings that TAP can augment immune responses. We have presented data showing that increasing TAP expression in TAP-competent antigen presenting cells (APCs) and/or virus infected cells increases the antigenic peptide associated with MHC class I expression on the cell surface, and leads to increased specific T cell-mediated immune responses. We believe this technology can add great value to the creation of new vaccines and enhance those that already exist. Our collaboration with Aeras TB Foundation is evidence of this and we will continue to pursue additional partnerships and collaborations as a key strategy to expand our R&amp;D program to optimize resourc es and to reduce costs and development Times.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British Columbia Agreement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had conducted our research and development at the University of British Columbia (“UBC”) under a Collaborative Research Agreement (“CRA”), however, as a consequence of our Option and Settlement Agreement with UBC, we presently plan to contract out our research and development and continue to contract out clinical grade production of our TAP based vaccines. In addition, we have an option on any improvements or related TAP technologies coming out of UBC.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Crucell Holland B.V. Research License and Option Agreement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August 7, 2003, we entered into a five-year research license and option agreement with Crucell Holland B.V. (“Crucell”), whereby Crucell granted us a non-exclusive worldwide license for the research use of its packaging cell (PerC6) technology. We were required to make certain payments over the five-year term totaling Euro €450,000 (approximately $510,100). The license was dormant with an outstanding balance owing of 170,000 Euro ($248,938) that was included in research obligations. Management has completed a settlement for the remaining balance including a €17,000 cash payment and the issuance of 265,000 shares of the Company’s restricted common stock.</w:t>
      </w: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August 7, 2008, we negotiated an amended license agreement for the use of Crucell’s adenovirus technology. We are required to make annual license payments on the anniversary of the effective date for the three year term equal to €75,000 per annum. As at March 31, 2010, we have accrued $71,601 (€50,000) under the amended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 of Allergy and Infectious Diseases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signed a License Agreement with the National Institute of Health (USA) for the use of the Modified Vaccinia Ankora (MVA) virus for the development of vaccines. We will continue to license this technology for the development of prophylactic vaccines against infectious diseases. Under the terms of this agreement, we are required to pay a royalty of $2,500 per year. This license is expected to be renegotiated pending adequate funding.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Other Technology</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February 16, 2004, we added to our technology portfolio by expanding the License Agreement (now assigned under the purchase agreement) with UBC to include a technological method that identifies agonists or antagonists antigen presentation to the immune system by normal and cancerous cells. Management believes that this technology can be used to screen and select new drugs that regulate immune responses.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Patents and Trademarks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 ents provide that all inventions conceived of by an employee shall be our exclusive property.</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acquisition agreement with UBC, we acquired the portfolio of intellectual property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 of Enhancing Expression of MHC Class I Molecules Bearing Endogenous Peptides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26, 2002, the United States Patent and Trademark Office issued US Patent No. 6,361,770 to UBC for the use of TAP-1 as an immunotherapy against all cancers. The patent is titled “Method of Enhancing Expression of MHC Class I Molecules Bearing Endogenous Peptides” and provides comprehensive protection and coverage to both in vivo and ex vivo applications of TAP-1 as a therapeutic against all cancers with a variety of delivery mechanisms. The inventors were Dr. Jefferies, Dr. Reinhard Gabathuler, Dr. Gerassinmoes Kolaitis and Dr. Gregor S.D. Reid, who collectively assigned the patent to UBC under an assignment agreement. The patent expires March 23, 2014. We have pending applications for patent protection for this patent in Europe and in Japan.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 of Enhancing an Immune Response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U.S. patent No. 7,378,087, issued May 27 2008. The patent claims relate to methods for enhancing the immune response to tumor cells by introducing the TAP molecule into the infected cells. Patent applications are pending on other aspects of the company’s technology. The inventors were Jefferies, Wilfred A.; Zhang, Qian-Jin; Chen, Susan Shu-Ping; Alimonti, Judie B., who collectively assigned the patent to UBC under an assignment agreement.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 of Identifying MHC Class I Restricted Antigens Endogenously Processed by a Secretory Pathway</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11, 1998, the U.S. Patent and Trademark Office issued US Patent No. 5,792,604 to UBC, being a patent for the use of bioengineered cell lines to measure the output of the MHC Class I restricted antigen presentation pathway as a way to screen for immunomodulating drugs. The patent is titled “Method of Identifying MHC Class I Restricted Antigens Endogenously Processed by a Secretory Pathway.” This patent covers the assay which can identify compounds capable of modulating the immune system. The inventors were Dr. Jefferies, Dr. Gabathuler, Dr. Kolaitis and Dr. Reid, who collectively assigned the patent to UBC under an assignment agreement. The patent expires on March 12, 2016. We have been granted patent protection for this patent in Finland, France, Germany, Ital y, Sweden Switzerland and the United Kingdom, and have applied for patent protection in Canada and Japan.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TAP Vaccines and other filings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Patent applications have been filed by TapImmune and UBC in respect of our technologies and those currently under assignment. In December 2006, January, November, and December 2007 we made additional filings as continuations or new filings with regard to the same technologies as well as their applications in infectious diseases. We intend to continue to work with UBC to file additional patent applications with respect to any novel aspects of our technology to further protect our intellectual property portfolio. As disclosed in previous filings, additional patents have been acquired under the execution of the option agreement. An invention that describes the use of bio-acceptable substances to promote the transcription of the TAP-1 gene in TAP-1 expression-deficient cells was filed in July 200 9. The patent is entitled “HAT acetylation promoters and uses of compositions thereof in promoting immunogenicity”.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next 12 months, we anticipate that we will not generate any revenue. We had cash of $21,367 and a working capital deficit of $1,092,836 at March 31, 2010. We will require significant additional financial resources and will be dependant on future financings to fund our ongoing research and development as well as other working capital requirements.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 and Funding</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believes that as a result of a significant debt settlement and restructuring in July 2009, we are well positioned and have a balance sheet that has been restructured to make it possible to go to the equity market to raise the estimated $5,000,000 necessary over the next two years for expenses associated with the balance of pre-clinical development and completion of toxicology trials for the TAP Cancer Vaccine and prophylactic vaccine development and for various operating expenses.</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2008 and 2009 were very challenging years in the capital markets. We were however able secure over $1,000,000 enabling us to complete our restructure, ensure our important patent work continued along and pursue our business development initiatives. These initiatives resulted in a collaboration agreement with Aeras Global Tuberculosis Foundation and a new license agreement with Crucell Holland, giving us access to a best of breed technology and the necessary components to improve the possible outcome in our vaccine manufacturing process.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the last two years, we have been working diligently on finding partners that we believe we can work closely with to form collaborative arrangements that will be mutually beneficial. On February 1, 2010, we announced our collaboration intent with Aeras Global TB Foundation. Aeras, a leading non-profit Product Development Partnerships, is dedicated to the development of effective tuberculosis (TB) vaccine regimens that will prevent tuberculosis in all age groups and will be affordable, available and adopted worldwide.</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According to the World Health Organization (WHO), in 2007 there were an estimated 13.7 million chronic active cases of TB, 9.3 million new cases, and 1.8 million deaths from TB, mostly in developing countries.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Aeras Global TB Vaccine Foundation and TapImmune have entered into an R&amp;D collaboration effort with an overall goal to evaluate the efficacy of TAP in concert with novel TB vaccine candidates. Aeras is based in Rockville, Maryland, where it operates a state-of-the-art manufacturing and laboratory facility.</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identified additional partnership opportunities and encourage shareholders to keep an eye on our news in the coming months. The scope of these kinds of collaborations cannot be emphasized enough. World class institutions have identified the uniqueness and the potential of our technology platform and the opportunities we are pursuing.</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not generated any cash flows from operations to fund our operations and activities due primarily to the nature of lengthy product development cycles that are normal to the biotech industry. Therefore, we must raise additional funds in the future to continue operations. We intend to finance our operating expenses with further issuances of common stock and/or debt. Although we do not currently have funds to continue operations for more than four months, we believe that future investment, if successful, should be adequate to fund our operations over the next 24 months. Thereafter, we expect we will need to raise additional capital to meet long-term operating requirements. Our future success and viability are dependent on our ability to raise additional capital through further private offerings of our stock or loans from private investors. Additional financing may not be available upon acceptable terms, or at all. If adequate funds are not available or not available on acceptable terms, we may not be able to conduct our proposed business operations successfully, which could significantly and materially restrict or delay our overall business operations.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2010 Compared to Three Months Ended March 31, 2009</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are a development stage company. We recorded a net loss of $1,634,146 during the three months ended March 31, 2010 compared to $452,418 for the three months ended March 31, 2009.</w:t>
      </w:r>
    </w:p>
    <w:p>
      <w:pPr>
        <w:spacing w:after="0" w:line="21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Operating costs increased to $1,629,667 during the three months ended March 31, 2010 compared to $486,316 in the prior period. Significant changes in operating expenses are outlined as follows:</w:t>
      </w:r>
    </w:p>
    <w:p>
      <w:pPr>
        <w:spacing w:after="0" w:line="1" w:lineRule="exact"/>
        <w:rPr>
          <w:sz w:val="20"/>
          <w:szCs w:val="20"/>
          <w:color w:val="auto"/>
        </w:rPr>
      </w:pPr>
    </w:p>
    <w:p>
      <w:pPr>
        <w:ind w:left="660" w:hanging="139"/>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Consulting fees decreased to $12,000 during the three months ended March 31, 2010 from $40,000 during the prior period, due primarily to business development services relating to debt restructuring that were in place during the prior period.</w:t>
      </w:r>
    </w:p>
    <w:p>
      <w:pPr>
        <w:ind w:left="660" w:hanging="139"/>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Consulting fees – stock-based increased to $863,698 during the three months ended March 31, 2010 from $Nil during the prior period. The current period expense consists of the fair value of option, stock and warrant grants earned during the period.</w:t>
      </w:r>
    </w:p>
    <w:p>
      <w:pPr>
        <w:ind w:left="660" w:hanging="139"/>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and administrative expenses decreased to $15,596 in the three months ended March 31, 2010 from $23,333 in the prior period, with the decrease resulting primarily from a reduction in operations in the current period.</w:t>
      </w:r>
    </w:p>
    <w:p>
      <w:pPr>
        <w:ind w:left="660" w:hanging="139"/>
        <w:spacing w:after="0" w:line="26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Interest and finance charges decreased to $165,596 during the three months ended March 31, 2010 from $199,916 during the prior period. Current and prior period interest charges are primarily accretion of interest and the fair value of warrants issued with promissory notes.</w:t>
      </w:r>
    </w:p>
    <w:p>
      <w:pPr>
        <w:jc w:val="both"/>
        <w:ind w:left="660" w:hanging="139"/>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Management fees decreased to $69,300 during the three months ended March 31, 2010 from $75,642 during the prior period. Our Board of Directors and management were reorganized during the prior year, and as of June 1, 2009, a portion of the fees paid or accrued to our Chief Executive Officer have been allocated to research and development.</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Management fees – stock-based increased to $324,000 during the three months ended March 31, 2010 from $13,167 during the prior period. The current and prior period expense consists of the fair value of option grants earned during the period.</w:t>
      </w:r>
    </w:p>
    <w:p>
      <w:pPr>
        <w:ind w:left="660" w:hanging="139"/>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 fees increased to $135,834 during the three months ended March 31, 2010 from $108,009 during the prior period, due to significant activity relating to financing and debt restructuring in the current period.</w:t>
      </w:r>
    </w:p>
    <w:p>
      <w:pPr>
        <w:jc w:val="both"/>
        <w:ind w:left="660" w:hanging="139"/>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and development increased to $43,273 during the three months ended March 31, 2010 from $24,381 during the prior period. Our Board of Directors and management were reorganized during the year, and as of June 1, 2009, a portion of the fees paid or accrued to our Chief Executive Officer have been allocated to research and development.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loss increased to $4,479 during the three months ended March 31, 2010 from a gain of $33,898 in the prior period.</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loss for the three months ended March 31, 2010 was $1,634,146 or ($0.04) per share, compared to a net loss of $452,418 or ($0.19) per share in the prior period. The weighted average number of shares outstanding was 38,854,230 for the three months ended March 31, 2010 compared to 2,414,983 for the prior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2010, we had $21,367 in cash. Generally, we have financed our operations through the proceeds from convertible notes and the private placement of equity securities as noted in Financing Activities below. We decreased our net cash by $120,064 during the three months ended March 31, 2010 compared to an increase of $3,754 during the prior period.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operating activities during the three months ended March 31, 2010 was $205,364 compared to $170,813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during the three months ended March 31, 2010 was $Nil compared to $Nil during the prior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financing activities during the three months ended March 31, 2010 was $85,300 compared to $174,567 during the prior period. Current period financing consisted of advances from related parties while prior period financing included proceeds from secured promissory notes and advances from related parties.</w:t>
      </w:r>
    </w:p>
    <w:p>
      <w:pPr>
        <w:spacing w:after="0" w:line="2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March 31, 2010, we had 3,618,000 stock options and 6,062,800 share purchase warrants outstanding. The outstanding stock options had a weighted average exercise price of $0.97 per share, with the warrants having a weighted average exercise price of $0.98 per share. Accordingly, as of March 31, 2010, the outstanding options and warrants represented a total of 9,680,800 shares issuable for proceeds of approximately $9,451,000 if these options and warrants were exercised in full. The exercise of these options and warrants is completely at the discretion of the holders. There is no assurance that any of these options or warrants will be exercised or that those warrants that contain a cashless exercise provision will not be exercised on a cashless basis.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2010, we anticipate that we will need significant financing to enable us to meet our anticipated expenditures for the next 24 months, which are expected to be in the range of $5,000,000 assuming a single Phase 1 clinical trial.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ability to continue as a going concern is dependent upon our ability to obtain the necessary financing to meet our obligations and pay our liabilities arising from our business operations when they come due. We intend to finance our anticipated operating expenses with further issuances of common stock through private placement offerings or loans from private investors. Management believes that the Company will be able to continue limited operations with accommodations from debt holders and additional temp orary short term funding over the next twelve months. Due to capital market conditions, funding continues to be challenging. It is unlikely the Company will be able to continue as a going concern past a twelve month horizon if significant equity funding is not raised within this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than as disclosed in the financial statements, we have no significant off-balance sheet arrangements that have or are reasonably likely to have a material current or future effect on our financial condition, changes in financial condition, revenues or expenses, results of operations, liquidity, capital expenditures or capital resources that is material to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spacing w:after="0" w:line="20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Refer to Note 2 of our consolidated financial statements for our year ended December 31, 2009 for a summary of significant accounting policies.</w:t>
      </w:r>
    </w:p>
    <w:p>
      <w:pPr>
        <w:spacing w:after="0" w:line="26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6963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9" w:name="page20"/>
    <w:bookmarkEnd w:id="19"/>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415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415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Principal Executive Officer and Principal Financial Officer have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management of the Company is responsible for establishing and maintaining adequate internal control over financial reporting, as required by Sarbanes-Oxley (SOX) Section 404 A. The Company's internal control over financial reporting is a process designed under the supervision of the Company's Principal Executive Officer and Principal Financial Officer to provide reasonable assurance regarding the reliability of financial reporting and the preparation of the Company's financial statements for external purposes in accordance with United States generally accepted accounting principles (“US GAAP”).</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March 31, 2010, management assessed the effectiveness of the Company's internal control over financial reporting based on the criteria for effective internal control over financial reporting established in Internal Control -Integrated Framework issued by the Committee of Sponsoring Organizations of the Treadway Commission ("COSO") and SEC guidance on conducting such assessments. Based on that evaluation, they concluded that, as at March 31, 2010 such internal controls and procedures were not effective to detect the inappropriate application of US GAAP rules as more fully described below.</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matters involving internal controls and procedures that the Company’s management considered to be material weaknesses under the standards of the Public Company Accounting Oversight Board were: (1) inadequate entity level controls due to an ineffective audit committee resulting from a lack of independent members on the current audit committee and a lack of outside directors on our board of directors; (2) inadequate segregation of duties consistent with control objectives; (3) insufficient written policies and procedures for accounting and financial reporting with respect to the requirements and application of US GAAP and SEC disclosure requirements; (4) ineffective controls over period end financial disclosure and reporting processes.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believes that none of the material weaknesses set forth above had a material adverse effect on the Company's financial results for the three months ended March 31, 2010, but management is most concerned that the material weakness in entity level controls set forth in item (1) results in ineffective oversight in the establishment and monitoring of required internal controls and procedures, it could result in a material misstatement in our financial statements in future periods.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committed to improving our financial organization. As part of this commitment, we will continue to enhance our internal control over financial reporting by: i) expanding our personnel, ii) improving segregate duties consistent with control objectives, iii) appointing one or more outside directors to our board of directors who shall be appointed to our audit committee resulting in a fully functioning audit committee who will undertake the oversight in the establishment and monitoring of required internal controls and procedures such as reviewing and approving estimates and assumptions made by management; and iv) preparing and implementing sufficient written policies and checklists which will set forth procedures for accounting and financial reporting with respect to the requirements and application of US GAAP and SEC d isclosure requirements.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0" w:name="page21"/>
    <w:bookmarkEnd w:id="20"/>
    <w:p>
      <w:pPr>
        <w:jc w:val="both"/>
        <w:spacing w:after="0" w:line="273" w:lineRule="auto"/>
        <w:rPr>
          <w:sz w:val="20"/>
          <w:szCs w:val="20"/>
          <w:color w:val="auto"/>
        </w:rPr>
      </w:pPr>
      <w:r>
        <w:rPr>
          <w:rFonts w:ascii="Arial" w:cs="Arial" w:eastAsia="Arial" w:hAnsi="Arial"/>
          <w:sz w:val="17"/>
          <w:szCs w:val="17"/>
          <w:color w:val="auto"/>
        </w:rPr>
        <w:t>Management believes that the appointment of one or more outside directors, who shall be appointed to a fully functioning audit committee, will remedy the ineffective audit committee and a lack of outside directors on our Board. In addition, management believes that preparing and implementing sufficient written policies and checklists will remedy the following material weaknesses (i) insufficient written policies and procedures for accounting and financial reporting with respect to the requirements and application of US GAAP and SEC disclosure requirements; and (ii) ineffective controls over period end financial close and reporting processes. Further, management believes that the hiring of additional personnel will result in improved segregation of duties and provide more checks and balances within the financial reporting dep artment.</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continue to monitor and evaluate the effectiveness of our internal controls and procedures over financial reporting on an ongoing basis and are committed to taking further action by implementing additional enhancements or improvements, or deploying additional human resources as may be deemed necessary.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March 31, 2010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the date of this Quarterly Report, no director, officer, affiliate or beneficial owner of more than 5% of our common stock is (i) a party adverse to us in any legal proceeding, or (ii) has an adverse interest to us in any legal proceeding. Management is not aware of any other legal proceedings pending or that have been threatened against us or our properties.</w:t>
      </w:r>
    </w:p>
    <w:p>
      <w:pPr>
        <w:spacing w:after="0" w:line="204"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6"/>
          <w:szCs w:val="16"/>
          <w:b w:val="1"/>
          <w:bCs w:val="1"/>
          <w:u w:val="single" w:color="auto"/>
          <w:color w:val="auto"/>
        </w:rPr>
        <w:t>Risk Factors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from the risk factors as previously disclosed in our Annual Report on Form 10-K for the year ended December 31, 2009, which was filed with the SEC on April 15, 2010.</w:t>
      </w:r>
    </w:p>
    <w:p>
      <w:pPr>
        <w:spacing w:after="0" w:line="19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6"/>
          <w:szCs w:val="16"/>
          <w:b w:val="1"/>
          <w:bCs w:val="1"/>
          <w:u w:val="single" w:color="auto"/>
          <w:color w:val="auto"/>
        </w:rPr>
        <w:t>(Removed and Reserved)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7"/>
          <w:szCs w:val="17"/>
          <w:b w:val="1"/>
          <w:bCs w:val="1"/>
          <w:u w:val="single" w:color="auto"/>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6"/>
          <w:szCs w:val="16"/>
          <w:b w:val="1"/>
          <w:bCs w:val="1"/>
          <w:u w:val="single" w:color="auto"/>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40" w:type="dxa"/>
            <w:vAlign w:val="bottom"/>
            <w:tcBorders>
              <w:top w:val="single" w:sz="8" w:color="auto"/>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94"/>
              </w:rPr>
              <w:t>Exhibit Number</w:t>
            </w:r>
          </w:p>
        </w:tc>
        <w:tc>
          <w:tcPr>
            <w:tcW w:w="91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Description of Exhibit</w:t>
            </w:r>
          </w:p>
        </w:tc>
      </w:tr>
      <w:tr>
        <w:trPr>
          <w:trHeight w:val="202"/>
        </w:trPr>
        <w:tc>
          <w:tcPr>
            <w:tcW w:w="2240" w:type="dxa"/>
            <w:vAlign w:val="bottom"/>
          </w:tcPr>
          <w:p>
            <w:pPr>
              <w:jc w:val="center"/>
              <w:ind w:left="550"/>
              <w:spacing w:after="0" w:line="201" w:lineRule="exact"/>
              <w:rPr>
                <w:sz w:val="20"/>
                <w:szCs w:val="20"/>
                <w:color w:val="auto"/>
              </w:rPr>
            </w:pPr>
            <w:r>
              <w:rPr>
                <w:rFonts w:ascii="Arial" w:cs="Arial" w:eastAsia="Arial" w:hAnsi="Arial"/>
                <w:sz w:val="18"/>
                <w:szCs w:val="18"/>
                <w:color w:val="auto"/>
                <w:w w:val="91"/>
              </w:rPr>
              <w:t>31.1</w:t>
            </w:r>
          </w:p>
        </w:tc>
        <w:tc>
          <w:tcPr>
            <w:tcW w:w="9180" w:type="dxa"/>
            <w:vAlign w:val="bottom"/>
          </w:tcPr>
          <w:p>
            <w:pPr>
              <w:ind w:left="200"/>
              <w:spacing w:after="0" w:line="201" w:lineRule="exact"/>
              <w:rPr>
                <w:sz w:val="20"/>
                <w:szCs w:val="20"/>
                <w:color w:val="auto"/>
              </w:rPr>
            </w:pPr>
            <w:r>
              <w:rPr>
                <w:rFonts w:ascii="Arial" w:cs="Arial" w:eastAsia="Arial" w:hAnsi="Arial"/>
                <w:sz w:val="18"/>
                <w:szCs w:val="18"/>
                <w:color w:val="auto"/>
                <w:w w:val="96"/>
              </w:rPr>
              <w:t>Certification of Principal Executive Officer Pursuant to Rule 13a-14(a) or 15d-14(a) of the Securities Exchange Act of</w:t>
            </w:r>
          </w:p>
        </w:tc>
      </w:tr>
      <w:tr>
        <w:trPr>
          <w:trHeight w:val="216"/>
        </w:trPr>
        <w:tc>
          <w:tcPr>
            <w:tcW w:w="224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1933, as amended.</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1"/>
              </w:rPr>
              <w:t>31.2</w:t>
            </w:r>
          </w:p>
        </w:tc>
        <w:tc>
          <w:tcPr>
            <w:tcW w:w="9180" w:type="dxa"/>
            <w:vAlign w:val="bottom"/>
          </w:tcPr>
          <w:p>
            <w:pPr>
              <w:ind w:left="200"/>
              <w:spacing w:after="0"/>
              <w:rPr>
                <w:sz w:val="20"/>
                <w:szCs w:val="20"/>
                <w:color w:val="auto"/>
              </w:rPr>
            </w:pPr>
            <w:r>
              <w:rPr>
                <w:rFonts w:ascii="Arial" w:cs="Arial" w:eastAsia="Arial" w:hAnsi="Arial"/>
                <w:sz w:val="18"/>
                <w:szCs w:val="18"/>
                <w:color w:val="auto"/>
                <w:w w:val="95"/>
              </w:rPr>
              <w:t>Certification of Acting Principal Accounting Officer Pursuant to Rule 13a-14(a) or 15d-14(a) of the Securities Exchange</w:t>
            </w:r>
          </w:p>
        </w:tc>
      </w:tr>
      <w:tr>
        <w:trPr>
          <w:trHeight w:val="216"/>
        </w:trPr>
        <w:tc>
          <w:tcPr>
            <w:tcW w:w="224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Act of 1933, as amended.</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1"/>
              </w:rPr>
              <w:t>32.1</w:t>
            </w:r>
          </w:p>
        </w:tc>
        <w:tc>
          <w:tcPr>
            <w:tcW w:w="9180" w:type="dxa"/>
            <w:vAlign w:val="bottom"/>
          </w:tcPr>
          <w:p>
            <w:pPr>
              <w:ind w:left="200"/>
              <w:spacing w:after="0"/>
              <w:rPr>
                <w:sz w:val="20"/>
                <w:szCs w:val="20"/>
                <w:color w:val="auto"/>
              </w:rPr>
            </w:pPr>
            <w:r>
              <w:rPr>
                <w:rFonts w:ascii="Arial" w:cs="Arial" w:eastAsia="Arial" w:hAnsi="Arial"/>
                <w:sz w:val="18"/>
                <w:szCs w:val="18"/>
                <w:color w:val="auto"/>
                <w:w w:val="91"/>
              </w:rPr>
              <w:t>Certification of Principal Executive Officer pursuant to 18 U.S.C. 1350 as adopted pursuant to Section 906 of the Sarbanes-</w:t>
            </w:r>
          </w:p>
        </w:tc>
      </w:tr>
      <w:tr>
        <w:trPr>
          <w:trHeight w:val="216"/>
        </w:trPr>
        <w:tc>
          <w:tcPr>
            <w:tcW w:w="224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Oxley Act of 2002.</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1"/>
              </w:rPr>
              <w:t>32.2</w:t>
            </w:r>
          </w:p>
        </w:tc>
        <w:tc>
          <w:tcPr>
            <w:tcW w:w="9180" w:type="dxa"/>
            <w:vAlign w:val="bottom"/>
          </w:tcPr>
          <w:p>
            <w:pPr>
              <w:ind w:left="200"/>
              <w:spacing w:after="0"/>
              <w:rPr>
                <w:sz w:val="20"/>
                <w:szCs w:val="20"/>
                <w:color w:val="auto"/>
              </w:rPr>
            </w:pPr>
            <w:r>
              <w:rPr>
                <w:rFonts w:ascii="Arial" w:cs="Arial" w:eastAsia="Arial" w:hAnsi="Arial"/>
                <w:sz w:val="18"/>
                <w:szCs w:val="18"/>
                <w:color w:val="auto"/>
                <w:w w:val="93"/>
              </w:rPr>
              <w:t>Certification of Acting Principal Accounting Officer pursuant to 18 U.S.C. 1350 as adopted pursuant to Section 906 of the</w:t>
            </w:r>
          </w:p>
        </w:tc>
      </w:tr>
      <w:tr>
        <w:trPr>
          <w:trHeight w:val="230"/>
        </w:trPr>
        <w:tc>
          <w:tcPr>
            <w:tcW w:w="224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Sarbanes-Oxley Act of 2002.</w:t>
            </w:r>
          </w:p>
        </w:tc>
      </w:tr>
      <w:tr>
        <w:trPr>
          <w:trHeight w:val="851"/>
        </w:trPr>
        <w:tc>
          <w:tcPr>
            <w:tcW w:w="2240" w:type="dxa"/>
            <w:vAlign w:val="bottom"/>
          </w:tcPr>
          <w:p>
            <w:pPr>
              <w:spacing w:after="0"/>
              <w:rPr>
                <w:sz w:val="24"/>
                <w:szCs w:val="24"/>
                <w:color w:val="auto"/>
              </w:rPr>
            </w:pPr>
          </w:p>
        </w:tc>
        <w:tc>
          <w:tcPr>
            <w:tcW w:w="9180" w:type="dxa"/>
            <w:vAlign w:val="bottom"/>
          </w:tcPr>
          <w:p>
            <w:pPr>
              <w:ind w:left="3380"/>
              <w:spacing w:after="0"/>
              <w:rPr>
                <w:sz w:val="20"/>
                <w:szCs w:val="20"/>
                <w:color w:val="auto"/>
              </w:rPr>
            </w:pPr>
            <w:r>
              <w:rPr>
                <w:rFonts w:ascii="Arial" w:cs="Arial" w:eastAsia="Arial" w:hAnsi="Arial"/>
                <w:sz w:val="18"/>
                <w:szCs w:val="18"/>
                <w:color w:val="auto"/>
              </w:rPr>
              <w:t>22</w:t>
            </w:r>
          </w:p>
        </w:tc>
      </w:tr>
      <w:tr>
        <w:trPr>
          <w:trHeight w:val="118"/>
        </w:trPr>
        <w:tc>
          <w:tcPr>
            <w:tcW w:w="2240" w:type="dxa"/>
            <w:vAlign w:val="bottom"/>
            <w:tcBorders>
              <w:bottom w:val="single" w:sz="8" w:color="808080"/>
            </w:tcBorders>
          </w:tcPr>
          <w:p>
            <w:pPr>
              <w:spacing w:after="0"/>
              <w:rPr>
                <w:sz w:val="10"/>
                <w:szCs w:val="10"/>
                <w:color w:val="auto"/>
              </w:rPr>
            </w:pPr>
          </w:p>
        </w:tc>
        <w:tc>
          <w:tcPr>
            <w:tcW w:w="9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/s/ Glynn Wilson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Glynn Wilson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Chairman and Principal Executive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May [--], 2010.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/s/ Tracy A. Moore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Tracy A. Moore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Chief Financial Officer and Acting Principal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Accounting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May [--],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Glynn Wilson, certify that:</w:t>
      </w:r>
    </w:p>
    <w:p>
      <w:pPr>
        <w:spacing w:after="0" w:line="25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March 31, 2010 of TapImmune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0860" w:type="dxa"/>
            <w:vAlign w:val="bottom"/>
            <w:gridSpan w:val="2"/>
          </w:tcPr>
          <w:p>
            <w:pPr>
              <w:ind w:left="340"/>
              <w:spacing w:after="0"/>
              <w:rPr>
                <w:sz w:val="20"/>
                <w:szCs w:val="20"/>
                <w:color w:val="auto"/>
              </w:rPr>
            </w:pPr>
            <w:r>
              <w:rPr>
                <w:rFonts w:ascii="Arial" w:cs="Arial" w:eastAsia="Arial" w:hAnsi="Arial"/>
                <w:sz w:val="18"/>
                <w:szCs w:val="18"/>
                <w:color w:val="auto"/>
              </w:rPr>
              <w:t>May [--], 2010.</w:t>
            </w:r>
          </w:p>
        </w:tc>
      </w:tr>
      <w:tr>
        <w:trPr>
          <w:trHeight w:val="419"/>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90"/>
              </w:rPr>
              <w:t>/s/ Glynn Wilson</w:t>
            </w:r>
          </w:p>
        </w:tc>
        <w:tc>
          <w:tcPr>
            <w:tcW w:w="10220" w:type="dxa"/>
            <w:vAlign w:val="bottom"/>
          </w:tcPr>
          <w:p>
            <w:pPr>
              <w:spacing w:after="0"/>
              <w:rPr>
                <w:sz w:val="24"/>
                <w:szCs w:val="24"/>
                <w:color w:val="auto"/>
              </w:rPr>
            </w:pP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0860" w:type="dxa"/>
            <w:vAlign w:val="bottom"/>
            <w:gridSpan w:val="2"/>
          </w:tcPr>
          <w:p>
            <w:pPr>
              <w:ind w:left="160"/>
              <w:spacing w:after="0"/>
              <w:rPr>
                <w:sz w:val="20"/>
                <w:szCs w:val="20"/>
                <w:color w:val="auto"/>
              </w:rPr>
            </w:pPr>
            <w:r>
              <w:rPr>
                <w:rFonts w:ascii="Arial" w:cs="Arial" w:eastAsia="Arial" w:hAnsi="Arial"/>
                <w:sz w:val="18"/>
                <w:szCs w:val="18"/>
                <w:b w:val="1"/>
                <w:bCs w:val="1"/>
                <w:color w:val="auto"/>
              </w:rPr>
              <w:t>Glynn Wilson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10860" w:type="dxa"/>
            <w:vAlign w:val="bottom"/>
            <w:gridSpan w:val="2"/>
          </w:tcPr>
          <w:p>
            <w:pPr>
              <w:ind w:left="140"/>
              <w:spacing w:after="0"/>
              <w:rPr>
                <w:sz w:val="20"/>
                <w:szCs w:val="20"/>
                <w:color w:val="auto"/>
              </w:rPr>
            </w:pPr>
            <w:r>
              <w:rPr>
                <w:rFonts w:ascii="Arial" w:cs="Arial" w:eastAsia="Arial" w:hAnsi="Arial"/>
                <w:sz w:val="18"/>
                <w:szCs w:val="18"/>
                <w:color w:val="auto"/>
              </w:rPr>
              <w:t>Chairman and Principal Executive Officer</w:t>
            </w:r>
          </w:p>
        </w:tc>
      </w:tr>
      <w:tr>
        <w:trPr>
          <w:trHeight w:val="361"/>
        </w:trPr>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20" w:type="dxa"/>
            <w:vAlign w:val="bottom"/>
          </w:tcPr>
          <w:p>
            <w:pPr>
              <w:spacing w:after="0"/>
              <w:rPr>
                <w:sz w:val="24"/>
                <w:szCs w:val="24"/>
                <w:color w:val="auto"/>
              </w:rPr>
            </w:pPr>
          </w:p>
        </w:tc>
      </w:tr>
      <w:tr>
        <w:trPr>
          <w:trHeight w:val="71"/>
        </w:trPr>
        <w:tc>
          <w:tcPr>
            <w:tcW w:w="560" w:type="dxa"/>
            <w:vAlign w:val="bottom"/>
            <w:shd w:val="clear" w:color="auto" w:fill="808080"/>
          </w:tcPr>
          <w:p>
            <w:pPr>
              <w:spacing w:after="0"/>
              <w:rPr>
                <w:sz w:val="6"/>
                <w:szCs w:val="6"/>
                <w:color w:val="auto"/>
              </w:rPr>
            </w:pPr>
          </w:p>
        </w:tc>
        <w:tc>
          <w:tcPr>
            <w:tcW w:w="640" w:type="dxa"/>
            <w:vAlign w:val="bottom"/>
            <w:shd w:val="clear" w:color="auto" w:fill="808080"/>
          </w:tcPr>
          <w:p>
            <w:pPr>
              <w:spacing w:after="0"/>
              <w:rPr>
                <w:sz w:val="6"/>
                <w:szCs w:val="6"/>
                <w:color w:val="auto"/>
              </w:rPr>
            </w:pPr>
          </w:p>
        </w:tc>
        <w:tc>
          <w:tcPr>
            <w:tcW w:w="1022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117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Tracy A. Moore certify that:</w:t>
      </w:r>
    </w:p>
    <w:p>
      <w:pPr>
        <w:spacing w:after="0" w:line="25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March 31, 2010 of TapImmune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0840" w:type="dxa"/>
            <w:vAlign w:val="bottom"/>
            <w:gridSpan w:val="2"/>
          </w:tcPr>
          <w:p>
            <w:pPr>
              <w:ind w:left="320"/>
              <w:spacing w:after="0"/>
              <w:rPr>
                <w:sz w:val="20"/>
                <w:szCs w:val="20"/>
                <w:color w:val="auto"/>
              </w:rPr>
            </w:pPr>
            <w:r>
              <w:rPr>
                <w:rFonts w:ascii="Arial" w:cs="Arial" w:eastAsia="Arial" w:hAnsi="Arial"/>
                <w:sz w:val="18"/>
                <w:szCs w:val="18"/>
                <w:color w:val="auto"/>
              </w:rPr>
              <w:t>May [--], 2010.</w:t>
            </w:r>
          </w:p>
        </w:tc>
      </w:tr>
      <w:tr>
        <w:trPr>
          <w:trHeight w:val="419"/>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91"/>
              </w:rPr>
              <w:t>/s/ Tracy A. Moore</w:t>
            </w:r>
          </w:p>
        </w:tc>
        <w:tc>
          <w:tcPr>
            <w:tcW w:w="10060" w:type="dxa"/>
            <w:vAlign w:val="bottom"/>
          </w:tcPr>
          <w:p>
            <w:pPr>
              <w:spacing w:after="0"/>
              <w:rPr>
                <w:sz w:val="24"/>
                <w:szCs w:val="24"/>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0840" w:type="dxa"/>
            <w:vAlign w:val="bottom"/>
            <w:gridSpan w:val="2"/>
          </w:tcPr>
          <w:p>
            <w:pPr>
              <w:ind w:left="180"/>
              <w:spacing w:after="0"/>
              <w:rPr>
                <w:sz w:val="20"/>
                <w:szCs w:val="20"/>
                <w:color w:val="auto"/>
              </w:rPr>
            </w:pPr>
            <w:r>
              <w:rPr>
                <w:rFonts w:ascii="Arial" w:cs="Arial" w:eastAsia="Arial" w:hAnsi="Arial"/>
                <w:sz w:val="18"/>
                <w:szCs w:val="18"/>
                <w:b w:val="1"/>
                <w:bCs w:val="1"/>
                <w:color w:val="auto"/>
              </w:rPr>
              <w:t>Tracy A. Moore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 and Acting Principal Accounting Officer</w:t>
            </w:r>
          </w:p>
        </w:tc>
      </w:tr>
      <w:tr>
        <w:trPr>
          <w:trHeight w:val="118"/>
        </w:trPr>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60" w:type="dxa"/>
            <w:vAlign w:val="bottom"/>
          </w:tcPr>
          <w:p>
            <w:pPr>
              <w:spacing w:after="0"/>
              <w:rPr>
                <w:sz w:val="10"/>
                <w:szCs w:val="10"/>
                <w:color w:val="auto"/>
              </w:rPr>
            </w:pPr>
          </w:p>
        </w:tc>
      </w:tr>
      <w:tr>
        <w:trPr>
          <w:trHeight w:val="71"/>
        </w:trPr>
        <w:tc>
          <w:tcPr>
            <w:tcW w:w="580" w:type="dxa"/>
            <w:vAlign w:val="bottom"/>
            <w:shd w:val="clear" w:color="auto" w:fill="808080"/>
          </w:tcPr>
          <w:p>
            <w:pPr>
              <w:spacing w:after="0"/>
              <w:rPr>
                <w:sz w:val="6"/>
                <w:szCs w:val="6"/>
                <w:color w:val="auto"/>
              </w:rPr>
            </w:pPr>
          </w:p>
        </w:tc>
        <w:tc>
          <w:tcPr>
            <w:tcW w:w="780" w:type="dxa"/>
            <w:vAlign w:val="bottom"/>
            <w:shd w:val="clear" w:color="auto" w:fill="808080"/>
          </w:tcPr>
          <w:p>
            <w:pPr>
              <w:spacing w:after="0"/>
              <w:rPr>
                <w:sz w:val="6"/>
                <w:szCs w:val="6"/>
                <w:color w:val="auto"/>
              </w:rPr>
            </w:pPr>
          </w:p>
        </w:tc>
        <w:tc>
          <w:tcPr>
            <w:tcW w:w="1006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93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undersigned, Glynn Wilson, the Principal Executive Officer of TapImmune Inc. (the “Company”) hereby certifies, pursuant to 18 U.S.C. Section 1350, as adopted pursuant to Section 906 of the Sarbanes-Oxley Act of 2002, that, to his or her knowledge, the Report on Form 10-Q of TapImmune Inc., for the quarterly period ended March 31, 2010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May [--], 2010.</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/s/ Glynn Wilson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Glynn Wilson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Chairman and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3476625</wp:posOffset>
            </wp:positionV>
            <wp:extent cx="7250430" cy="450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ACTING PRINCIPAL ACCOUNTING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Tracy A. Moore, the Acting Principal Accounting Officer of TapImmune Inc. (the “Company”) hereby certifies, pursuant to 18 U.S.C. Section 1350, as adopted pursuant to Section 906 of the Sarbanes-Oxley Act of 2002, that, to his or her knowledge, the Report on Form 10-Q of TapImmune Inc., for the quarterly period ended March 31, 2010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May [--], 2010.</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/s/ Tracy A. Moore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Tracy A. Moore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Acting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3785870</wp:posOffset>
            </wp:positionV>
            <wp:extent cx="7250430" cy="450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S"/>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Roman"/>
      <w:start w:val="3"/>
    </w:lvl>
  </w:abstractNum>
  <w:abstractNum w:abstractNumId="4">
    <w:nsid w:val="2EB141F2"/>
    <w:multiLevelType w:val="hybridMultilevel"/>
    <w:lvl w:ilvl="0">
      <w:lvlJc w:val="left"/>
      <w:lvlText w:val="%1"/>
      <w:numFmt w:val="upperLetter"/>
      <w:start w:val="6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2020-01-30T02:42:18Z</dcterms:created>
  <dcterms:modified xsi:type="dcterms:W3CDTF">2020-01-30T02:42:18Z</dcterms:modified>
</cp:coreProperties>
</file>