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391795</wp:posOffset>
            </wp:positionV>
            <wp:extent cx="7263765"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3619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200" w:lineRule="exact"/>
        <w:rPr>
          <w:sz w:val="24"/>
          <w:szCs w:val="24"/>
          <w:color w:val="auto"/>
        </w:rPr>
      </w:pPr>
    </w:p>
    <w:p>
      <w:pPr>
        <w:spacing w:after="0" w:line="257" w:lineRule="exact"/>
        <w:rPr>
          <w:sz w:val="24"/>
          <w:szCs w:val="24"/>
          <w:color w:val="auto"/>
        </w:rPr>
      </w:pPr>
    </w:p>
    <w:p>
      <w:pPr>
        <w:ind w:left="41"/>
        <w:spacing w:after="0"/>
        <w:tabs>
          <w:tab w:leader="none" w:pos="681"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X</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ANNUAL REPORT PURSUANT TO SECTION 13 OR 15(d) OF THE SECURITIES EXCHANGE ACT OF 1934</w:t>
      </w:r>
    </w:p>
    <w:p>
      <w:pPr>
        <w:spacing w:after="0" w:line="235" w:lineRule="exact"/>
        <w:rPr>
          <w:sz w:val="24"/>
          <w:szCs w:val="24"/>
          <w:color w:val="auto"/>
        </w:rPr>
      </w:pPr>
    </w:p>
    <w:p>
      <w:pPr>
        <w:ind w:left="1"/>
        <w:spacing w:after="0"/>
        <w:rPr>
          <w:sz w:val="20"/>
          <w:szCs w:val="20"/>
          <w:color w:val="auto"/>
        </w:rPr>
      </w:pPr>
      <w:r>
        <w:rPr>
          <w:rFonts w:ascii="Arial" w:cs="Arial" w:eastAsia="Arial" w:hAnsi="Arial"/>
          <w:sz w:val="16"/>
          <w:szCs w:val="16"/>
          <w:b w:val="1"/>
          <w:bCs w:val="1"/>
          <w:color w:val="auto"/>
        </w:rPr>
        <w:t>For the Fiscal Year Ended December 31, 2013</w:t>
      </w:r>
    </w:p>
    <w:p>
      <w:pPr>
        <w:spacing w:after="0" w:line="239" w:lineRule="exact"/>
        <w:rPr>
          <w:sz w:val="24"/>
          <w:szCs w:val="24"/>
          <w:color w:val="auto"/>
        </w:rPr>
      </w:pPr>
    </w:p>
    <w:p>
      <w:pPr>
        <w:ind w:left="581" w:right="2900" w:hanging="581"/>
        <w:spacing w:after="0" w:line="543" w:lineRule="auto"/>
        <w:tabs>
          <w:tab w:leader="none" w:pos="127" w:val="left"/>
        </w:tabs>
        <w:numPr>
          <w:ilvl w:val="0"/>
          <w:numId w:val="1"/>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________________ to 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Commission file number 000-27239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TAPIMMUNE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12" w:lineRule="exact"/>
        <w:rPr>
          <w:sz w:val="24"/>
          <w:szCs w:val="24"/>
          <w:color w:val="auto"/>
        </w:rPr>
      </w:pPr>
    </w:p>
    <w:tbl>
      <w:tblPr>
        <w:tblLayout w:type="fixed"/>
        <w:tblInd w:w="901"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00" w:type="dxa"/>
            <w:vAlign w:val="bottom"/>
            <w:gridSpan w:val="3"/>
          </w:tcPr>
          <w:p>
            <w:pPr>
              <w:jc w:val="center"/>
              <w:ind w:right="2980"/>
              <w:spacing w:after="0"/>
              <w:rPr>
                <w:sz w:val="20"/>
                <w:szCs w:val="20"/>
                <w:color w:val="auto"/>
              </w:rPr>
            </w:pPr>
            <w:r>
              <w:rPr>
                <w:rFonts w:ascii="Arial" w:cs="Arial" w:eastAsia="Arial" w:hAnsi="Arial"/>
                <w:sz w:val="16"/>
                <w:szCs w:val="16"/>
                <w:b w:val="1"/>
                <w:bCs w:val="1"/>
                <w:color w:val="auto"/>
                <w:w w:val="91"/>
              </w:rPr>
              <w:t>Nevada</w:t>
            </w:r>
          </w:p>
        </w:tc>
        <w:tc>
          <w:tcPr>
            <w:tcW w:w="366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88-0277072</w:t>
            </w:r>
          </w:p>
        </w:tc>
      </w:tr>
      <w:tr>
        <w:trPr>
          <w:trHeight w:val="20"/>
        </w:trPr>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3"/>
        </w:trPr>
        <w:tc>
          <w:tcPr>
            <w:tcW w:w="5200" w:type="dxa"/>
            <w:vAlign w:val="bottom"/>
            <w:gridSpan w:val="5"/>
          </w:tcPr>
          <w:p>
            <w:pPr>
              <w:jc w:val="center"/>
              <w:ind w:right="1280"/>
              <w:spacing w:after="0"/>
              <w:rPr>
                <w:sz w:val="20"/>
                <w:szCs w:val="20"/>
                <w:color w:val="auto"/>
              </w:rPr>
            </w:pPr>
            <w:r>
              <w:rPr>
                <w:rFonts w:ascii="Arial" w:cs="Arial" w:eastAsia="Arial" w:hAnsi="Arial"/>
                <w:sz w:val="16"/>
                <w:szCs w:val="16"/>
                <w:color w:val="auto"/>
                <w:w w:val="95"/>
              </w:rPr>
              <w:t>(State or other jurisdiction of incorporation of organization)</w:t>
            </w:r>
          </w:p>
        </w:tc>
        <w:tc>
          <w:tcPr>
            <w:tcW w:w="3660" w:type="dxa"/>
            <w:vAlign w:val="bottom"/>
            <w:gridSpan w:val="5"/>
          </w:tcPr>
          <w:p>
            <w:pPr>
              <w:jc w:val="center"/>
              <w:ind w:left="1198"/>
              <w:spacing w:after="0"/>
              <w:rPr>
                <w:sz w:val="20"/>
                <w:szCs w:val="20"/>
                <w:color w:val="auto"/>
              </w:rPr>
            </w:pPr>
            <w:r>
              <w:rPr>
                <w:rFonts w:ascii="Arial" w:cs="Arial" w:eastAsia="Arial" w:hAnsi="Arial"/>
                <w:sz w:val="16"/>
                <w:szCs w:val="16"/>
                <w:color w:val="auto"/>
                <w:w w:val="96"/>
              </w:rPr>
              <w:t>(I.R.S. Employer Identification No.)</w:t>
            </w:r>
          </w:p>
        </w:tc>
      </w:tr>
      <w:tr>
        <w:trPr>
          <w:trHeight w:val="404"/>
        </w:trPr>
        <w:tc>
          <w:tcPr>
            <w:tcW w:w="5200" w:type="dxa"/>
            <w:vAlign w:val="bottom"/>
            <w:gridSpan w:val="5"/>
          </w:tcPr>
          <w:p>
            <w:pPr>
              <w:jc w:val="center"/>
              <w:ind w:right="1280"/>
              <w:spacing w:after="0"/>
              <w:rPr>
                <w:sz w:val="20"/>
                <w:szCs w:val="20"/>
                <w:color w:val="auto"/>
              </w:rPr>
            </w:pPr>
            <w:r>
              <w:rPr>
                <w:rFonts w:ascii="Arial" w:cs="Arial" w:eastAsia="Arial" w:hAnsi="Arial"/>
                <w:sz w:val="16"/>
                <w:szCs w:val="16"/>
                <w:b w:val="1"/>
                <w:bCs w:val="1"/>
                <w:color w:val="auto"/>
                <w:w w:val="91"/>
              </w:rPr>
              <w:t>1551 Eastlake Avenue East, Suite 100</w:t>
            </w: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7"/>
        </w:trPr>
        <w:tc>
          <w:tcPr>
            <w:tcW w:w="1260" w:type="dxa"/>
            <w:vAlign w:val="bottom"/>
          </w:tcPr>
          <w:p>
            <w:pPr>
              <w:spacing w:after="0"/>
              <w:rPr>
                <w:sz w:val="15"/>
                <w:szCs w:val="15"/>
                <w:color w:val="auto"/>
              </w:rPr>
            </w:pPr>
          </w:p>
        </w:tc>
        <w:tc>
          <w:tcPr>
            <w:tcW w:w="1400" w:type="dxa"/>
            <w:vAlign w:val="bottom"/>
            <w:tcBorders>
              <w:bottom w:val="single" w:sz="8" w:color="auto"/>
            </w:tcBorders>
            <w:gridSpan w:val="3"/>
          </w:tcPr>
          <w:p>
            <w:pPr>
              <w:jc w:val="center"/>
              <w:spacing w:after="0" w:line="177" w:lineRule="exact"/>
              <w:rPr>
                <w:sz w:val="20"/>
                <w:szCs w:val="20"/>
                <w:color w:val="auto"/>
              </w:rPr>
            </w:pPr>
            <w:r>
              <w:rPr>
                <w:rFonts w:ascii="Arial" w:cs="Arial" w:eastAsia="Arial" w:hAnsi="Arial"/>
                <w:sz w:val="16"/>
                <w:szCs w:val="16"/>
                <w:b w:val="1"/>
                <w:bCs w:val="1"/>
                <w:color w:val="auto"/>
                <w:w w:val="91"/>
              </w:rPr>
              <w:t>Seattle, Washington</w:t>
            </w:r>
          </w:p>
        </w:tc>
        <w:tc>
          <w:tcPr>
            <w:tcW w:w="2540" w:type="dxa"/>
            <w:vAlign w:val="bottom"/>
          </w:tcPr>
          <w:p>
            <w:pPr>
              <w:spacing w:after="0"/>
              <w:rPr>
                <w:sz w:val="15"/>
                <w:szCs w:val="15"/>
                <w:color w:val="auto"/>
              </w:rPr>
            </w:pPr>
          </w:p>
        </w:tc>
        <w:tc>
          <w:tcPr>
            <w:tcW w:w="2260" w:type="dxa"/>
            <w:vAlign w:val="bottom"/>
            <w:gridSpan w:val="2"/>
          </w:tcPr>
          <w:p>
            <w:pPr>
              <w:spacing w:after="0"/>
              <w:rPr>
                <w:sz w:val="15"/>
                <w:szCs w:val="15"/>
                <w:color w:val="auto"/>
              </w:rPr>
            </w:pPr>
          </w:p>
        </w:tc>
        <w:tc>
          <w:tcPr>
            <w:tcW w:w="42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b w:val="1"/>
                <w:bCs w:val="1"/>
                <w:color w:val="auto"/>
                <w:w w:val="89"/>
              </w:rPr>
              <w:t>98102</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3"/>
        </w:trPr>
        <w:tc>
          <w:tcPr>
            <w:tcW w:w="5200" w:type="dxa"/>
            <w:vAlign w:val="bottom"/>
            <w:gridSpan w:val="5"/>
          </w:tcPr>
          <w:p>
            <w:pPr>
              <w:jc w:val="center"/>
              <w:ind w:right="1280"/>
              <w:spacing w:after="0"/>
              <w:rPr>
                <w:sz w:val="20"/>
                <w:szCs w:val="20"/>
                <w:color w:val="auto"/>
              </w:rPr>
            </w:pPr>
            <w:r>
              <w:rPr>
                <w:rFonts w:ascii="Arial" w:cs="Arial" w:eastAsia="Arial" w:hAnsi="Arial"/>
                <w:sz w:val="16"/>
                <w:szCs w:val="16"/>
                <w:color w:val="auto"/>
                <w:w w:val="95"/>
              </w:rPr>
              <w:t>(Address of Principal Executive Offices)</w:t>
            </w:r>
          </w:p>
        </w:tc>
        <w:tc>
          <w:tcPr>
            <w:tcW w:w="2080" w:type="dxa"/>
            <w:vAlign w:val="bottom"/>
          </w:tcPr>
          <w:p>
            <w:pPr>
              <w:spacing w:after="0"/>
              <w:rPr>
                <w:sz w:val="18"/>
                <w:szCs w:val="18"/>
                <w:color w:val="auto"/>
              </w:rPr>
            </w:pPr>
          </w:p>
        </w:tc>
        <w:tc>
          <w:tcPr>
            <w:tcW w:w="1580" w:type="dxa"/>
            <w:vAlign w:val="bottom"/>
            <w:gridSpan w:val="4"/>
          </w:tcPr>
          <w:p>
            <w:pPr>
              <w:jc w:val="center"/>
              <w:ind w:right="800"/>
              <w:spacing w:after="0"/>
              <w:rPr>
                <w:sz w:val="20"/>
                <w:szCs w:val="20"/>
                <w:color w:val="auto"/>
              </w:rPr>
            </w:pPr>
            <w:r>
              <w:rPr>
                <w:rFonts w:ascii="Arial" w:cs="Arial" w:eastAsia="Arial" w:hAnsi="Arial"/>
                <w:sz w:val="16"/>
                <w:szCs w:val="16"/>
                <w:color w:val="auto"/>
                <w:w w:val="97"/>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5431155</wp:posOffset>
            </wp:positionH>
            <wp:positionV relativeFrom="paragraph">
              <wp:posOffset>-272415</wp:posOffset>
            </wp:positionV>
            <wp:extent cx="260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035" cy="762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(206) 504-7278</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20" w:lineRule="exact"/>
        <w:rPr>
          <w:sz w:val="24"/>
          <w:szCs w:val="24"/>
          <w:color w:val="auto"/>
        </w:rPr>
      </w:pPr>
    </w:p>
    <w:p>
      <w:pPr>
        <w:ind w:left="1"/>
        <w:spacing w:after="0"/>
        <w:rPr>
          <w:sz w:val="20"/>
          <w:szCs w:val="20"/>
          <w:color w:val="auto"/>
        </w:rPr>
      </w:pPr>
      <w:r>
        <w:rPr>
          <w:rFonts w:ascii="Arial" w:cs="Arial" w:eastAsia="Arial" w:hAnsi="Arial"/>
          <w:sz w:val="16"/>
          <w:szCs w:val="16"/>
          <w:color w:val="auto"/>
        </w:rPr>
        <w:t xml:space="preserve">Securities registered pursuant to Section 12(b) of the Act: </w:t>
      </w:r>
      <w:r>
        <w:rPr>
          <w:rFonts w:ascii="Arial" w:cs="Arial" w:eastAsia="Arial" w:hAnsi="Arial"/>
          <w:sz w:val="16"/>
          <w:szCs w:val="16"/>
          <w:b w:val="1"/>
          <w:bCs w:val="1"/>
          <w:u w:val="single" w:color="auto"/>
          <w:color w:val="auto"/>
        </w:rPr>
        <w:t>None</w:t>
      </w:r>
    </w:p>
    <w:p>
      <w:pPr>
        <w:spacing w:after="0" w:line="239"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12(g) of the Act:</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Common Stock, Par Value $0.001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(Title of class)</w:t>
      </w:r>
    </w:p>
    <w:p>
      <w:pPr>
        <w:spacing w:after="0" w:line="224" w:lineRule="exact"/>
        <w:rPr>
          <w:sz w:val="24"/>
          <w:szCs w:val="24"/>
          <w:color w:val="auto"/>
        </w:rPr>
      </w:pPr>
    </w:p>
    <w:p>
      <w:pPr>
        <w:ind w:left="1"/>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31" w:lineRule="exact"/>
        <w:rPr>
          <w:sz w:val="24"/>
          <w:szCs w:val="24"/>
          <w:color w:val="auto"/>
        </w:rPr>
      </w:pPr>
    </w:p>
    <w:p>
      <w:pPr>
        <w:ind w:left="1"/>
        <w:spacing w:after="0"/>
        <w:rPr>
          <w:sz w:val="20"/>
          <w:szCs w:val="20"/>
          <w:color w:val="auto"/>
        </w:rPr>
      </w:pPr>
      <w:r>
        <w:rPr>
          <w:rFonts w:ascii="Arial" w:cs="Arial" w:eastAsia="Arial" w:hAnsi="Arial"/>
          <w:sz w:val="16"/>
          <w:szCs w:val="16"/>
          <w:color w:val="auto"/>
        </w:rPr>
        <w:t>Yes [ ] No [</w:t>
      </w:r>
      <w:r>
        <w:rPr>
          <w:rFonts w:ascii="Arial" w:cs="Arial" w:eastAsia="Arial" w:hAnsi="Arial"/>
          <w:sz w:val="16"/>
          <w:szCs w:val="16"/>
          <w:b w:val="1"/>
          <w:bCs w:val="1"/>
          <w:color w:val="auto"/>
        </w:rPr>
        <w:t>X</w:t>
      </w:r>
      <w:r>
        <w:rPr>
          <w:rFonts w:ascii="Arial" w:cs="Arial" w:eastAsia="Arial" w:hAnsi="Arial"/>
          <w:sz w:val="16"/>
          <w:szCs w:val="16"/>
          <w:color w:val="auto"/>
        </w:rPr>
        <w:t>]</w:t>
      </w:r>
    </w:p>
    <w:p>
      <w:pPr>
        <w:spacing w:after="0" w:line="239" w:lineRule="exact"/>
        <w:rPr>
          <w:sz w:val="24"/>
          <w:szCs w:val="24"/>
          <w:color w:val="auto"/>
        </w:rPr>
      </w:pPr>
    </w:p>
    <w:p>
      <w:pPr>
        <w:ind w:left="1"/>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of Section 15(d) of the Act.</w:t>
      </w:r>
    </w:p>
    <w:p>
      <w:pPr>
        <w:spacing w:after="0" w:line="231" w:lineRule="exact"/>
        <w:rPr>
          <w:sz w:val="24"/>
          <w:szCs w:val="24"/>
          <w:color w:val="auto"/>
        </w:rPr>
      </w:pPr>
    </w:p>
    <w:p>
      <w:pPr>
        <w:ind w:left="1"/>
        <w:spacing w:after="0"/>
        <w:rPr>
          <w:sz w:val="20"/>
          <w:szCs w:val="20"/>
          <w:color w:val="auto"/>
        </w:rPr>
      </w:pPr>
      <w:r>
        <w:rPr>
          <w:rFonts w:ascii="Arial" w:cs="Arial" w:eastAsia="Arial" w:hAnsi="Arial"/>
          <w:sz w:val="16"/>
          <w:szCs w:val="16"/>
          <w:color w:val="auto"/>
        </w:rPr>
        <w:t>Yes [ ] No [</w:t>
      </w:r>
      <w:r>
        <w:rPr>
          <w:rFonts w:ascii="Arial" w:cs="Arial" w:eastAsia="Arial" w:hAnsi="Arial"/>
          <w:sz w:val="16"/>
          <w:szCs w:val="16"/>
          <w:b w:val="1"/>
          <w:bCs w:val="1"/>
          <w:color w:val="auto"/>
        </w:rPr>
        <w:t>X</w:t>
      </w:r>
      <w:r>
        <w:rPr>
          <w:rFonts w:ascii="Arial" w:cs="Arial" w:eastAsia="Arial" w:hAnsi="Arial"/>
          <w:sz w:val="16"/>
          <w:szCs w:val="16"/>
          <w:color w:val="auto"/>
        </w:rPr>
        <w:t>]</w:t>
      </w:r>
    </w:p>
    <w:p>
      <w:pPr>
        <w:spacing w:after="0" w:line="239" w:lineRule="exact"/>
        <w:rPr>
          <w:sz w:val="24"/>
          <w:szCs w:val="24"/>
          <w:color w:val="auto"/>
        </w:rPr>
      </w:pPr>
    </w:p>
    <w:p>
      <w:pPr>
        <w:jc w:val="both"/>
        <w:ind w:left="1"/>
        <w:spacing w:after="0" w:line="272" w:lineRule="auto"/>
        <w:rPr>
          <w:sz w:val="20"/>
          <w:szCs w:val="20"/>
          <w:color w:val="auto"/>
        </w:rPr>
      </w:pPr>
      <w:r>
        <w:rPr>
          <w:rFonts w:ascii="Arial" w:cs="Arial" w:eastAsia="Arial" w:hAnsi="Arial"/>
          <w:sz w:val="16"/>
          <w:szCs w:val="16"/>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b w:val="1"/>
          <w:bCs w:val="1"/>
          <w:color w:val="auto"/>
        </w:rPr>
        <w:t>X</w:t>
      </w:r>
      <w:r>
        <w:rPr>
          <w:rFonts w:ascii="Arial" w:cs="Arial" w:eastAsia="Arial" w:hAnsi="Arial"/>
          <w:sz w:val="16"/>
          <w:szCs w:val="16"/>
          <w:color w:val="auto"/>
        </w:rPr>
        <w:t>] No [ ]</w:t>
      </w:r>
    </w:p>
    <w:p>
      <w:pPr>
        <w:spacing w:after="0" w:line="187" w:lineRule="exact"/>
        <w:rPr>
          <w:sz w:val="24"/>
          <w:szCs w:val="24"/>
          <w:color w:val="auto"/>
        </w:rPr>
      </w:pPr>
    </w:p>
    <w:p>
      <w:pPr>
        <w:jc w:val="both"/>
        <w:ind w:left="1"/>
        <w:spacing w:after="0" w:line="27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Arial" w:cs="Arial" w:eastAsia="Arial" w:hAnsi="Arial"/>
          <w:sz w:val="16"/>
          <w:szCs w:val="16"/>
          <w:b w:val="1"/>
          <w:bCs w:val="1"/>
          <w:color w:val="auto"/>
        </w:rPr>
        <w:t>X</w:t>
      </w:r>
      <w:r>
        <w:rPr>
          <w:rFonts w:ascii="Arial" w:cs="Arial" w:eastAsia="Arial" w:hAnsi="Arial"/>
          <w:sz w:val="16"/>
          <w:szCs w:val="16"/>
          <w:color w:val="auto"/>
        </w:rPr>
        <w:t>] No [ ]</w:t>
      </w:r>
    </w:p>
    <w:p>
      <w:pPr>
        <w:spacing w:after="0" w:line="187" w:lineRule="exact"/>
        <w:rPr>
          <w:sz w:val="24"/>
          <w:szCs w:val="24"/>
          <w:color w:val="auto"/>
        </w:rPr>
      </w:pPr>
    </w:p>
    <w:p>
      <w:pPr>
        <w:jc w:val="both"/>
        <w:ind w:left="1"/>
        <w:spacing w:after="0" w:line="324"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5"/>
          <w:szCs w:val="15"/>
          <w:b w:val="1"/>
          <w:bCs w:val="1"/>
          <w:color w:val="auto"/>
        </w:rPr>
        <w:t>X</w:t>
      </w:r>
      <w:r>
        <w:rPr>
          <w:rFonts w:ascii="Arial" w:cs="Arial" w:eastAsia="Arial" w:hAnsi="Arial"/>
          <w:sz w:val="15"/>
          <w:szCs w:val="15"/>
          <w:color w:val="auto"/>
        </w:rPr>
        <w:t>]</w:t>
      </w:r>
    </w:p>
    <w:p>
      <w:pPr>
        <w:spacing w:after="0" w:line="150" w:lineRule="exact"/>
        <w:rPr>
          <w:sz w:val="24"/>
          <w:szCs w:val="24"/>
          <w:color w:val="auto"/>
        </w:rPr>
      </w:pPr>
    </w:p>
    <w:p>
      <w:pPr>
        <w:ind w:left="1"/>
        <w:spacing w:after="0"/>
        <w:rPr>
          <w:sz w:val="20"/>
          <w:szCs w:val="20"/>
          <w:color w:val="auto"/>
        </w:rPr>
      </w:pPr>
      <w:r>
        <w:rPr>
          <w:rFonts w:ascii="Arial" w:cs="Arial" w:eastAsia="Arial" w:hAnsi="Arial"/>
          <w:sz w:val="16"/>
          <w:szCs w:val="16"/>
          <w:color w:val="auto"/>
        </w:rPr>
        <w:t>Indicate by checkmark whether the registrant is a large accelerated filer, an accelerated filer, a non-accelerated filer, or a smaller reporting company.</w:t>
      </w:r>
    </w:p>
    <w:p>
      <w:pPr>
        <w:sectPr>
          <w:pgSz w:w="11900" w:h="16838" w:orient="portrait"/>
          <w:cols w:equalWidth="0" w:num="1">
            <w:col w:w="11421"/>
          </w:cols>
          <w:pgMar w:left="239" w:top="961" w:right="239" w:bottom="639" w:gutter="0" w:footer="0" w:header="0"/>
        </w:sectPr>
      </w:pPr>
    </w:p>
    <w:p>
      <w:pPr>
        <w:spacing w:after="0" w:line="235" w:lineRule="exact"/>
        <w:rPr>
          <w:sz w:val="24"/>
          <w:szCs w:val="24"/>
          <w:color w:val="auto"/>
        </w:rPr>
      </w:pPr>
    </w:p>
    <w:p>
      <w:pPr>
        <w:ind w:left="1"/>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ind w:right="4220"/>
        <w:spacing w:after="0"/>
        <w:rPr>
          <w:sz w:val="20"/>
          <w:szCs w:val="20"/>
          <w:color w:val="auto"/>
        </w:rPr>
      </w:pPr>
      <w:r>
        <w:rPr>
          <w:rFonts w:ascii="Arial" w:cs="Arial" w:eastAsia="Arial" w:hAnsi="Arial"/>
          <w:sz w:val="15"/>
          <w:szCs w:val="15"/>
          <w:color w:val="auto"/>
        </w:rPr>
        <w:t>Accelerated filer o</w:t>
      </w:r>
    </w:p>
    <w:p>
      <w:pPr>
        <w:spacing w:after="0" w:line="200" w:lineRule="exact"/>
        <w:rPr>
          <w:sz w:val="24"/>
          <w:szCs w:val="24"/>
          <w:color w:val="auto"/>
        </w:rPr>
      </w:pPr>
    </w:p>
    <w:p>
      <w:pPr>
        <w:sectPr>
          <w:pgSz w:w="11900" w:h="16838" w:orient="portrait"/>
          <w:cols w:equalWidth="0" w:num="2">
            <w:col w:w="5261" w:space="720"/>
            <w:col w:w="5440"/>
          </w:cols>
          <w:pgMar w:left="239" w:top="961" w:right="239" w:bottom="639" w:gutter="0" w:footer="0" w:header="0"/>
          <w:type w:val="continuous"/>
        </w:sectPr>
      </w:pPr>
    </w:p>
    <w:p>
      <w:pPr>
        <w:spacing w:after="0" w:line="46" w:lineRule="exact"/>
        <w:rPr>
          <w:sz w:val="24"/>
          <w:szCs w:val="24"/>
          <w:color w:val="auto"/>
        </w:rPr>
      </w:pPr>
    </w:p>
    <w:p>
      <w:pPr>
        <w:ind w:left="1"/>
        <w:spacing w:after="0"/>
        <w:rPr>
          <w:sz w:val="20"/>
          <w:szCs w:val="20"/>
          <w:color w:val="auto"/>
        </w:rPr>
      </w:pPr>
      <w:r>
        <w:rPr>
          <w:rFonts w:ascii="Arial" w:cs="Arial" w:eastAsia="Arial" w:hAnsi="Arial"/>
          <w:sz w:val="15"/>
          <w:szCs w:val="15"/>
          <w:color w:val="auto"/>
        </w:rPr>
        <w:t>Non-accelerated filer o (do not check if a smaller reporting company)</w:t>
      </w:r>
    </w:p>
    <w:p>
      <w:pPr>
        <w:spacing w:after="0" w:line="36" w:lineRule="exact"/>
        <w:rPr>
          <w:sz w:val="24"/>
          <w:szCs w:val="24"/>
          <w:color w:val="auto"/>
        </w:rPr>
      </w:pPr>
    </w:p>
    <w:p>
      <w:pPr>
        <w:ind w:left="1"/>
        <w:spacing w:after="0"/>
        <w:rPr>
          <w:sz w:val="20"/>
          <w:szCs w:val="20"/>
          <w:color w:val="auto"/>
        </w:rPr>
      </w:pPr>
      <w:r>
        <w:rPr>
          <w:rFonts w:ascii="Arial" w:cs="Arial" w:eastAsia="Arial" w:hAnsi="Arial"/>
          <w:sz w:val="16"/>
          <w:szCs w:val="16"/>
          <w:color w:val="auto"/>
        </w:rPr>
        <w:t>company 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w:t>
      </w:r>
    </w:p>
    <w:p>
      <w:pPr>
        <w:spacing w:after="0" w:line="419" w:lineRule="exact"/>
        <w:rPr>
          <w:sz w:val="24"/>
          <w:szCs w:val="24"/>
          <w:color w:val="auto"/>
        </w:rPr>
      </w:pPr>
    </w:p>
    <w:p>
      <w:pPr>
        <w:sectPr>
          <w:pgSz w:w="11900" w:h="16838" w:orient="portrait"/>
          <w:cols w:equalWidth="0" w:num="2">
            <w:col w:w="9101" w:space="720"/>
            <w:col w:w="1600"/>
          </w:cols>
          <w:pgMar w:left="239" w:top="961" w:right="239" w:bottom="639" w:gutter="0" w:footer="0" w:header="0"/>
          <w:type w:val="continuous"/>
        </w:sectPr>
      </w:pPr>
    </w:p>
    <w:p>
      <w:pPr>
        <w:spacing w:after="0" w:line="24" w:lineRule="exact"/>
        <w:rPr>
          <w:sz w:val="24"/>
          <w:szCs w:val="24"/>
          <w:color w:val="auto"/>
        </w:rPr>
      </w:pPr>
    </w:p>
    <w:p>
      <w:pPr>
        <w:ind w:left="1"/>
        <w:spacing w:after="0"/>
        <w:rPr>
          <w:sz w:val="20"/>
          <w:szCs w:val="20"/>
          <w:color w:val="auto"/>
        </w:rPr>
      </w:pPr>
      <w:r>
        <w:rPr>
          <w:rFonts w:ascii="Arial" w:cs="Arial" w:eastAsia="Arial" w:hAnsi="Arial"/>
          <w:sz w:val="16"/>
          <w:szCs w:val="16"/>
          <w:color w:val="auto"/>
        </w:rPr>
        <w:t>Indicate by checkmark whether the registrant is a shell company (as defined in Rule 12b-2 of the Exchange Act).</w:t>
      </w:r>
    </w:p>
    <w:p>
      <w:pPr>
        <w:spacing w:after="0" w:line="231" w:lineRule="exact"/>
        <w:rPr>
          <w:sz w:val="24"/>
          <w:szCs w:val="24"/>
          <w:color w:val="auto"/>
        </w:rPr>
      </w:pPr>
    </w:p>
    <w:p>
      <w:pPr>
        <w:ind w:left="1"/>
        <w:spacing w:after="0"/>
        <w:rPr>
          <w:sz w:val="20"/>
          <w:szCs w:val="20"/>
          <w:color w:val="auto"/>
        </w:rPr>
      </w:pPr>
      <w:r>
        <w:rPr>
          <w:rFonts w:ascii="Arial" w:cs="Arial" w:eastAsia="Arial" w:hAnsi="Arial"/>
          <w:sz w:val="16"/>
          <w:szCs w:val="16"/>
          <w:color w:val="auto"/>
        </w:rPr>
        <w:t>Yes [ ] No [</w:t>
      </w:r>
      <w:r>
        <w:rPr>
          <w:rFonts w:ascii="Arial" w:cs="Arial" w:eastAsia="Arial" w:hAnsi="Arial"/>
          <w:sz w:val="16"/>
          <w:szCs w:val="16"/>
          <w:b w:val="1"/>
          <w:bCs w:val="1"/>
          <w:color w:val="auto"/>
        </w:rPr>
        <w:t>X</w:t>
      </w:r>
      <w:r>
        <w:rPr>
          <w:rFonts w:ascii="Arial" w:cs="Arial" w:eastAsia="Arial" w:hAnsi="Arial"/>
          <w:sz w:val="16"/>
          <w:szCs w:val="16"/>
          <w:color w:val="auto"/>
        </w:rPr>
        <w:t>]</w:t>
      </w:r>
    </w:p>
    <w:p>
      <w:pPr>
        <w:spacing w:after="0" w:line="239" w:lineRule="exact"/>
        <w:rPr>
          <w:sz w:val="24"/>
          <w:szCs w:val="24"/>
          <w:color w:val="auto"/>
        </w:rPr>
      </w:pPr>
    </w:p>
    <w:p>
      <w:pPr>
        <w:ind w:left="1"/>
        <w:spacing w:after="0" w:line="324"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computed by reference to the price at which the registrant’s common equity was last sold, as of June 28, 2013 (the last day of the registrant’s most recently completed second fiscal quarter) was approximately $3,423,048.</w:t>
      </w:r>
    </w:p>
    <w:p>
      <w:pPr>
        <w:spacing w:after="0" w:line="150" w:lineRule="exact"/>
        <w:rPr>
          <w:sz w:val="24"/>
          <w:szCs w:val="24"/>
          <w:color w:val="auto"/>
        </w:rPr>
      </w:pPr>
    </w:p>
    <w:p>
      <w:pPr>
        <w:ind w:left="1"/>
        <w:spacing w:after="0"/>
        <w:rPr>
          <w:sz w:val="20"/>
          <w:szCs w:val="20"/>
          <w:color w:val="auto"/>
        </w:rPr>
      </w:pPr>
      <w:r>
        <w:rPr>
          <w:rFonts w:ascii="Arial" w:cs="Arial" w:eastAsia="Arial" w:hAnsi="Arial"/>
          <w:sz w:val="16"/>
          <w:szCs w:val="16"/>
          <w:color w:val="auto"/>
        </w:rPr>
        <w:t>The registrant had 16,058,815 shares of common stock outstanding as of April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670560</wp:posOffset>
            </wp:positionV>
            <wp:extent cx="72586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685" cy="5715"/>
                    </a:xfrm>
                    <a:prstGeom prst="rect">
                      <a:avLst/>
                    </a:prstGeom>
                    <a:noFill/>
                  </pic:spPr>
                </pic:pic>
              </a:graphicData>
            </a:graphic>
          </wp:anchor>
        </w:drawing>
      </w:r>
    </w:p>
    <w:p>
      <w:pPr>
        <w:sectPr>
          <w:pgSz w:w="11900" w:h="16838" w:orient="portrait"/>
          <w:cols w:equalWidth="0" w:num="1">
            <w:col w:w="11421"/>
          </w:cols>
          <w:pgMar w:left="239" w:top="961" w:right="239" w:bottom="639"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63765" cy="10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u w:val="single" w:color="auto"/>
          <w:color w:val="auto"/>
        </w:rPr>
        <w:t>FORWARD LOOKING STATEMENTS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This annual report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annual report. Any of these items may cause our actual results to differ materially from any forward-looking statement made in this annual report. Forward-looking statements in this annual report include, among others, statements regarding our capital needs, business plans and expectations.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spacing w:after="0" w:line="187" w:lineRule="exact"/>
        <w:rPr>
          <w:sz w:val="20"/>
          <w:szCs w:val="20"/>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need for additional financing;</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limited operating history;</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history of operating losses;</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lack of insurance coverage;</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competitive environment in which we operate;</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governmental regulation and administrative practices;</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dependence on key personnel;</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conflicts of interest of our directors and officers;</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fully implement our business plan;</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effectively manage our growth; and</w:t>
      </w:r>
    </w:p>
    <w:p>
      <w:pPr>
        <w:spacing w:after="0" w:line="234" w:lineRule="exact"/>
        <w:rPr>
          <w:rFonts w:ascii="Arial" w:cs="Arial" w:eastAsia="Arial" w:hAnsi="Arial"/>
          <w:sz w:val="16"/>
          <w:szCs w:val="16"/>
          <w:color w:val="auto"/>
        </w:rPr>
      </w:pPr>
    </w:p>
    <w:p>
      <w:pPr>
        <w:ind w:left="640" w:hanging="297"/>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regulatory, legislative and judicial developments.</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advise the reader that these cautionary remarks expressly qualify in their entirety all forward-looking statements attributable to us or persons acting on our behalf. The forward-looking statements in this annual report are made as of the date of this annual report and we do not intend or undertake to update any of the forward-looking statements to conform these statements to actual results, except as required by applicable law, including the securities laws of the United States.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AVAILABLE INFORMATION</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TapImmune Inc. files annual, quarterly and current reports, proxy statements and other information with the Securities and Exchange Commission (the “SEC”). You may read and copy documents referred to in this Annual Report on Form 10-K that have been filed with the SEC at the SEC’s Public Reference Room, 450 Fifth Street, N.W., Washington, D.C. You may obtain information on the operation of the Public Reference Room by calling the SEC at 1-800-SEC-0330. You can also obtain copies of our SEC filings by going to the SEC’s website at http://www.sec.gov.</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REFERENCES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As used in this annual report: (i) the terms “we”, “us”, “our”, “TapImmune” and the “Company” mean TapImmune Inc.; (ii) “SEC” refers to the Securities and Exchange Commission; (iii) “Securities Act” refers to the United States </w:t>
      </w:r>
      <w:r>
        <w:rPr>
          <w:rFonts w:ascii="Arial" w:cs="Arial" w:eastAsia="Arial" w:hAnsi="Arial"/>
          <w:sz w:val="16"/>
          <w:szCs w:val="16"/>
          <w:i w:val="1"/>
          <w:iCs w:val="1"/>
          <w:color w:val="auto"/>
        </w:rPr>
        <w:t>Securities Act of 1933</w:t>
      </w:r>
      <w:r>
        <w:rPr>
          <w:rFonts w:ascii="Arial" w:cs="Arial" w:eastAsia="Arial" w:hAnsi="Arial"/>
          <w:sz w:val="16"/>
          <w:szCs w:val="16"/>
          <w:color w:val="auto"/>
        </w:rPr>
        <w:t xml:space="preserve">, as amended; (iv) “Exchange Act” refers to the United States </w:t>
      </w:r>
      <w:r>
        <w:rPr>
          <w:rFonts w:ascii="Arial" w:cs="Arial" w:eastAsia="Arial" w:hAnsi="Arial"/>
          <w:sz w:val="16"/>
          <w:szCs w:val="16"/>
          <w:i w:val="1"/>
          <w:iCs w:val="1"/>
          <w:color w:val="auto"/>
        </w:rPr>
        <w:t>Securities Exchange Act of</w:t>
      </w:r>
      <w:r>
        <w:rPr>
          <w:rFonts w:ascii="Arial" w:cs="Arial" w:eastAsia="Arial" w:hAnsi="Arial"/>
          <w:sz w:val="16"/>
          <w:szCs w:val="16"/>
          <w:color w:val="auto"/>
        </w:rPr>
        <w:t xml:space="preserve"> </w:t>
      </w:r>
      <w:r>
        <w:rPr>
          <w:rFonts w:ascii="Arial" w:cs="Arial" w:eastAsia="Arial" w:hAnsi="Arial"/>
          <w:sz w:val="16"/>
          <w:szCs w:val="16"/>
          <w:i w:val="1"/>
          <w:iCs w:val="1"/>
          <w:color w:val="auto"/>
        </w:rPr>
        <w:t>1934</w:t>
      </w:r>
      <w:r>
        <w:rPr>
          <w:rFonts w:ascii="Arial" w:cs="Arial" w:eastAsia="Arial" w:hAnsi="Arial"/>
          <w:sz w:val="16"/>
          <w:szCs w:val="16"/>
          <w:color w:val="auto"/>
        </w:rPr>
        <w:t>, as amended; and (v) all dollar amounts refer to United States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13"/>
          </w:tcPr>
          <w:p>
            <w:pPr>
              <w:jc w:val="center"/>
              <w:ind w:right="640"/>
              <w:spacing w:after="0"/>
              <w:rPr>
                <w:sz w:val="20"/>
                <w:szCs w:val="20"/>
                <w:color w:val="auto"/>
              </w:rPr>
            </w:pPr>
            <w:r>
              <w:rPr>
                <w:rFonts w:ascii="Arial" w:cs="Arial" w:eastAsia="Arial" w:hAnsi="Arial"/>
                <w:sz w:val="16"/>
                <w:szCs w:val="16"/>
                <w:b w:val="1"/>
                <w:bCs w:val="1"/>
                <w:color w:val="auto"/>
              </w:rPr>
              <w:t>TABLE OF CONTENTS</w:t>
            </w:r>
          </w:p>
        </w:tc>
        <w:tc>
          <w:tcPr>
            <w:tcW w:w="3960" w:type="dxa"/>
            <w:vAlign w:val="bottom"/>
          </w:tcPr>
          <w:p>
            <w:pPr>
              <w:spacing w:after="0"/>
              <w:rPr>
                <w:sz w:val="16"/>
                <w:szCs w:val="16"/>
                <w:color w:val="auto"/>
              </w:rPr>
            </w:pPr>
          </w:p>
        </w:tc>
      </w:tr>
      <w:tr>
        <w:trPr>
          <w:trHeight w:val="239"/>
        </w:trPr>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177"/>
        </w:trPr>
        <w:tc>
          <w:tcPr>
            <w:tcW w:w="1380" w:type="dxa"/>
            <w:vAlign w:val="bottom"/>
            <w:tcBorders>
              <w:bottom w:val="single" w:sz="8" w:color="CCEEFF"/>
            </w:tcBorders>
            <w:shd w:val="clear" w:color="auto" w:fill="CCEEFF"/>
          </w:tcPr>
          <w:p>
            <w:pPr>
              <w:spacing w:after="0" w:line="160" w:lineRule="exact"/>
              <w:rPr>
                <w:sz w:val="20"/>
                <w:szCs w:val="20"/>
                <w:color w:val="auto"/>
              </w:rPr>
            </w:pPr>
            <w:r>
              <w:rPr>
                <w:rFonts w:ascii="Arial" w:cs="Arial" w:eastAsia="Arial" w:hAnsi="Arial"/>
                <w:sz w:val="16"/>
                <w:szCs w:val="16"/>
                <w:color w:val="auto"/>
              </w:rPr>
              <w:t>ITEM 1.</w:t>
            </w:r>
          </w:p>
        </w:tc>
        <w:tc>
          <w:tcPr>
            <w:tcW w:w="780" w:type="dxa"/>
            <w:vAlign w:val="bottom"/>
            <w:tcBorders>
              <w:bottom w:val="single" w:sz="8" w:color="auto"/>
            </w:tcBorders>
            <w:gridSpan w:val="3"/>
            <w:shd w:val="clear" w:color="auto" w:fill="CCEEFF"/>
          </w:tcPr>
          <w:p>
            <w:pPr>
              <w:spacing w:after="0" w:line="160" w:lineRule="exact"/>
              <w:rPr>
                <w:sz w:val="20"/>
                <w:szCs w:val="20"/>
                <w:color w:val="auto"/>
              </w:rPr>
            </w:pPr>
            <w:r>
              <w:rPr>
                <w:rFonts w:ascii="Arial" w:cs="Arial" w:eastAsia="Arial" w:hAnsi="Arial"/>
                <w:sz w:val="16"/>
                <w:szCs w:val="16"/>
                <w:color w:val="auto"/>
                <w:w w:val="93"/>
              </w:rPr>
              <w:t>BUSINESS</w:t>
            </w:r>
          </w:p>
        </w:tc>
        <w:tc>
          <w:tcPr>
            <w:tcW w:w="5300" w:type="dxa"/>
            <w:vAlign w:val="bottom"/>
            <w:tcBorders>
              <w:bottom w:val="single" w:sz="8" w:color="CCEEFF"/>
            </w:tcBorders>
            <w:gridSpan w:val="23"/>
            <w:shd w:val="clear" w:color="auto" w:fill="CCEEFF"/>
          </w:tcPr>
          <w:p>
            <w:pPr>
              <w:spacing w:after="0"/>
              <w:rPr>
                <w:sz w:val="15"/>
                <w:szCs w:val="15"/>
                <w:color w:val="auto"/>
              </w:rPr>
            </w:pPr>
          </w:p>
        </w:tc>
        <w:tc>
          <w:tcPr>
            <w:tcW w:w="3960" w:type="dxa"/>
            <w:vAlign w:val="bottom"/>
            <w:tcBorders>
              <w:bottom w:val="single" w:sz="8" w:color="CCEEFF"/>
            </w:tcBorders>
            <w:shd w:val="clear" w:color="auto" w:fill="CCEEFF"/>
          </w:tcPr>
          <w:p>
            <w:pPr>
              <w:jc w:val="right"/>
              <w:ind w:right="3558"/>
              <w:spacing w:after="0" w:line="160" w:lineRule="exact"/>
              <w:rPr>
                <w:sz w:val="20"/>
                <w:szCs w:val="20"/>
                <w:color w:val="auto"/>
              </w:rPr>
            </w:pPr>
            <w:r>
              <w:rPr>
                <w:rFonts w:ascii="Arial" w:cs="Arial" w:eastAsia="Arial" w:hAnsi="Arial"/>
                <w:sz w:val="16"/>
                <w:szCs w:val="16"/>
                <w:color w:val="auto"/>
              </w:rPr>
              <w:t>3</w:t>
            </w:r>
          </w:p>
        </w:tc>
      </w:tr>
      <w:tr>
        <w:trPr>
          <w:trHeight w:val="160"/>
        </w:trPr>
        <w:tc>
          <w:tcPr>
            <w:tcW w:w="1380" w:type="dxa"/>
            <w:vAlign w:val="bottom"/>
          </w:tcPr>
          <w:p>
            <w:pPr>
              <w:spacing w:after="0"/>
              <w:rPr>
                <w:sz w:val="13"/>
                <w:szCs w:val="13"/>
                <w:color w:val="auto"/>
              </w:rPr>
            </w:pPr>
          </w:p>
        </w:tc>
        <w:tc>
          <w:tcPr>
            <w:tcW w:w="6080" w:type="dxa"/>
            <w:vAlign w:val="bottom"/>
            <w:gridSpan w:val="26"/>
          </w:tcPr>
          <w:p>
            <w:pPr>
              <w:spacing w:after="0" w:line="160" w:lineRule="exact"/>
              <w:rPr>
                <w:sz w:val="20"/>
                <w:szCs w:val="20"/>
                <w:color w:val="auto"/>
              </w:rPr>
            </w:pPr>
            <w:r>
              <w:rPr>
                <w:rFonts w:ascii="Arial" w:cs="Arial" w:eastAsia="Arial" w:hAnsi="Arial"/>
                <w:sz w:val="16"/>
                <w:szCs w:val="16"/>
                <w:color w:val="auto"/>
              </w:rPr>
              <w:t>ITEM 1A.RISK FACTORS</w:t>
            </w:r>
          </w:p>
        </w:tc>
        <w:tc>
          <w:tcPr>
            <w:tcW w:w="3960" w:type="dxa"/>
            <w:vAlign w:val="bottom"/>
          </w:tcPr>
          <w:p>
            <w:pPr>
              <w:jc w:val="right"/>
              <w:ind w:right="3558"/>
              <w:spacing w:after="0" w:line="160" w:lineRule="exact"/>
              <w:rPr>
                <w:sz w:val="20"/>
                <w:szCs w:val="20"/>
                <w:color w:val="auto"/>
              </w:rPr>
            </w:pPr>
            <w:r>
              <w:rPr>
                <w:rFonts w:ascii="Arial" w:cs="Arial" w:eastAsia="Arial" w:hAnsi="Arial"/>
                <w:sz w:val="16"/>
                <w:szCs w:val="16"/>
                <w:color w:val="auto"/>
              </w:rPr>
              <w:t>11</w:t>
            </w:r>
          </w:p>
        </w:tc>
      </w:tr>
      <w:tr>
        <w:trPr>
          <w:trHeight w:val="28"/>
        </w:trPr>
        <w:tc>
          <w:tcPr>
            <w:tcW w:w="1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186"/>
        </w:trPr>
        <w:tc>
          <w:tcPr>
            <w:tcW w:w="1380" w:type="dxa"/>
            <w:vAlign w:val="bottom"/>
            <w:shd w:val="clear" w:color="auto" w:fill="CCEEFF"/>
          </w:tcPr>
          <w:p>
            <w:pPr>
              <w:spacing w:after="0"/>
              <w:rPr>
                <w:sz w:val="16"/>
                <w:szCs w:val="16"/>
                <w:color w:val="auto"/>
              </w:rPr>
            </w:pPr>
          </w:p>
        </w:tc>
        <w:tc>
          <w:tcPr>
            <w:tcW w:w="6080" w:type="dxa"/>
            <w:vAlign w:val="bottom"/>
            <w:gridSpan w:val="26"/>
            <w:shd w:val="clear" w:color="auto" w:fill="CCEEFF"/>
          </w:tcPr>
          <w:p>
            <w:pPr>
              <w:spacing w:after="0" w:line="168" w:lineRule="exact"/>
              <w:rPr>
                <w:sz w:val="20"/>
                <w:szCs w:val="20"/>
                <w:color w:val="auto"/>
              </w:rPr>
            </w:pPr>
            <w:r>
              <w:rPr>
                <w:rFonts w:ascii="Arial" w:cs="Arial" w:eastAsia="Arial" w:hAnsi="Arial"/>
                <w:sz w:val="16"/>
                <w:szCs w:val="16"/>
                <w:color w:val="auto"/>
              </w:rPr>
              <w:t>ITEM 1B.UNRESOLVED STAFF COMMENTS</w:t>
            </w:r>
          </w:p>
        </w:tc>
        <w:tc>
          <w:tcPr>
            <w:tcW w:w="3960" w:type="dxa"/>
            <w:vAlign w:val="bottom"/>
            <w:shd w:val="clear" w:color="auto" w:fill="CCEEFF"/>
          </w:tcPr>
          <w:p>
            <w:pPr>
              <w:jc w:val="right"/>
              <w:ind w:right="3558"/>
              <w:spacing w:after="0" w:line="168" w:lineRule="exact"/>
              <w:rPr>
                <w:sz w:val="20"/>
                <w:szCs w:val="20"/>
                <w:color w:val="auto"/>
              </w:rPr>
            </w:pPr>
            <w:r>
              <w:rPr>
                <w:rFonts w:ascii="Arial" w:cs="Arial" w:eastAsia="Arial" w:hAnsi="Arial"/>
                <w:sz w:val="16"/>
                <w:szCs w:val="16"/>
                <w:color w:val="auto"/>
              </w:rPr>
              <w:t>11</w:t>
            </w:r>
          </w:p>
        </w:tc>
      </w:tr>
      <w:tr>
        <w:trPr>
          <w:trHeight w:val="169"/>
        </w:trPr>
        <w:tc>
          <w:tcPr>
            <w:tcW w:w="1380" w:type="dxa"/>
            <w:vAlign w:val="bottom"/>
            <w:tcBorders>
              <w:top w:val="single" w:sz="8" w:color="CCEEFF"/>
            </w:tcBorders>
          </w:tcPr>
          <w:p>
            <w:pPr>
              <w:spacing w:after="0" w:line="160" w:lineRule="exact"/>
              <w:rPr>
                <w:sz w:val="20"/>
                <w:szCs w:val="20"/>
                <w:color w:val="auto"/>
              </w:rPr>
            </w:pPr>
            <w:r>
              <w:rPr>
                <w:rFonts w:ascii="Arial" w:cs="Arial" w:eastAsia="Arial" w:hAnsi="Arial"/>
                <w:sz w:val="16"/>
                <w:szCs w:val="16"/>
                <w:color w:val="auto"/>
              </w:rPr>
              <w:t>ITEM 2.</w:t>
            </w:r>
          </w:p>
        </w:tc>
        <w:tc>
          <w:tcPr>
            <w:tcW w:w="960" w:type="dxa"/>
            <w:vAlign w:val="bottom"/>
            <w:tcBorders>
              <w:top w:val="single" w:sz="8" w:color="auto"/>
              <w:bottom w:val="single" w:sz="8" w:color="auto"/>
            </w:tcBorders>
            <w:gridSpan w:val="4"/>
          </w:tcPr>
          <w:p>
            <w:pPr>
              <w:spacing w:after="0" w:line="160" w:lineRule="exact"/>
              <w:rPr>
                <w:sz w:val="20"/>
                <w:szCs w:val="20"/>
                <w:color w:val="auto"/>
              </w:rPr>
            </w:pPr>
            <w:r>
              <w:rPr>
                <w:rFonts w:ascii="Arial" w:cs="Arial" w:eastAsia="Arial" w:hAnsi="Arial"/>
                <w:sz w:val="16"/>
                <w:szCs w:val="16"/>
                <w:color w:val="auto"/>
                <w:w w:val="91"/>
              </w:rPr>
              <w:t>PROPERTIES</w:t>
            </w:r>
          </w:p>
        </w:tc>
        <w:tc>
          <w:tcPr>
            <w:tcW w:w="2280" w:type="dxa"/>
            <w:vAlign w:val="bottom"/>
            <w:tcBorders>
              <w:top w:val="single" w:sz="8" w:color="auto"/>
            </w:tcBorders>
            <w:gridSpan w:val="9"/>
          </w:tcPr>
          <w:p>
            <w:pPr>
              <w:spacing w:after="0"/>
              <w:rPr>
                <w:sz w:val="14"/>
                <w:szCs w:val="14"/>
                <w:color w:val="auto"/>
              </w:rPr>
            </w:pPr>
          </w:p>
        </w:tc>
        <w:tc>
          <w:tcPr>
            <w:tcW w:w="2840" w:type="dxa"/>
            <w:vAlign w:val="bottom"/>
            <w:tcBorders>
              <w:top w:val="single" w:sz="8" w:color="CCEEFF"/>
            </w:tcBorders>
            <w:gridSpan w:val="13"/>
          </w:tcPr>
          <w:p>
            <w:pPr>
              <w:spacing w:after="0"/>
              <w:rPr>
                <w:sz w:val="14"/>
                <w:szCs w:val="14"/>
                <w:color w:val="auto"/>
              </w:rPr>
            </w:pPr>
          </w:p>
        </w:tc>
        <w:tc>
          <w:tcPr>
            <w:tcW w:w="3960" w:type="dxa"/>
            <w:vAlign w:val="bottom"/>
            <w:tcBorders>
              <w:top w:val="single" w:sz="8" w:color="CCEEFF"/>
            </w:tcBorders>
          </w:tcPr>
          <w:p>
            <w:pPr>
              <w:jc w:val="right"/>
              <w:ind w:right="3558"/>
              <w:spacing w:after="0" w:line="160" w:lineRule="exact"/>
              <w:rPr>
                <w:sz w:val="20"/>
                <w:szCs w:val="20"/>
                <w:color w:val="auto"/>
              </w:rPr>
            </w:pPr>
            <w:r>
              <w:rPr>
                <w:rFonts w:ascii="Arial" w:cs="Arial" w:eastAsia="Arial" w:hAnsi="Arial"/>
                <w:sz w:val="16"/>
                <w:szCs w:val="16"/>
                <w:color w:val="auto"/>
              </w:rPr>
              <w:t>11</w:t>
            </w:r>
          </w:p>
        </w:tc>
      </w:tr>
      <w:tr>
        <w:trPr>
          <w:trHeight w:val="169"/>
        </w:trPr>
        <w:tc>
          <w:tcPr>
            <w:tcW w:w="138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ITEM 3.</w:t>
            </w:r>
          </w:p>
        </w:tc>
        <w:tc>
          <w:tcPr>
            <w:tcW w:w="6080" w:type="dxa"/>
            <w:vAlign w:val="bottom"/>
            <w:gridSpan w:val="26"/>
            <w:shd w:val="clear" w:color="auto" w:fill="CCEEFF"/>
          </w:tcPr>
          <w:p>
            <w:pPr>
              <w:spacing w:after="0" w:line="168" w:lineRule="exact"/>
              <w:rPr>
                <w:sz w:val="20"/>
                <w:szCs w:val="20"/>
                <w:color w:val="auto"/>
              </w:rPr>
            </w:pPr>
            <w:r>
              <w:rPr>
                <w:rFonts w:ascii="Arial" w:cs="Arial" w:eastAsia="Arial" w:hAnsi="Arial"/>
                <w:sz w:val="16"/>
                <w:szCs w:val="16"/>
                <w:color w:val="auto"/>
              </w:rPr>
              <w:t>LEGAL PROCEEDINGS</w:t>
            </w:r>
          </w:p>
        </w:tc>
        <w:tc>
          <w:tcPr>
            <w:tcW w:w="3960" w:type="dxa"/>
            <w:vAlign w:val="bottom"/>
            <w:shd w:val="clear" w:color="auto" w:fill="CCEEFF"/>
          </w:tcPr>
          <w:p>
            <w:pPr>
              <w:jc w:val="right"/>
              <w:ind w:right="3558"/>
              <w:spacing w:after="0" w:line="168" w:lineRule="exact"/>
              <w:rPr>
                <w:sz w:val="20"/>
                <w:szCs w:val="20"/>
                <w:color w:val="auto"/>
              </w:rPr>
            </w:pPr>
            <w:r>
              <w:rPr>
                <w:rFonts w:ascii="Arial" w:cs="Arial" w:eastAsia="Arial" w:hAnsi="Arial"/>
                <w:sz w:val="16"/>
                <w:szCs w:val="16"/>
                <w:color w:val="auto"/>
              </w:rPr>
              <w:t>11</w:t>
            </w:r>
          </w:p>
        </w:tc>
      </w:tr>
      <w:tr>
        <w:trPr>
          <w:trHeight w:val="37"/>
        </w:trPr>
        <w:tc>
          <w:tcPr>
            <w:tcW w:w="1380" w:type="dxa"/>
            <w:vAlign w:val="bottom"/>
            <w:shd w:val="clear" w:color="auto" w:fill="CCEEFF"/>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r>
      <w:tr>
        <w:trPr>
          <w:trHeight w:val="169"/>
        </w:trPr>
        <w:tc>
          <w:tcPr>
            <w:tcW w:w="1380" w:type="dxa"/>
            <w:vAlign w:val="bottom"/>
          </w:tcPr>
          <w:p>
            <w:pPr>
              <w:spacing w:after="0" w:line="160" w:lineRule="exact"/>
              <w:rPr>
                <w:sz w:val="20"/>
                <w:szCs w:val="20"/>
                <w:color w:val="auto"/>
              </w:rPr>
            </w:pPr>
            <w:r>
              <w:rPr>
                <w:rFonts w:ascii="Arial" w:cs="Arial" w:eastAsia="Arial" w:hAnsi="Arial"/>
                <w:sz w:val="16"/>
                <w:szCs w:val="16"/>
                <w:color w:val="auto"/>
              </w:rPr>
              <w:t>ITEM 4.</w:t>
            </w:r>
          </w:p>
        </w:tc>
        <w:tc>
          <w:tcPr>
            <w:tcW w:w="2140" w:type="dxa"/>
            <w:vAlign w:val="bottom"/>
            <w:tcBorders>
              <w:bottom w:val="single" w:sz="8" w:color="auto"/>
            </w:tcBorders>
            <w:gridSpan w:val="9"/>
          </w:tcPr>
          <w:p>
            <w:pPr>
              <w:spacing w:after="0" w:line="160" w:lineRule="exact"/>
              <w:rPr>
                <w:sz w:val="20"/>
                <w:szCs w:val="20"/>
                <w:color w:val="auto"/>
              </w:rPr>
            </w:pPr>
            <w:r>
              <w:rPr>
                <w:rFonts w:ascii="Arial" w:cs="Arial" w:eastAsia="Arial" w:hAnsi="Arial"/>
                <w:sz w:val="16"/>
                <w:szCs w:val="16"/>
                <w:color w:val="auto"/>
                <w:w w:val="98"/>
              </w:rPr>
              <w:t>MINE SAFETY DISCLOSURE</w:t>
            </w:r>
          </w:p>
        </w:tc>
        <w:tc>
          <w:tcPr>
            <w:tcW w:w="3940" w:type="dxa"/>
            <w:vAlign w:val="bottom"/>
            <w:gridSpan w:val="17"/>
          </w:tcPr>
          <w:p>
            <w:pPr>
              <w:spacing w:after="0"/>
              <w:rPr>
                <w:sz w:val="14"/>
                <w:szCs w:val="14"/>
                <w:color w:val="auto"/>
              </w:rPr>
            </w:pPr>
          </w:p>
        </w:tc>
        <w:tc>
          <w:tcPr>
            <w:tcW w:w="3960" w:type="dxa"/>
            <w:vAlign w:val="bottom"/>
          </w:tcPr>
          <w:p>
            <w:pPr>
              <w:jc w:val="right"/>
              <w:ind w:right="3558"/>
              <w:spacing w:after="0" w:line="160" w:lineRule="exact"/>
              <w:rPr>
                <w:sz w:val="20"/>
                <w:szCs w:val="20"/>
                <w:color w:val="auto"/>
              </w:rPr>
            </w:pPr>
            <w:r>
              <w:rPr>
                <w:rFonts w:ascii="Arial" w:cs="Arial" w:eastAsia="Arial" w:hAnsi="Arial"/>
                <w:sz w:val="16"/>
                <w:szCs w:val="16"/>
                <w:color w:val="auto"/>
              </w:rPr>
              <w:t>12</w:t>
            </w:r>
          </w:p>
        </w:tc>
      </w:tr>
      <w:tr>
        <w:trPr>
          <w:trHeight w:val="169"/>
        </w:trPr>
        <w:tc>
          <w:tcPr>
            <w:tcW w:w="1380" w:type="dxa"/>
            <w:vAlign w:val="bottom"/>
            <w:shd w:val="clear" w:color="auto" w:fill="CCEEFF"/>
          </w:tcPr>
          <w:p>
            <w:pPr>
              <w:spacing w:after="0"/>
              <w:rPr>
                <w:sz w:val="14"/>
                <w:szCs w:val="14"/>
                <w:color w:val="auto"/>
              </w:rPr>
            </w:pPr>
          </w:p>
        </w:tc>
        <w:tc>
          <w:tcPr>
            <w:tcW w:w="6080" w:type="dxa"/>
            <w:vAlign w:val="bottom"/>
            <w:gridSpan w:val="26"/>
            <w:shd w:val="clear" w:color="auto" w:fill="CCEEFF"/>
          </w:tcPr>
          <w:p>
            <w:pPr>
              <w:spacing w:after="0" w:line="168" w:lineRule="exact"/>
              <w:rPr>
                <w:sz w:val="20"/>
                <w:szCs w:val="20"/>
                <w:color w:val="auto"/>
              </w:rPr>
            </w:pPr>
            <w:r>
              <w:rPr>
                <w:rFonts w:ascii="Arial" w:cs="Arial" w:eastAsia="Arial" w:hAnsi="Arial"/>
                <w:sz w:val="16"/>
                <w:szCs w:val="16"/>
                <w:color w:val="auto"/>
              </w:rPr>
              <w:t>MARKET FOR REGISTRANT’S COMMON EQUITY, RELATED STOCKHOLDER</w:t>
            </w:r>
          </w:p>
        </w:tc>
        <w:tc>
          <w:tcPr>
            <w:tcW w:w="3960" w:type="dxa"/>
            <w:vAlign w:val="bottom"/>
            <w:shd w:val="clear" w:color="auto" w:fill="CCEEFF"/>
          </w:tcPr>
          <w:p>
            <w:pPr>
              <w:spacing w:after="0"/>
              <w:rPr>
                <w:sz w:val="14"/>
                <w:szCs w:val="14"/>
                <w:color w:val="auto"/>
              </w:rPr>
            </w:pPr>
          </w:p>
        </w:tc>
      </w:tr>
      <w:tr>
        <w:trPr>
          <w:trHeight w:val="194"/>
        </w:trPr>
        <w:tc>
          <w:tcPr>
            <w:tcW w:w="138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ITEM 5.</w:t>
            </w:r>
          </w:p>
        </w:tc>
        <w:tc>
          <w:tcPr>
            <w:tcW w:w="4620" w:type="dxa"/>
            <w:vAlign w:val="bottom"/>
            <w:tcBorders>
              <w:top w:val="single" w:sz="8" w:color="auto"/>
              <w:bottom w:val="single" w:sz="8" w:color="auto"/>
            </w:tcBorders>
            <w:gridSpan w:val="17"/>
            <w:shd w:val="clear" w:color="auto" w:fill="CCEEFF"/>
          </w:tcPr>
          <w:p>
            <w:pPr>
              <w:spacing w:after="0" w:line="177" w:lineRule="exact"/>
              <w:rPr>
                <w:sz w:val="20"/>
                <w:szCs w:val="20"/>
                <w:color w:val="auto"/>
              </w:rPr>
            </w:pPr>
            <w:r>
              <w:rPr>
                <w:rFonts w:ascii="Arial" w:cs="Arial" w:eastAsia="Arial" w:hAnsi="Arial"/>
                <w:sz w:val="16"/>
                <w:szCs w:val="16"/>
                <w:color w:val="auto"/>
                <w:w w:val="97"/>
              </w:rPr>
              <w:t>MATTERS AND ISSUER PURCHASES OF EQUITY SECURITIES</w:t>
            </w:r>
          </w:p>
        </w:tc>
        <w:tc>
          <w:tcPr>
            <w:tcW w:w="1120" w:type="dxa"/>
            <w:vAlign w:val="bottom"/>
            <w:tcBorders>
              <w:top w:val="single" w:sz="8" w:color="auto"/>
              <w:bottom w:val="single" w:sz="8" w:color="CCEEFF"/>
            </w:tcBorders>
            <w:gridSpan w:val="6"/>
            <w:shd w:val="clear" w:color="auto" w:fill="CCEEFF"/>
          </w:tcPr>
          <w:p>
            <w:pPr>
              <w:spacing w:after="0"/>
              <w:rPr>
                <w:sz w:val="16"/>
                <w:szCs w:val="16"/>
                <w:color w:val="auto"/>
              </w:rPr>
            </w:pPr>
          </w:p>
        </w:tc>
        <w:tc>
          <w:tcPr>
            <w:tcW w:w="34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3960" w:type="dxa"/>
            <w:vAlign w:val="bottom"/>
            <w:tcBorders>
              <w:top w:val="single" w:sz="8" w:color="CCEEFF"/>
              <w:bottom w:val="single" w:sz="8" w:color="CCEEFF"/>
            </w:tcBorders>
            <w:shd w:val="clear" w:color="auto" w:fill="CCEEFF"/>
          </w:tcPr>
          <w:p>
            <w:pPr>
              <w:jc w:val="right"/>
              <w:ind w:right="3558"/>
              <w:spacing w:after="0" w:line="177" w:lineRule="exact"/>
              <w:rPr>
                <w:sz w:val="20"/>
                <w:szCs w:val="20"/>
                <w:color w:val="auto"/>
              </w:rPr>
            </w:pPr>
            <w:r>
              <w:rPr>
                <w:rFonts w:ascii="Arial" w:cs="Arial" w:eastAsia="Arial" w:hAnsi="Arial"/>
                <w:sz w:val="16"/>
                <w:szCs w:val="16"/>
                <w:color w:val="auto"/>
              </w:rPr>
              <w:t>12</w:t>
            </w:r>
          </w:p>
        </w:tc>
      </w:tr>
      <w:tr>
        <w:trPr>
          <w:trHeight w:val="169"/>
        </w:trPr>
        <w:tc>
          <w:tcPr>
            <w:tcW w:w="1380" w:type="dxa"/>
            <w:vAlign w:val="bottom"/>
          </w:tcPr>
          <w:p>
            <w:pPr>
              <w:spacing w:after="0" w:line="160" w:lineRule="exact"/>
              <w:rPr>
                <w:sz w:val="20"/>
                <w:szCs w:val="20"/>
                <w:color w:val="auto"/>
              </w:rPr>
            </w:pPr>
            <w:r>
              <w:rPr>
                <w:rFonts w:ascii="Arial" w:cs="Arial" w:eastAsia="Arial" w:hAnsi="Arial"/>
                <w:sz w:val="16"/>
                <w:szCs w:val="16"/>
                <w:color w:val="auto"/>
              </w:rPr>
              <w:t>ITEM 6.</w:t>
            </w:r>
          </w:p>
        </w:tc>
        <w:tc>
          <w:tcPr>
            <w:tcW w:w="2220" w:type="dxa"/>
            <w:vAlign w:val="bottom"/>
            <w:tcBorders>
              <w:bottom w:val="single" w:sz="8" w:color="auto"/>
            </w:tcBorders>
            <w:gridSpan w:val="10"/>
          </w:tcPr>
          <w:p>
            <w:pPr>
              <w:spacing w:after="0" w:line="160" w:lineRule="exact"/>
              <w:rPr>
                <w:sz w:val="20"/>
                <w:szCs w:val="20"/>
                <w:color w:val="auto"/>
              </w:rPr>
            </w:pPr>
            <w:r>
              <w:rPr>
                <w:rFonts w:ascii="Arial" w:cs="Arial" w:eastAsia="Arial" w:hAnsi="Arial"/>
                <w:sz w:val="16"/>
                <w:szCs w:val="16"/>
                <w:color w:val="auto"/>
              </w:rPr>
              <w:t>SELECTED FINANCIAL DATA</w:t>
            </w:r>
          </w:p>
        </w:tc>
        <w:tc>
          <w:tcPr>
            <w:tcW w:w="3860" w:type="dxa"/>
            <w:vAlign w:val="bottom"/>
            <w:gridSpan w:val="16"/>
          </w:tcPr>
          <w:p>
            <w:pPr>
              <w:spacing w:after="0"/>
              <w:rPr>
                <w:sz w:val="14"/>
                <w:szCs w:val="14"/>
                <w:color w:val="auto"/>
              </w:rPr>
            </w:pPr>
          </w:p>
        </w:tc>
        <w:tc>
          <w:tcPr>
            <w:tcW w:w="3960" w:type="dxa"/>
            <w:vAlign w:val="bottom"/>
          </w:tcPr>
          <w:p>
            <w:pPr>
              <w:jc w:val="right"/>
              <w:ind w:right="3558"/>
              <w:spacing w:after="0" w:line="160" w:lineRule="exact"/>
              <w:rPr>
                <w:sz w:val="20"/>
                <w:szCs w:val="20"/>
                <w:color w:val="auto"/>
              </w:rPr>
            </w:pPr>
            <w:r>
              <w:rPr>
                <w:rFonts w:ascii="Arial" w:cs="Arial" w:eastAsia="Arial" w:hAnsi="Arial"/>
                <w:sz w:val="16"/>
                <w:szCs w:val="16"/>
                <w:color w:val="auto"/>
              </w:rPr>
              <w:t>13</w:t>
            </w:r>
          </w:p>
        </w:tc>
      </w:tr>
      <w:tr>
        <w:trPr>
          <w:trHeight w:val="169"/>
        </w:trPr>
        <w:tc>
          <w:tcPr>
            <w:tcW w:w="1380" w:type="dxa"/>
            <w:vAlign w:val="bottom"/>
            <w:tcBorders>
              <w:bottom w:val="single" w:sz="8" w:color="CCEEFF"/>
            </w:tcBorders>
            <w:shd w:val="clear" w:color="auto" w:fill="CCEEFF"/>
          </w:tcPr>
          <w:p>
            <w:pPr>
              <w:spacing w:after="0"/>
              <w:rPr>
                <w:sz w:val="14"/>
                <w:szCs w:val="14"/>
                <w:color w:val="auto"/>
              </w:rPr>
            </w:pPr>
          </w:p>
        </w:tc>
        <w:tc>
          <w:tcPr>
            <w:tcW w:w="5720" w:type="dxa"/>
            <w:vAlign w:val="bottom"/>
            <w:tcBorders>
              <w:bottom w:val="single" w:sz="8" w:color="auto"/>
            </w:tcBorders>
            <w:gridSpan w:val="22"/>
            <w:shd w:val="clear" w:color="auto" w:fill="CCEEFF"/>
          </w:tcPr>
          <w:p>
            <w:pPr>
              <w:spacing w:after="0" w:line="168" w:lineRule="exact"/>
              <w:rPr>
                <w:sz w:val="20"/>
                <w:szCs w:val="20"/>
                <w:color w:val="auto"/>
              </w:rPr>
            </w:pPr>
            <w:r>
              <w:rPr>
                <w:rFonts w:ascii="Arial" w:cs="Arial" w:eastAsia="Arial" w:hAnsi="Arial"/>
                <w:sz w:val="16"/>
                <w:szCs w:val="16"/>
                <w:color w:val="auto"/>
              </w:rPr>
              <w:t>MANAGEMENT’S DISCUSSION AND ANALYSIS OF FINANCIAL CONDITION</w:t>
            </w:r>
          </w:p>
        </w:tc>
        <w:tc>
          <w:tcPr>
            <w:tcW w:w="360" w:type="dxa"/>
            <w:vAlign w:val="bottom"/>
            <w:tcBorders>
              <w:bottom w:val="single" w:sz="8" w:color="CCEEFF"/>
            </w:tcBorders>
            <w:gridSpan w:val="4"/>
            <w:shd w:val="clear" w:color="auto" w:fill="CCEEFF"/>
          </w:tcPr>
          <w:p>
            <w:pPr>
              <w:spacing w:after="0"/>
              <w:rPr>
                <w:sz w:val="14"/>
                <w:szCs w:val="14"/>
                <w:color w:val="auto"/>
              </w:rPr>
            </w:pPr>
          </w:p>
        </w:tc>
        <w:tc>
          <w:tcPr>
            <w:tcW w:w="3960" w:type="dxa"/>
            <w:vAlign w:val="bottom"/>
            <w:tcBorders>
              <w:bottom w:val="single" w:sz="8" w:color="CCEEFF"/>
            </w:tcBorders>
            <w:shd w:val="clear" w:color="auto" w:fill="CCEEFF"/>
          </w:tcPr>
          <w:p>
            <w:pPr>
              <w:spacing w:after="0"/>
              <w:rPr>
                <w:sz w:val="14"/>
                <w:szCs w:val="14"/>
                <w:color w:val="auto"/>
              </w:rPr>
            </w:pPr>
          </w:p>
        </w:tc>
      </w:tr>
      <w:tr>
        <w:trPr>
          <w:trHeight w:val="177"/>
        </w:trPr>
        <w:tc>
          <w:tcPr>
            <w:tcW w:w="13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ITEM 7.</w:t>
            </w:r>
          </w:p>
        </w:tc>
        <w:tc>
          <w:tcPr>
            <w:tcW w:w="6080" w:type="dxa"/>
            <w:vAlign w:val="bottom"/>
            <w:gridSpan w:val="26"/>
            <w:shd w:val="clear" w:color="auto" w:fill="CCEEFF"/>
          </w:tcPr>
          <w:p>
            <w:pPr>
              <w:spacing w:after="0" w:line="177" w:lineRule="exact"/>
              <w:rPr>
                <w:sz w:val="20"/>
                <w:szCs w:val="20"/>
                <w:color w:val="auto"/>
              </w:rPr>
            </w:pPr>
            <w:r>
              <w:rPr>
                <w:rFonts w:ascii="Arial" w:cs="Arial" w:eastAsia="Arial" w:hAnsi="Arial"/>
                <w:sz w:val="16"/>
                <w:szCs w:val="16"/>
                <w:color w:val="auto"/>
              </w:rPr>
              <w:t>AND RESULTS OF OPERATIONS</w:t>
            </w:r>
          </w:p>
        </w:tc>
        <w:tc>
          <w:tcPr>
            <w:tcW w:w="3960" w:type="dxa"/>
            <w:vAlign w:val="bottom"/>
            <w:shd w:val="clear" w:color="auto" w:fill="CCEEFF"/>
          </w:tcPr>
          <w:p>
            <w:pPr>
              <w:jc w:val="right"/>
              <w:ind w:right="3558"/>
              <w:spacing w:after="0" w:line="177" w:lineRule="exact"/>
              <w:rPr>
                <w:sz w:val="20"/>
                <w:szCs w:val="20"/>
                <w:color w:val="auto"/>
              </w:rPr>
            </w:pPr>
            <w:r>
              <w:rPr>
                <w:rFonts w:ascii="Arial" w:cs="Arial" w:eastAsia="Arial" w:hAnsi="Arial"/>
                <w:sz w:val="16"/>
                <w:szCs w:val="16"/>
                <w:color w:val="auto"/>
              </w:rPr>
              <w:t>14</w:t>
            </w:r>
          </w:p>
        </w:tc>
      </w:tr>
      <w:tr>
        <w:trPr>
          <w:trHeight w:val="37"/>
        </w:trPr>
        <w:tc>
          <w:tcPr>
            <w:tcW w:w="1380" w:type="dxa"/>
            <w:vAlign w:val="bottom"/>
            <w:shd w:val="clear" w:color="auto" w:fill="CCEEFF"/>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right w:val="single" w:sz="8" w:color="auto"/>
            </w:tcBorders>
            <w:shd w:val="clear" w:color="auto" w:fill="000000"/>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r>
      <w:tr>
        <w:trPr>
          <w:trHeight w:val="160"/>
        </w:trPr>
        <w:tc>
          <w:tcPr>
            <w:tcW w:w="1380" w:type="dxa"/>
            <w:vAlign w:val="bottom"/>
          </w:tcPr>
          <w:p>
            <w:pPr>
              <w:spacing w:after="0"/>
              <w:rPr>
                <w:sz w:val="13"/>
                <w:szCs w:val="13"/>
                <w:color w:val="auto"/>
              </w:rPr>
            </w:pPr>
          </w:p>
        </w:tc>
        <w:tc>
          <w:tcPr>
            <w:tcW w:w="6080" w:type="dxa"/>
            <w:vAlign w:val="bottom"/>
            <w:gridSpan w:val="26"/>
          </w:tcPr>
          <w:p>
            <w:pPr>
              <w:spacing w:after="0" w:line="160" w:lineRule="exact"/>
              <w:rPr>
                <w:sz w:val="20"/>
                <w:szCs w:val="20"/>
                <w:color w:val="auto"/>
              </w:rPr>
            </w:pPr>
            <w:r>
              <w:rPr>
                <w:rFonts w:ascii="Arial" w:cs="Arial" w:eastAsia="Arial" w:hAnsi="Arial"/>
                <w:sz w:val="16"/>
                <w:szCs w:val="16"/>
                <w:color w:val="auto"/>
              </w:rPr>
              <w:t>ITEM 7A.QUANTITATIVE AND QUALITATIVE DISCLOSURES ABOUT MARKET</w:t>
            </w:r>
          </w:p>
        </w:tc>
        <w:tc>
          <w:tcPr>
            <w:tcW w:w="3960" w:type="dxa"/>
            <w:vAlign w:val="bottom"/>
          </w:tcPr>
          <w:p>
            <w:pPr>
              <w:spacing w:after="0"/>
              <w:rPr>
                <w:sz w:val="13"/>
                <w:szCs w:val="13"/>
                <w:color w:val="auto"/>
              </w:rPr>
            </w:pPr>
          </w:p>
        </w:tc>
      </w:tr>
      <w:tr>
        <w:trPr>
          <w:trHeight w:val="186"/>
        </w:trPr>
        <w:tc>
          <w:tcPr>
            <w:tcW w:w="138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line="177" w:lineRule="exact"/>
              <w:rPr>
                <w:sz w:val="20"/>
                <w:szCs w:val="20"/>
                <w:color w:val="auto"/>
              </w:rPr>
            </w:pPr>
            <w:r>
              <w:rPr>
                <w:rFonts w:ascii="Arial" w:cs="Arial" w:eastAsia="Arial" w:hAnsi="Arial"/>
                <w:sz w:val="16"/>
                <w:szCs w:val="16"/>
                <w:color w:val="auto"/>
                <w:w w:val="96"/>
              </w:rPr>
              <w:t>RISK</w:t>
            </w:r>
          </w:p>
        </w:tc>
        <w:tc>
          <w:tcPr>
            <w:tcW w:w="5480" w:type="dxa"/>
            <w:vAlign w:val="bottom"/>
            <w:tcBorders>
              <w:top w:val="single" w:sz="8" w:color="auto"/>
            </w:tcBorders>
            <w:gridSpan w:val="23"/>
          </w:tcPr>
          <w:p>
            <w:pPr>
              <w:spacing w:after="0"/>
              <w:rPr>
                <w:sz w:val="16"/>
                <w:szCs w:val="16"/>
                <w:color w:val="auto"/>
              </w:rPr>
            </w:pPr>
          </w:p>
        </w:tc>
        <w:tc>
          <w:tcPr>
            <w:tcW w:w="220" w:type="dxa"/>
            <w:vAlign w:val="bottom"/>
            <w:gridSpan w:val="2"/>
          </w:tcPr>
          <w:p>
            <w:pPr>
              <w:spacing w:after="0"/>
              <w:rPr>
                <w:sz w:val="16"/>
                <w:szCs w:val="16"/>
                <w:color w:val="auto"/>
              </w:rPr>
            </w:pPr>
          </w:p>
        </w:tc>
        <w:tc>
          <w:tcPr>
            <w:tcW w:w="3960" w:type="dxa"/>
            <w:vAlign w:val="bottom"/>
          </w:tcPr>
          <w:p>
            <w:pPr>
              <w:jc w:val="right"/>
              <w:ind w:right="3558"/>
              <w:spacing w:after="0" w:line="177" w:lineRule="exact"/>
              <w:rPr>
                <w:sz w:val="20"/>
                <w:szCs w:val="20"/>
                <w:color w:val="auto"/>
              </w:rPr>
            </w:pPr>
            <w:r>
              <w:rPr>
                <w:rFonts w:ascii="Arial" w:cs="Arial" w:eastAsia="Arial" w:hAnsi="Arial"/>
                <w:sz w:val="16"/>
                <w:szCs w:val="16"/>
                <w:color w:val="auto"/>
              </w:rPr>
              <w:t>19</w:t>
            </w:r>
          </w:p>
        </w:tc>
      </w:tr>
      <w:tr>
        <w:trPr>
          <w:trHeight w:val="186"/>
        </w:trPr>
        <w:tc>
          <w:tcPr>
            <w:tcW w:w="1380" w:type="dxa"/>
            <w:vAlign w:val="bottom"/>
            <w:tcBorders>
              <w:bottom w:val="single" w:sz="8" w:color="CCEEFF"/>
            </w:tcBorders>
            <w:shd w:val="clear" w:color="auto" w:fill="CCEEFF"/>
          </w:tcPr>
          <w:p>
            <w:pPr>
              <w:spacing w:after="0" w:line="168" w:lineRule="exact"/>
              <w:rPr>
                <w:sz w:val="20"/>
                <w:szCs w:val="20"/>
                <w:color w:val="auto"/>
              </w:rPr>
            </w:pPr>
            <w:r>
              <w:rPr>
                <w:rFonts w:ascii="Arial" w:cs="Arial" w:eastAsia="Arial" w:hAnsi="Arial"/>
                <w:sz w:val="16"/>
                <w:szCs w:val="16"/>
                <w:color w:val="auto"/>
              </w:rPr>
              <w:t>ITEM 8.</w:t>
            </w:r>
          </w:p>
        </w:tc>
        <w:tc>
          <w:tcPr>
            <w:tcW w:w="1960" w:type="dxa"/>
            <w:vAlign w:val="bottom"/>
            <w:tcBorders>
              <w:bottom w:val="single" w:sz="8" w:color="auto"/>
            </w:tcBorders>
            <w:gridSpan w:val="8"/>
            <w:shd w:val="clear" w:color="auto" w:fill="CCEEFF"/>
          </w:tcPr>
          <w:p>
            <w:pPr>
              <w:spacing w:after="0" w:line="168" w:lineRule="exact"/>
              <w:rPr>
                <w:sz w:val="20"/>
                <w:szCs w:val="20"/>
                <w:color w:val="auto"/>
              </w:rPr>
            </w:pPr>
            <w:r>
              <w:rPr>
                <w:rFonts w:ascii="Arial" w:cs="Arial" w:eastAsia="Arial" w:hAnsi="Arial"/>
                <w:sz w:val="16"/>
                <w:szCs w:val="16"/>
                <w:color w:val="auto"/>
                <w:w w:val="99"/>
              </w:rPr>
              <w:t>FINANCIAL STATEMENTS</w:t>
            </w:r>
          </w:p>
        </w:tc>
        <w:tc>
          <w:tcPr>
            <w:tcW w:w="4120" w:type="dxa"/>
            <w:vAlign w:val="bottom"/>
            <w:tcBorders>
              <w:bottom w:val="single" w:sz="8" w:color="CCEEFF"/>
            </w:tcBorders>
            <w:gridSpan w:val="18"/>
            <w:shd w:val="clear" w:color="auto" w:fill="CCEEFF"/>
          </w:tcPr>
          <w:p>
            <w:pPr>
              <w:spacing w:after="0"/>
              <w:rPr>
                <w:sz w:val="16"/>
                <w:szCs w:val="16"/>
                <w:color w:val="auto"/>
              </w:rPr>
            </w:pPr>
          </w:p>
        </w:tc>
        <w:tc>
          <w:tcPr>
            <w:tcW w:w="3960" w:type="dxa"/>
            <w:vAlign w:val="bottom"/>
            <w:tcBorders>
              <w:bottom w:val="single" w:sz="8" w:color="CCEEFF"/>
            </w:tcBorders>
            <w:shd w:val="clear" w:color="auto" w:fill="CCEEFF"/>
          </w:tcPr>
          <w:p>
            <w:pPr>
              <w:jc w:val="right"/>
              <w:ind w:right="3558"/>
              <w:spacing w:after="0" w:line="168" w:lineRule="exact"/>
              <w:rPr>
                <w:sz w:val="20"/>
                <w:szCs w:val="20"/>
                <w:color w:val="auto"/>
              </w:rPr>
            </w:pPr>
            <w:r>
              <w:rPr>
                <w:rFonts w:ascii="Arial" w:cs="Arial" w:eastAsia="Arial" w:hAnsi="Arial"/>
                <w:sz w:val="16"/>
                <w:szCs w:val="16"/>
                <w:color w:val="auto"/>
              </w:rPr>
              <w:t>20</w:t>
            </w:r>
          </w:p>
        </w:tc>
      </w:tr>
      <w:tr>
        <w:trPr>
          <w:trHeight w:val="160"/>
        </w:trPr>
        <w:tc>
          <w:tcPr>
            <w:tcW w:w="1380" w:type="dxa"/>
            <w:vAlign w:val="bottom"/>
          </w:tcPr>
          <w:p>
            <w:pPr>
              <w:spacing w:after="0"/>
              <w:rPr>
                <w:sz w:val="13"/>
                <w:szCs w:val="13"/>
                <w:color w:val="auto"/>
              </w:rPr>
            </w:pPr>
          </w:p>
        </w:tc>
        <w:tc>
          <w:tcPr>
            <w:tcW w:w="5920" w:type="dxa"/>
            <w:vAlign w:val="bottom"/>
            <w:tcBorders>
              <w:bottom w:val="single" w:sz="8" w:color="auto"/>
            </w:tcBorders>
            <w:gridSpan w:val="25"/>
          </w:tcPr>
          <w:p>
            <w:pPr>
              <w:spacing w:after="0" w:line="160" w:lineRule="exact"/>
              <w:rPr>
                <w:sz w:val="20"/>
                <w:szCs w:val="20"/>
                <w:color w:val="auto"/>
              </w:rPr>
            </w:pPr>
            <w:r>
              <w:rPr>
                <w:rFonts w:ascii="Arial" w:cs="Arial" w:eastAsia="Arial" w:hAnsi="Arial"/>
                <w:sz w:val="16"/>
                <w:szCs w:val="16"/>
                <w:color w:val="auto"/>
                <w:w w:val="99"/>
              </w:rPr>
              <w:t>CHANGES IN AND DISAGREEMENTS WITH ACCOUNTANTS ON ACCOUNTING</w:t>
            </w:r>
          </w:p>
        </w:tc>
        <w:tc>
          <w:tcPr>
            <w:tcW w:w="160" w:type="dxa"/>
            <w:vAlign w:val="bottom"/>
          </w:tcPr>
          <w:p>
            <w:pPr>
              <w:spacing w:after="0"/>
              <w:rPr>
                <w:sz w:val="13"/>
                <w:szCs w:val="13"/>
                <w:color w:val="auto"/>
              </w:rPr>
            </w:pPr>
          </w:p>
        </w:tc>
        <w:tc>
          <w:tcPr>
            <w:tcW w:w="3960" w:type="dxa"/>
            <w:vAlign w:val="bottom"/>
          </w:tcPr>
          <w:p>
            <w:pPr>
              <w:spacing w:after="0"/>
              <w:rPr>
                <w:sz w:val="13"/>
                <w:szCs w:val="13"/>
                <w:color w:val="auto"/>
              </w:rPr>
            </w:pPr>
          </w:p>
        </w:tc>
      </w:tr>
      <w:tr>
        <w:trPr>
          <w:trHeight w:val="186"/>
        </w:trPr>
        <w:tc>
          <w:tcPr>
            <w:tcW w:w="1380" w:type="dxa"/>
            <w:vAlign w:val="bottom"/>
          </w:tcPr>
          <w:p>
            <w:pPr>
              <w:spacing w:after="0" w:line="177" w:lineRule="exact"/>
              <w:rPr>
                <w:sz w:val="20"/>
                <w:szCs w:val="20"/>
                <w:color w:val="auto"/>
              </w:rPr>
            </w:pPr>
            <w:r>
              <w:rPr>
                <w:rFonts w:ascii="Arial" w:cs="Arial" w:eastAsia="Arial" w:hAnsi="Arial"/>
                <w:sz w:val="16"/>
                <w:szCs w:val="16"/>
                <w:color w:val="auto"/>
              </w:rPr>
              <w:t>ITEM 9.</w:t>
            </w:r>
          </w:p>
        </w:tc>
        <w:tc>
          <w:tcPr>
            <w:tcW w:w="2400" w:type="dxa"/>
            <w:vAlign w:val="bottom"/>
            <w:tcBorders>
              <w:bottom w:val="single" w:sz="8" w:color="auto"/>
            </w:tcBorders>
            <w:gridSpan w:val="11"/>
          </w:tcPr>
          <w:p>
            <w:pPr>
              <w:spacing w:after="0" w:line="177" w:lineRule="exact"/>
              <w:rPr>
                <w:sz w:val="20"/>
                <w:szCs w:val="20"/>
                <w:color w:val="auto"/>
              </w:rPr>
            </w:pPr>
            <w:r>
              <w:rPr>
                <w:rFonts w:ascii="Arial" w:cs="Arial" w:eastAsia="Arial" w:hAnsi="Arial"/>
                <w:sz w:val="16"/>
                <w:szCs w:val="16"/>
                <w:color w:val="auto"/>
              </w:rPr>
              <w:t>AND FINANCIAL DISCLOSURE</w:t>
            </w:r>
          </w:p>
        </w:tc>
        <w:tc>
          <w:tcPr>
            <w:tcW w:w="3680" w:type="dxa"/>
            <w:vAlign w:val="bottom"/>
            <w:gridSpan w:val="15"/>
          </w:tcPr>
          <w:p>
            <w:pPr>
              <w:spacing w:after="0"/>
              <w:rPr>
                <w:sz w:val="16"/>
                <w:szCs w:val="16"/>
                <w:color w:val="auto"/>
              </w:rPr>
            </w:pPr>
          </w:p>
        </w:tc>
        <w:tc>
          <w:tcPr>
            <w:tcW w:w="3960" w:type="dxa"/>
            <w:vAlign w:val="bottom"/>
          </w:tcPr>
          <w:p>
            <w:pPr>
              <w:jc w:val="right"/>
              <w:ind w:right="3558"/>
              <w:spacing w:after="0" w:line="177" w:lineRule="exact"/>
              <w:rPr>
                <w:sz w:val="20"/>
                <w:szCs w:val="20"/>
                <w:color w:val="auto"/>
              </w:rPr>
            </w:pPr>
            <w:r>
              <w:rPr>
                <w:rFonts w:ascii="Arial" w:cs="Arial" w:eastAsia="Arial" w:hAnsi="Arial"/>
                <w:sz w:val="16"/>
                <w:szCs w:val="16"/>
                <w:color w:val="auto"/>
              </w:rPr>
              <w:t>21</w:t>
            </w:r>
          </w:p>
        </w:tc>
      </w:tr>
      <w:tr>
        <w:trPr>
          <w:trHeight w:val="186"/>
        </w:trPr>
        <w:tc>
          <w:tcPr>
            <w:tcW w:w="138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auto"/>
            </w:tcBorders>
            <w:gridSpan w:val="12"/>
            <w:shd w:val="clear" w:color="auto" w:fill="CCEEFF"/>
          </w:tcPr>
          <w:p>
            <w:pPr>
              <w:spacing w:after="0" w:line="168" w:lineRule="exact"/>
              <w:rPr>
                <w:sz w:val="20"/>
                <w:szCs w:val="20"/>
                <w:color w:val="auto"/>
              </w:rPr>
            </w:pPr>
            <w:r>
              <w:rPr>
                <w:rFonts w:ascii="Arial" w:cs="Arial" w:eastAsia="Arial" w:hAnsi="Arial"/>
                <w:sz w:val="16"/>
                <w:szCs w:val="16"/>
                <w:color w:val="auto"/>
                <w:w w:val="97"/>
              </w:rPr>
              <w:t>ITEM 9A.CONTROLS AND PROCEDURES</w:t>
            </w:r>
          </w:p>
        </w:tc>
        <w:tc>
          <w:tcPr>
            <w:tcW w:w="3020" w:type="dxa"/>
            <w:vAlign w:val="bottom"/>
            <w:tcBorders>
              <w:bottom w:val="single" w:sz="8" w:color="CCEEFF"/>
            </w:tcBorders>
            <w:gridSpan w:val="14"/>
            <w:shd w:val="clear" w:color="auto" w:fill="CCEEFF"/>
          </w:tcPr>
          <w:p>
            <w:pPr>
              <w:spacing w:after="0"/>
              <w:rPr>
                <w:sz w:val="16"/>
                <w:szCs w:val="16"/>
                <w:color w:val="auto"/>
              </w:rPr>
            </w:pPr>
          </w:p>
        </w:tc>
        <w:tc>
          <w:tcPr>
            <w:tcW w:w="3960" w:type="dxa"/>
            <w:vAlign w:val="bottom"/>
            <w:tcBorders>
              <w:bottom w:val="single" w:sz="8" w:color="CCEEFF"/>
            </w:tcBorders>
            <w:shd w:val="clear" w:color="auto" w:fill="CCEEFF"/>
          </w:tcPr>
          <w:p>
            <w:pPr>
              <w:jc w:val="right"/>
              <w:ind w:right="3558"/>
              <w:spacing w:after="0" w:line="168" w:lineRule="exact"/>
              <w:rPr>
                <w:sz w:val="20"/>
                <w:szCs w:val="20"/>
                <w:color w:val="auto"/>
              </w:rPr>
            </w:pPr>
            <w:r>
              <w:rPr>
                <w:rFonts w:ascii="Arial" w:cs="Arial" w:eastAsia="Arial" w:hAnsi="Arial"/>
                <w:sz w:val="16"/>
                <w:szCs w:val="16"/>
                <w:color w:val="auto"/>
              </w:rPr>
              <w:t>21</w:t>
            </w:r>
          </w:p>
        </w:tc>
      </w:tr>
      <w:tr>
        <w:trPr>
          <w:trHeight w:val="169"/>
        </w:trPr>
        <w:tc>
          <w:tcPr>
            <w:tcW w:w="1380" w:type="dxa"/>
            <w:vAlign w:val="bottom"/>
          </w:tcPr>
          <w:p>
            <w:pPr>
              <w:spacing w:after="0"/>
              <w:rPr>
                <w:sz w:val="14"/>
                <w:szCs w:val="14"/>
                <w:color w:val="auto"/>
              </w:rPr>
            </w:pPr>
          </w:p>
        </w:tc>
        <w:tc>
          <w:tcPr>
            <w:tcW w:w="2400" w:type="dxa"/>
            <w:vAlign w:val="bottom"/>
            <w:tcBorders>
              <w:bottom w:val="single" w:sz="8" w:color="auto"/>
            </w:tcBorders>
            <w:gridSpan w:val="11"/>
          </w:tcPr>
          <w:p>
            <w:pPr>
              <w:spacing w:after="0" w:line="160" w:lineRule="exact"/>
              <w:rPr>
                <w:sz w:val="20"/>
                <w:szCs w:val="20"/>
                <w:color w:val="auto"/>
              </w:rPr>
            </w:pPr>
            <w:r>
              <w:rPr>
                <w:rFonts w:ascii="Arial" w:cs="Arial" w:eastAsia="Arial" w:hAnsi="Arial"/>
                <w:sz w:val="16"/>
                <w:szCs w:val="16"/>
                <w:color w:val="auto"/>
                <w:w w:val="98"/>
              </w:rPr>
              <w:t>ITEM 9B.OTHER INFORMATION</w:t>
            </w:r>
          </w:p>
        </w:tc>
        <w:tc>
          <w:tcPr>
            <w:tcW w:w="3680" w:type="dxa"/>
            <w:vAlign w:val="bottom"/>
            <w:gridSpan w:val="15"/>
          </w:tcPr>
          <w:p>
            <w:pPr>
              <w:spacing w:after="0"/>
              <w:rPr>
                <w:sz w:val="14"/>
                <w:szCs w:val="14"/>
                <w:color w:val="auto"/>
              </w:rPr>
            </w:pPr>
          </w:p>
        </w:tc>
        <w:tc>
          <w:tcPr>
            <w:tcW w:w="3960" w:type="dxa"/>
            <w:vAlign w:val="bottom"/>
          </w:tcPr>
          <w:p>
            <w:pPr>
              <w:jc w:val="right"/>
              <w:ind w:right="3558"/>
              <w:spacing w:after="0" w:line="160" w:lineRule="exact"/>
              <w:rPr>
                <w:sz w:val="20"/>
                <w:szCs w:val="20"/>
                <w:color w:val="auto"/>
              </w:rPr>
            </w:pPr>
            <w:r>
              <w:rPr>
                <w:rFonts w:ascii="Arial" w:cs="Arial" w:eastAsia="Arial" w:hAnsi="Arial"/>
                <w:sz w:val="16"/>
                <w:szCs w:val="16"/>
                <w:color w:val="auto"/>
              </w:rPr>
              <w:t>22</w:t>
            </w:r>
          </w:p>
        </w:tc>
      </w:tr>
      <w:tr>
        <w:trPr>
          <w:trHeight w:val="186"/>
        </w:trPr>
        <w:tc>
          <w:tcPr>
            <w:tcW w:w="138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ITEM 10.</w:t>
            </w:r>
          </w:p>
        </w:tc>
        <w:tc>
          <w:tcPr>
            <w:tcW w:w="6080" w:type="dxa"/>
            <w:vAlign w:val="bottom"/>
            <w:gridSpan w:val="26"/>
            <w:shd w:val="clear" w:color="auto" w:fill="CCEEFF"/>
          </w:tcPr>
          <w:p>
            <w:pPr>
              <w:spacing w:after="0" w:line="168" w:lineRule="exact"/>
              <w:rPr>
                <w:sz w:val="20"/>
                <w:szCs w:val="20"/>
                <w:color w:val="auto"/>
              </w:rPr>
            </w:pPr>
            <w:r>
              <w:rPr>
                <w:rFonts w:ascii="Arial" w:cs="Arial" w:eastAsia="Arial" w:hAnsi="Arial"/>
                <w:sz w:val="16"/>
                <w:szCs w:val="16"/>
                <w:color w:val="auto"/>
              </w:rPr>
              <w:t>DIRECTORS, EXECUTIVE OFFICERS AND CORPORATE GOVERNANCE</w:t>
            </w:r>
          </w:p>
        </w:tc>
        <w:tc>
          <w:tcPr>
            <w:tcW w:w="3960" w:type="dxa"/>
            <w:vAlign w:val="bottom"/>
            <w:shd w:val="clear" w:color="auto" w:fill="CCEEFF"/>
          </w:tcPr>
          <w:p>
            <w:pPr>
              <w:jc w:val="right"/>
              <w:ind w:right="3558"/>
              <w:spacing w:after="0" w:line="168" w:lineRule="exact"/>
              <w:rPr>
                <w:sz w:val="20"/>
                <w:szCs w:val="20"/>
                <w:color w:val="auto"/>
              </w:rPr>
            </w:pPr>
            <w:r>
              <w:rPr>
                <w:rFonts w:ascii="Arial" w:cs="Arial" w:eastAsia="Arial" w:hAnsi="Arial"/>
                <w:sz w:val="16"/>
                <w:szCs w:val="16"/>
                <w:color w:val="auto"/>
              </w:rPr>
              <w:t>22</w:t>
            </w:r>
          </w:p>
        </w:tc>
      </w:tr>
      <w:tr>
        <w:trPr>
          <w:trHeight w:val="160"/>
        </w:trPr>
        <w:tc>
          <w:tcPr>
            <w:tcW w:w="1380" w:type="dxa"/>
            <w:vAlign w:val="bottom"/>
            <w:tcBorders>
              <w:top w:val="single" w:sz="8" w:color="CCEEFF"/>
            </w:tcBorders>
          </w:tcPr>
          <w:p>
            <w:pPr>
              <w:spacing w:after="0" w:line="160" w:lineRule="exact"/>
              <w:rPr>
                <w:sz w:val="20"/>
                <w:szCs w:val="20"/>
                <w:color w:val="auto"/>
              </w:rPr>
            </w:pPr>
            <w:r>
              <w:rPr>
                <w:rFonts w:ascii="Arial" w:cs="Arial" w:eastAsia="Arial" w:hAnsi="Arial"/>
                <w:sz w:val="16"/>
                <w:szCs w:val="16"/>
                <w:color w:val="auto"/>
              </w:rPr>
              <w:t>ITEM 11.</w:t>
            </w:r>
          </w:p>
        </w:tc>
        <w:tc>
          <w:tcPr>
            <w:tcW w:w="5280" w:type="dxa"/>
            <w:vAlign w:val="bottom"/>
            <w:tcBorders>
              <w:top w:val="single" w:sz="8" w:color="auto"/>
            </w:tcBorders>
            <w:gridSpan w:val="20"/>
          </w:tcPr>
          <w:p>
            <w:pPr>
              <w:spacing w:after="0" w:line="160" w:lineRule="exact"/>
              <w:rPr>
                <w:sz w:val="20"/>
                <w:szCs w:val="20"/>
                <w:color w:val="auto"/>
              </w:rPr>
            </w:pPr>
            <w:r>
              <w:rPr>
                <w:rFonts w:ascii="Arial" w:cs="Arial" w:eastAsia="Arial" w:hAnsi="Arial"/>
                <w:sz w:val="16"/>
                <w:szCs w:val="16"/>
                <w:color w:val="auto"/>
              </w:rPr>
              <w:t>EXECUTIVE COMPENSATION</w:t>
            </w:r>
          </w:p>
        </w:tc>
        <w:tc>
          <w:tcPr>
            <w:tcW w:w="800" w:type="dxa"/>
            <w:vAlign w:val="bottom"/>
            <w:tcBorders>
              <w:top w:val="single" w:sz="8" w:color="CCEEFF"/>
            </w:tcBorders>
            <w:gridSpan w:val="6"/>
          </w:tcPr>
          <w:p>
            <w:pPr>
              <w:spacing w:after="0"/>
              <w:rPr>
                <w:sz w:val="13"/>
                <w:szCs w:val="13"/>
                <w:color w:val="auto"/>
              </w:rPr>
            </w:pPr>
          </w:p>
        </w:tc>
        <w:tc>
          <w:tcPr>
            <w:tcW w:w="3960" w:type="dxa"/>
            <w:vAlign w:val="bottom"/>
            <w:tcBorders>
              <w:top w:val="single" w:sz="8" w:color="CCEEFF"/>
            </w:tcBorders>
          </w:tcPr>
          <w:p>
            <w:pPr>
              <w:jc w:val="right"/>
              <w:ind w:right="3558"/>
              <w:spacing w:after="0" w:line="160" w:lineRule="exact"/>
              <w:rPr>
                <w:sz w:val="20"/>
                <w:szCs w:val="20"/>
                <w:color w:val="auto"/>
              </w:rPr>
            </w:pPr>
            <w:r>
              <w:rPr>
                <w:rFonts w:ascii="Arial" w:cs="Arial" w:eastAsia="Arial" w:hAnsi="Arial"/>
                <w:sz w:val="16"/>
                <w:szCs w:val="16"/>
                <w:color w:val="auto"/>
              </w:rPr>
              <w:t>24</w:t>
            </w:r>
          </w:p>
        </w:tc>
      </w:tr>
      <w:tr>
        <w:trPr>
          <w:trHeight w:val="28"/>
        </w:trPr>
        <w:tc>
          <w:tcPr>
            <w:tcW w:w="1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169"/>
        </w:trPr>
        <w:tc>
          <w:tcPr>
            <w:tcW w:w="1380" w:type="dxa"/>
            <w:vAlign w:val="bottom"/>
            <w:shd w:val="clear" w:color="auto" w:fill="CCEEFF"/>
          </w:tcPr>
          <w:p>
            <w:pPr>
              <w:spacing w:after="0"/>
              <w:rPr>
                <w:sz w:val="14"/>
                <w:szCs w:val="14"/>
                <w:color w:val="auto"/>
              </w:rPr>
            </w:pPr>
          </w:p>
        </w:tc>
        <w:tc>
          <w:tcPr>
            <w:tcW w:w="6080" w:type="dxa"/>
            <w:vAlign w:val="bottom"/>
            <w:gridSpan w:val="26"/>
            <w:shd w:val="clear" w:color="auto" w:fill="CCEEFF"/>
          </w:tcPr>
          <w:p>
            <w:pPr>
              <w:spacing w:after="0" w:line="168" w:lineRule="exact"/>
              <w:rPr>
                <w:sz w:val="20"/>
                <w:szCs w:val="20"/>
                <w:color w:val="auto"/>
              </w:rPr>
            </w:pPr>
            <w:r>
              <w:rPr>
                <w:rFonts w:ascii="Arial" w:cs="Arial" w:eastAsia="Arial" w:hAnsi="Arial"/>
                <w:sz w:val="16"/>
                <w:szCs w:val="16"/>
                <w:color w:val="auto"/>
              </w:rPr>
              <w:t>SECURITY OWNERSHIP OF CERTAIN BENEFICIAL OWNERS AND</w:t>
            </w:r>
          </w:p>
        </w:tc>
        <w:tc>
          <w:tcPr>
            <w:tcW w:w="3960" w:type="dxa"/>
            <w:vAlign w:val="bottom"/>
            <w:shd w:val="clear" w:color="auto" w:fill="CCEEFF"/>
          </w:tcPr>
          <w:p>
            <w:pPr>
              <w:spacing w:after="0"/>
              <w:rPr>
                <w:sz w:val="14"/>
                <w:szCs w:val="14"/>
                <w:color w:val="auto"/>
              </w:rPr>
            </w:pPr>
          </w:p>
        </w:tc>
      </w:tr>
      <w:tr>
        <w:trPr>
          <w:trHeight w:val="177"/>
        </w:trPr>
        <w:tc>
          <w:tcPr>
            <w:tcW w:w="13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ITEM 12.</w:t>
            </w:r>
          </w:p>
        </w:tc>
        <w:tc>
          <w:tcPr>
            <w:tcW w:w="4900" w:type="dxa"/>
            <w:vAlign w:val="bottom"/>
            <w:tcBorders>
              <w:top w:val="single" w:sz="8" w:color="auto"/>
            </w:tcBorders>
            <w:gridSpan w:val="18"/>
            <w:shd w:val="clear" w:color="auto" w:fill="CCEEFF"/>
          </w:tcPr>
          <w:p>
            <w:pPr>
              <w:spacing w:after="0" w:line="177" w:lineRule="exact"/>
              <w:rPr>
                <w:sz w:val="20"/>
                <w:szCs w:val="20"/>
                <w:color w:val="auto"/>
              </w:rPr>
            </w:pPr>
            <w:r>
              <w:rPr>
                <w:rFonts w:ascii="Arial" w:cs="Arial" w:eastAsia="Arial" w:hAnsi="Arial"/>
                <w:sz w:val="16"/>
                <w:szCs w:val="16"/>
                <w:color w:val="auto"/>
              </w:rPr>
              <w:t>MANAGEMENT AND RELATED STOCKHOLDER MATTERS</w:t>
            </w:r>
          </w:p>
        </w:tc>
        <w:tc>
          <w:tcPr>
            <w:tcW w:w="1180" w:type="dxa"/>
            <w:vAlign w:val="bottom"/>
            <w:tcBorders>
              <w:top w:val="single" w:sz="8" w:color="CCEEFF"/>
            </w:tcBorders>
            <w:gridSpan w:val="8"/>
            <w:shd w:val="clear" w:color="auto" w:fill="CCEEFF"/>
          </w:tcPr>
          <w:p>
            <w:pPr>
              <w:spacing w:after="0"/>
              <w:rPr>
                <w:sz w:val="15"/>
                <w:szCs w:val="15"/>
                <w:color w:val="auto"/>
              </w:rPr>
            </w:pPr>
          </w:p>
        </w:tc>
        <w:tc>
          <w:tcPr>
            <w:tcW w:w="3960" w:type="dxa"/>
            <w:vAlign w:val="bottom"/>
            <w:tcBorders>
              <w:top w:val="single" w:sz="8" w:color="CCEEFF"/>
            </w:tcBorders>
            <w:shd w:val="clear" w:color="auto" w:fill="CCEEFF"/>
          </w:tcPr>
          <w:p>
            <w:pPr>
              <w:jc w:val="right"/>
              <w:ind w:right="3558"/>
              <w:spacing w:after="0" w:line="177" w:lineRule="exact"/>
              <w:rPr>
                <w:sz w:val="20"/>
                <w:szCs w:val="20"/>
                <w:color w:val="auto"/>
              </w:rPr>
            </w:pPr>
            <w:r>
              <w:rPr>
                <w:rFonts w:ascii="Arial" w:cs="Arial" w:eastAsia="Arial" w:hAnsi="Arial"/>
                <w:sz w:val="16"/>
                <w:szCs w:val="16"/>
                <w:color w:val="auto"/>
              </w:rPr>
              <w:t>26</w:t>
            </w:r>
          </w:p>
        </w:tc>
      </w:tr>
      <w:tr>
        <w:trPr>
          <w:trHeight w:val="37"/>
        </w:trPr>
        <w:tc>
          <w:tcPr>
            <w:tcW w:w="1380" w:type="dxa"/>
            <w:vAlign w:val="bottom"/>
            <w:shd w:val="clear" w:color="auto" w:fill="CCEEFF"/>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right w:val="single" w:sz="8" w:color="auto"/>
            </w:tcBorders>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r>
      <w:tr>
        <w:trPr>
          <w:trHeight w:val="160"/>
        </w:trPr>
        <w:tc>
          <w:tcPr>
            <w:tcW w:w="1380" w:type="dxa"/>
            <w:vAlign w:val="bottom"/>
          </w:tcPr>
          <w:p>
            <w:pPr>
              <w:spacing w:after="0"/>
              <w:rPr>
                <w:sz w:val="13"/>
                <w:szCs w:val="13"/>
                <w:color w:val="auto"/>
              </w:rPr>
            </w:pPr>
          </w:p>
        </w:tc>
        <w:tc>
          <w:tcPr>
            <w:tcW w:w="5700" w:type="dxa"/>
            <w:vAlign w:val="bottom"/>
            <w:tcBorders>
              <w:bottom w:val="single" w:sz="8" w:color="auto"/>
            </w:tcBorders>
            <w:gridSpan w:val="21"/>
          </w:tcPr>
          <w:p>
            <w:pPr>
              <w:spacing w:after="0" w:line="160" w:lineRule="exact"/>
              <w:rPr>
                <w:sz w:val="20"/>
                <w:szCs w:val="20"/>
                <w:color w:val="auto"/>
              </w:rPr>
            </w:pPr>
            <w:r>
              <w:rPr>
                <w:rFonts w:ascii="Arial" w:cs="Arial" w:eastAsia="Arial" w:hAnsi="Arial"/>
                <w:sz w:val="16"/>
                <w:szCs w:val="16"/>
                <w:color w:val="auto"/>
                <w:w w:val="98"/>
              </w:rPr>
              <w:t>CERTAIN RELATIONSHIPS AND RELATED TRANSACTIONS AND DIRECTOR</w:t>
            </w:r>
          </w:p>
        </w:tc>
        <w:tc>
          <w:tcPr>
            <w:tcW w:w="380" w:type="dxa"/>
            <w:vAlign w:val="bottom"/>
            <w:gridSpan w:val="5"/>
          </w:tcPr>
          <w:p>
            <w:pPr>
              <w:spacing w:after="0"/>
              <w:rPr>
                <w:sz w:val="13"/>
                <w:szCs w:val="13"/>
                <w:color w:val="auto"/>
              </w:rPr>
            </w:pPr>
          </w:p>
        </w:tc>
        <w:tc>
          <w:tcPr>
            <w:tcW w:w="3960" w:type="dxa"/>
            <w:vAlign w:val="bottom"/>
          </w:tcPr>
          <w:p>
            <w:pPr>
              <w:spacing w:after="0"/>
              <w:rPr>
                <w:sz w:val="13"/>
                <w:szCs w:val="13"/>
                <w:color w:val="auto"/>
              </w:rPr>
            </w:pPr>
          </w:p>
        </w:tc>
      </w:tr>
      <w:tr>
        <w:trPr>
          <w:trHeight w:val="177"/>
        </w:trPr>
        <w:tc>
          <w:tcPr>
            <w:tcW w:w="1380" w:type="dxa"/>
            <w:vAlign w:val="bottom"/>
          </w:tcPr>
          <w:p>
            <w:pPr>
              <w:spacing w:after="0" w:line="177" w:lineRule="exact"/>
              <w:rPr>
                <w:sz w:val="20"/>
                <w:szCs w:val="20"/>
                <w:color w:val="auto"/>
              </w:rPr>
            </w:pPr>
            <w:r>
              <w:rPr>
                <w:rFonts w:ascii="Arial" w:cs="Arial" w:eastAsia="Arial" w:hAnsi="Arial"/>
                <w:sz w:val="16"/>
                <w:szCs w:val="16"/>
                <w:color w:val="auto"/>
              </w:rPr>
              <w:t>ITEM 13.</w:t>
            </w:r>
          </w:p>
        </w:tc>
        <w:tc>
          <w:tcPr>
            <w:tcW w:w="6080" w:type="dxa"/>
            <w:vAlign w:val="bottom"/>
            <w:gridSpan w:val="26"/>
          </w:tcPr>
          <w:p>
            <w:pPr>
              <w:spacing w:after="0" w:line="177" w:lineRule="exact"/>
              <w:rPr>
                <w:sz w:val="20"/>
                <w:szCs w:val="20"/>
                <w:color w:val="auto"/>
              </w:rPr>
            </w:pPr>
            <w:r>
              <w:rPr>
                <w:rFonts w:ascii="Arial" w:cs="Arial" w:eastAsia="Arial" w:hAnsi="Arial"/>
                <w:sz w:val="16"/>
                <w:szCs w:val="16"/>
                <w:color w:val="auto"/>
              </w:rPr>
              <w:t>INDEPENDENCE</w:t>
            </w:r>
          </w:p>
        </w:tc>
        <w:tc>
          <w:tcPr>
            <w:tcW w:w="3960" w:type="dxa"/>
            <w:vAlign w:val="bottom"/>
          </w:tcPr>
          <w:p>
            <w:pPr>
              <w:jc w:val="right"/>
              <w:ind w:right="3558"/>
              <w:spacing w:after="0" w:line="177" w:lineRule="exact"/>
              <w:rPr>
                <w:sz w:val="20"/>
                <w:szCs w:val="20"/>
                <w:color w:val="auto"/>
              </w:rPr>
            </w:pPr>
            <w:r>
              <w:rPr>
                <w:rFonts w:ascii="Arial" w:cs="Arial" w:eastAsia="Arial" w:hAnsi="Arial"/>
                <w:sz w:val="16"/>
                <w:szCs w:val="16"/>
                <w:color w:val="auto"/>
              </w:rPr>
              <w:t>28</w:t>
            </w:r>
          </w:p>
        </w:tc>
      </w:tr>
      <w:tr>
        <w:trPr>
          <w:trHeight w:val="28"/>
        </w:trPr>
        <w:tc>
          <w:tcPr>
            <w:tcW w:w="1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186"/>
        </w:trPr>
        <w:tc>
          <w:tcPr>
            <w:tcW w:w="138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ITEM 14.</w:t>
            </w:r>
          </w:p>
        </w:tc>
        <w:tc>
          <w:tcPr>
            <w:tcW w:w="6080" w:type="dxa"/>
            <w:vAlign w:val="bottom"/>
            <w:gridSpan w:val="26"/>
            <w:shd w:val="clear" w:color="auto" w:fill="CCEEFF"/>
          </w:tcPr>
          <w:p>
            <w:pPr>
              <w:spacing w:after="0" w:line="168" w:lineRule="exact"/>
              <w:rPr>
                <w:sz w:val="20"/>
                <w:szCs w:val="20"/>
                <w:color w:val="auto"/>
              </w:rPr>
            </w:pPr>
            <w:r>
              <w:rPr>
                <w:rFonts w:ascii="Arial" w:cs="Arial" w:eastAsia="Arial" w:hAnsi="Arial"/>
                <w:sz w:val="16"/>
                <w:szCs w:val="16"/>
                <w:color w:val="auto"/>
              </w:rPr>
              <w:t>PRINCIPAL ACCOUNTING FEES AND SERVICES</w:t>
            </w:r>
          </w:p>
        </w:tc>
        <w:tc>
          <w:tcPr>
            <w:tcW w:w="3960" w:type="dxa"/>
            <w:vAlign w:val="bottom"/>
            <w:shd w:val="clear" w:color="auto" w:fill="CCEEFF"/>
          </w:tcPr>
          <w:p>
            <w:pPr>
              <w:jc w:val="right"/>
              <w:ind w:right="3558"/>
              <w:spacing w:after="0" w:line="168" w:lineRule="exact"/>
              <w:rPr>
                <w:sz w:val="20"/>
                <w:szCs w:val="20"/>
                <w:color w:val="auto"/>
              </w:rPr>
            </w:pPr>
            <w:r>
              <w:rPr>
                <w:rFonts w:ascii="Arial" w:cs="Arial" w:eastAsia="Arial" w:hAnsi="Arial"/>
                <w:sz w:val="16"/>
                <w:szCs w:val="16"/>
                <w:color w:val="auto"/>
              </w:rPr>
              <w:t>28</w:t>
            </w:r>
          </w:p>
        </w:tc>
      </w:tr>
      <w:tr>
        <w:trPr>
          <w:trHeight w:val="160"/>
        </w:trPr>
        <w:tc>
          <w:tcPr>
            <w:tcW w:w="1380" w:type="dxa"/>
            <w:vAlign w:val="bottom"/>
            <w:tcBorders>
              <w:top w:val="single" w:sz="8" w:color="CCEEFF"/>
            </w:tcBorders>
          </w:tcPr>
          <w:p>
            <w:pPr>
              <w:spacing w:after="0" w:line="160" w:lineRule="exact"/>
              <w:rPr>
                <w:sz w:val="20"/>
                <w:szCs w:val="20"/>
                <w:color w:val="auto"/>
              </w:rPr>
            </w:pPr>
            <w:r>
              <w:rPr>
                <w:rFonts w:ascii="Arial" w:cs="Arial" w:eastAsia="Arial" w:hAnsi="Arial"/>
                <w:sz w:val="16"/>
                <w:szCs w:val="16"/>
                <w:color w:val="auto"/>
              </w:rPr>
              <w:t>ITEM 15.</w:t>
            </w:r>
          </w:p>
        </w:tc>
        <w:tc>
          <w:tcPr>
            <w:tcW w:w="3580" w:type="dxa"/>
            <w:vAlign w:val="bottom"/>
            <w:tcBorders>
              <w:top w:val="single" w:sz="8" w:color="auto"/>
            </w:tcBorders>
            <w:gridSpan w:val="15"/>
          </w:tcPr>
          <w:p>
            <w:pPr>
              <w:spacing w:after="0" w:line="160" w:lineRule="exact"/>
              <w:rPr>
                <w:sz w:val="20"/>
                <w:szCs w:val="20"/>
                <w:color w:val="auto"/>
              </w:rPr>
            </w:pPr>
            <w:r>
              <w:rPr>
                <w:rFonts w:ascii="Arial" w:cs="Arial" w:eastAsia="Arial" w:hAnsi="Arial"/>
                <w:sz w:val="16"/>
                <w:szCs w:val="16"/>
                <w:color w:val="auto"/>
              </w:rPr>
              <w:t>EXHIBITS</w:t>
            </w:r>
          </w:p>
        </w:tc>
        <w:tc>
          <w:tcPr>
            <w:tcW w:w="2500" w:type="dxa"/>
            <w:vAlign w:val="bottom"/>
            <w:tcBorders>
              <w:top w:val="single" w:sz="8" w:color="CCEEFF"/>
            </w:tcBorders>
            <w:gridSpan w:val="11"/>
          </w:tcPr>
          <w:p>
            <w:pPr>
              <w:spacing w:after="0"/>
              <w:rPr>
                <w:sz w:val="13"/>
                <w:szCs w:val="13"/>
                <w:color w:val="auto"/>
              </w:rPr>
            </w:pPr>
          </w:p>
        </w:tc>
        <w:tc>
          <w:tcPr>
            <w:tcW w:w="3960" w:type="dxa"/>
            <w:vAlign w:val="bottom"/>
            <w:tcBorders>
              <w:top w:val="single" w:sz="8" w:color="CCEEFF"/>
            </w:tcBorders>
          </w:tcPr>
          <w:p>
            <w:pPr>
              <w:jc w:val="right"/>
              <w:ind w:right="3558"/>
              <w:spacing w:after="0" w:line="160" w:lineRule="exact"/>
              <w:rPr>
                <w:sz w:val="20"/>
                <w:szCs w:val="20"/>
                <w:color w:val="auto"/>
              </w:rPr>
            </w:pPr>
            <w:r>
              <w:rPr>
                <w:rFonts w:ascii="Arial" w:cs="Arial" w:eastAsia="Arial" w:hAnsi="Arial"/>
                <w:sz w:val="16"/>
                <w:szCs w:val="16"/>
                <w:color w:val="auto"/>
              </w:rPr>
              <w:t>29</w:t>
            </w:r>
          </w:p>
        </w:tc>
      </w:tr>
      <w:tr>
        <w:trPr>
          <w:trHeight w:val="570"/>
        </w:trPr>
        <w:tc>
          <w:tcPr>
            <w:tcW w:w="1380" w:type="dxa"/>
            <w:vAlign w:val="bottom"/>
          </w:tcPr>
          <w:p>
            <w:pPr>
              <w:spacing w:after="0"/>
              <w:rPr>
                <w:sz w:val="24"/>
                <w:szCs w:val="24"/>
                <w:color w:val="auto"/>
              </w:rPr>
            </w:pPr>
          </w:p>
        </w:tc>
        <w:tc>
          <w:tcPr>
            <w:tcW w:w="740" w:type="dxa"/>
            <w:vAlign w:val="bottom"/>
            <w:tcBorders>
              <w:top w:val="single" w:sz="8" w:color="auto"/>
            </w:tcBorders>
            <w:gridSpan w:val="2"/>
          </w:tcPr>
          <w:p>
            <w:pPr>
              <w:spacing w:after="0"/>
              <w:rPr>
                <w:sz w:val="24"/>
                <w:szCs w:val="24"/>
                <w:color w:val="auto"/>
              </w:rPr>
            </w:pPr>
          </w:p>
        </w:tc>
        <w:tc>
          <w:tcPr>
            <w:tcW w:w="3640" w:type="dxa"/>
            <w:vAlign w:val="bottom"/>
            <w:gridSpan w:val="14"/>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08"/>
        </w:trPr>
        <w:tc>
          <w:tcPr>
            <w:tcW w:w="13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69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u w:val="single" w:color="auto"/>
          <w:color w:val="auto"/>
        </w:rPr>
        <w:t>PART I</w:t>
      </w:r>
    </w:p>
    <w:p>
      <w:pPr>
        <w:spacing w:after="0" w:line="235"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Overview</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Cancer Vaccines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TapImmune is a clinical-stage immunotherapy company specializing in the development of innovative peptide and gene-based immunotherapeutics and vaccines for the treatment of cancer and infectious disease. The Company combines a set of proprietary technologies to improve the ability of the cellular immune system to destroy diseased cells. These are peptide antigen technologies and DNA expression technologies, Polystart™ and TAP. To enhance shareholder value and taking into account development timelines, the Company plans to focus on advancing its clinical programs including our HER2/neu peptide antigen program and our Folate Alpha breast and ovarian trials into Phase II. In parallel, we plan to complete the preclinical development of our Polystart™ technology and to continue to develop the TAP-based franchise as an integral component of our prime-and-boost vaccine methodology.</w:t>
      </w:r>
    </w:p>
    <w:p>
      <w:pPr>
        <w:spacing w:after="0" w:line="195"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 xml:space="preserve">Unlike other vaccine technologies that narrowly address the initiation of an immune response, TapImmune's ("Prime" and "Boost") approach broadly stimulates the cellular immune system by enhancing the function of killer T-cells and helper T-cells. Our peptide vaccine technology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Our nucleic acid-based systems can also incorporate “TAP” which stands for </w:t>
      </w:r>
      <w:r>
        <w:rPr>
          <w:rFonts w:ascii="Arial" w:cs="Arial" w:eastAsia="Arial" w:hAnsi="Arial"/>
          <w:sz w:val="15"/>
          <w:szCs w:val="15"/>
          <w:b w:val="1"/>
          <w:bCs w:val="1"/>
          <w:color w:val="auto"/>
        </w:rPr>
        <w:t>T</w:t>
      </w:r>
      <w:r>
        <w:rPr>
          <w:rFonts w:ascii="Arial" w:cs="Arial" w:eastAsia="Arial" w:hAnsi="Arial"/>
          <w:sz w:val="15"/>
          <w:szCs w:val="15"/>
          <w:color w:val="auto"/>
        </w:rPr>
        <w:t xml:space="preserve">ransporter associated with </w:t>
      </w:r>
      <w:r>
        <w:rPr>
          <w:rFonts w:ascii="Arial" w:cs="Arial" w:eastAsia="Arial" w:hAnsi="Arial"/>
          <w:sz w:val="15"/>
          <w:szCs w:val="15"/>
          <w:b w:val="1"/>
          <w:bCs w:val="1"/>
          <w:color w:val="auto"/>
        </w:rPr>
        <w:t>A</w:t>
      </w:r>
      <w:r>
        <w:rPr>
          <w:rFonts w:ascii="Arial" w:cs="Arial" w:eastAsia="Arial" w:hAnsi="Arial"/>
          <w:sz w:val="15"/>
          <w:szCs w:val="15"/>
          <w:color w:val="auto"/>
        </w:rPr>
        <w:t xml:space="preserve">ntigen </w:t>
      </w:r>
      <w:r>
        <w:rPr>
          <w:rFonts w:ascii="Arial" w:cs="Arial" w:eastAsia="Arial" w:hAnsi="Arial"/>
          <w:sz w:val="15"/>
          <w:szCs w:val="15"/>
          <w:b w:val="1"/>
          <w:bCs w:val="1"/>
          <w:color w:val="auto"/>
        </w:rPr>
        <w:t>P</w:t>
      </w:r>
      <w:r>
        <w:rPr>
          <w:rFonts w:ascii="Arial" w:cs="Arial" w:eastAsia="Arial" w:hAnsi="Arial"/>
          <w:sz w:val="15"/>
          <w:szCs w:val="15"/>
          <w:color w:val="auto"/>
        </w:rPr>
        <w:t>resentation.</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are currently focusing on the clinical development and testing of our product candidates. In this regard, we have two Phase I studies being conducted at the Mayo Clinic (Rochester, MN) which are designed to evaluate the safety and immune response(s) of a set of proprietary Her2/neu antigens for a Her2/neu breast cancer vaccine and Folate Receptor Alpha for breast and ovarian cancer respectively. TapImmune has the exclusive option to license each of these technologies upon the completion of each Phase I. In addition, we plan to initiate two Phase II studies in Q4 of 2014. The first of which will include a novel Class I antigen in a Phase Ib/II study, providing a vaccine for Her2/neu breast cancer that can stimulate both killer T-cells and helper T-cells. The second Phase II trial is expected to include our folate alpha receptor epitopes and will likely focus on ovarian cancer, which we believe will allow us to proceed with an orphan drug application pending discussion with the FDA.</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plans to incorporate the pre-clinical development of Polystart™ as a boost strategy for Her2/neu breast cancer, colorectal cancer, ovarian cancer and triple negative breast cancer.</w:t>
      </w:r>
    </w:p>
    <w:p>
      <w:pPr>
        <w:spacing w:after="0" w:line="174"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The current standard therapies for our initial targets in cancer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candidate breast cancer, colorectal cancer and ovarian cancer immunotherapeutic vaccines are being developed for use in this setting as an adjuvant treatment to prevent recurrent disease.</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Management strongly believes that the comprehensive scientific underpinnings of our overall approach, to elicit the production of both helper T-cells and killer T-Cells, will provide the Company with highly competitive product candidates for the treatment of Her2/neu positive breast cancer, colorectal cancer, ovarian cancer and triple negative breast cancer.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Our Infectious Disease Program</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Regarding our programs for the development of vaccines aimed at viral pandemics/biodefense, we believe that our ongoing collaborations with the Mayo Clinic have progressed well and studies on the immunogenicity of novel smallpox antigens in mice treated with both antigens and TAP expression vectors are ongoing. We plan to complete animal efficacy and human safety studies through non-dilutive grant funding in collaboration with Dr. Greg Poland and colleagues at the Mayo Clinic and anticipate that further development will be completed through strategic corporate partnerships. The use of non-dilutive grant funding to progress this area allows the Company to focus the majority of its internal resources on Her2/neu breast, ovarian and triple negative cancers.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facilities at 1551 Eastlake Avenue, Seattle have exceeded our expectations and allowed us to continue to recruit top-class scientific staff while at the same time effectively leverage world-class resources made available to us and manage our cash flow. Our technical staff has proven experience and relevant expertise in the areas of molecular biology, cellular biology and immunology/oncology. Our small core team has allowed us to establish in-house technical expertise in molecular biology (expression vector development) and immunology to underpin our current and future development projects, and to optimally work with external collaborators/oncologists.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adding to our core TAP IP and antigen specific IP from the Mayo Clinic for which we have either licensed outright or have exclusive options to license.</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Over the past two quarters, we have, in a challenging financing climate, raised sufficient working capital to fund and progress our operations and significantly restructured our balance sheet and capital structure. We believe that we continue to make good progress with the resources available to us. With the start of clinical programs and our focus on securing non-dilutive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History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We currently trade on the OTC Bulletin Board under the symbol “TPIV”.</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were incorporated under the laws of the State of Nevada in 1991 under the name “Ward’s Futura Automotive Ltd”. We changed our name a number of times since 1991 and, in July 2002, we completed the acquisition of GeneMax Pharmaceuticals Inc. (“GeneMax Pharmaceuticals”), a Delaware corporation, in a reverse merger and changed our name to “GeneMax Corp”. As a result of this transaction, the former stockholders of GeneMax Pharmaceuticals then owned 75% of the total issued and outstanding shares of GeneMax Corp. GeneMax Pharmaceuticals is now a wholly owned subsidiary of TapImmune, and GeneMax Pharmaceuticals Canada Inc. (“GP Canada”), a British Columbia corporation, is a wholly owned subsidiary of GeneMax Pharmaceuticals. On June 28, 2007, we approved a name change to TapImmune Inc.</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Immunotherapy Industry for Cancer</w:t>
      </w:r>
    </w:p>
    <w:p>
      <w:pPr>
        <w:spacing w:after="0" w:line="239"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Management believes that there is a critical need for more effective cancer therapies. Given the massive unmet need in the treatment of metastatic cancer combined with our process for harnessing the body’s own immune system to treat certain cancers, we believe that we are positioned to be a leading contributor to solving this problem.</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6" w:name="page7"/>
    <w:bookmarkEnd w:id="6"/>
    <w:p>
      <w:pPr>
        <w:jc w:val="both"/>
        <w:ind w:right="200"/>
        <w:spacing w:after="0" w:line="272" w:lineRule="auto"/>
        <w:rPr>
          <w:sz w:val="20"/>
          <w:szCs w:val="20"/>
          <w:color w:val="auto"/>
        </w:rPr>
      </w:pPr>
      <w:r>
        <w:rPr>
          <w:rFonts w:ascii="Arial" w:cs="Arial" w:eastAsia="Arial" w:hAnsi="Arial"/>
          <w:sz w:val="16"/>
          <w:szCs w:val="16"/>
          <w:color w:val="auto"/>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8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By restoring TAP expression to TAP-deficient cells, the MHC Class I protein peptide complexes could signal the immune system to attack the cancer. A strategic vision of TapImmune is to restore the TAP function within cancerous cells, thus making them immunogenic, or more “visible” to cancer fighting immune cells. Management believes that this cancer vaccine strategy will provide a commercially viable therapeutic approach that addresses this problem of “non-immunogenicity” of cancer.</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our focus on the cancer vaccines, with adequate funding, we will also pursue the development of prophylactic vaccines against infectious microbes by partnering with other vaccine developers in the infectious disease market.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TapImmune’s Target Market and Strategy</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will focus our product development in oncology, both, alone and with corporate partners and/or collaborators including the Mayo Clinic for Her2/neu positive Breast Cancer, Folate Alpha Ovarian and Breast Cancer and smallpox.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TapImmune management is to have the FDA approve our cancer vaccines within the next few years so that we can secure a portion of this market.</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With the required funding in place, we will support our infectious disease partnership, with the Mayo Clinic and will look to non-dilutive financing to fund infectious disease projects.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7" w:name="page8"/>
    <w:bookmarkEnd w:id="7"/>
    <w:p>
      <w:pPr>
        <w:ind w:right="80"/>
        <w:spacing w:after="0" w:line="261" w:lineRule="auto"/>
        <w:rPr>
          <w:sz w:val="20"/>
          <w:szCs w:val="20"/>
          <w:color w:val="auto"/>
        </w:rPr>
      </w:pPr>
      <w:r>
        <w:rPr>
          <w:rFonts w:ascii="Arial" w:cs="Arial" w:eastAsia="Arial" w:hAnsi="Arial"/>
          <w:sz w:val="16"/>
          <w:szCs w:val="16"/>
          <w:color w:val="auto"/>
        </w:rPr>
        <w:t>The global market for infectious disease based vaccines is dominated by five companies—Merck, GlaxoSmithKline, Sanofi Pasteur (the vaccines division of Sanofi SA), Pfizer Inc.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will have the potential to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Efforts</w:t>
      </w:r>
    </w:p>
    <w:p>
      <w:pPr>
        <w:spacing w:after="0" w:line="239" w:lineRule="exact"/>
        <w:rPr>
          <w:sz w:val="20"/>
          <w:szCs w:val="20"/>
          <w:color w:val="auto"/>
        </w:rPr>
      </w:pPr>
    </w:p>
    <w:p>
      <w:pPr>
        <w:jc w:val="both"/>
        <w:spacing w:after="0" w:line="300" w:lineRule="auto"/>
        <w:rPr>
          <w:sz w:val="20"/>
          <w:szCs w:val="20"/>
          <w:color w:val="auto"/>
        </w:rPr>
      </w:pPr>
      <w:r>
        <w:rPr>
          <w:rFonts w:ascii="Arial" w:cs="Arial" w:eastAsia="Arial" w:hAnsi="Arial"/>
          <w:sz w:val="14"/>
          <w:szCs w:val="14"/>
          <w:color w:val="auto"/>
        </w:rPr>
        <w:t>We direct our research and development efforts towards the advancement of immunotherapeutic and prophylactic vaccine products for the treatment of cancer and protection against pathogenic microbes respectively, using our combined proprietary technologies, (1) relevant killer plus helper T-cell peptide antigens, (2) Polystart™ nucleic acid-based expression system(s), and (3) TAP.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 (Co-linear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and Technology in Development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For perspective, the Company notes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5"/>
          <w:szCs w:val="15"/>
          <w:i w:val="1"/>
          <w:iCs w:val="1"/>
          <w:color w:val="auto"/>
        </w:rPr>
        <w:t>i.e</w:t>
      </w:r>
      <w:r>
        <w:rPr>
          <w:rFonts w:ascii="Arial" w:cs="Arial" w:eastAsia="Arial" w:hAnsi="Arial"/>
          <w:sz w:val="15"/>
          <w:szCs w:val="15"/>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Phase I Human Clinical Trials – </w:t>
      </w:r>
      <w:r>
        <w:rPr>
          <w:rFonts w:ascii="Arial" w:cs="Arial" w:eastAsia="Arial" w:hAnsi="Arial"/>
          <w:sz w:val="16"/>
          <w:szCs w:val="16"/>
          <w:b w:val="1"/>
          <w:bCs w:val="1"/>
          <w:color w:val="auto"/>
        </w:rPr>
        <w:t>Her2/neu+ Breast Cancer – Mayo Clinic</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On June 1, 2010, we signed an exclusive licensing option agreement with the Mayo Clinic, Rochester MN for clinical development of a new Her2/neu breast cancer vaccine technology. An IND for Phase I human clinical trial on the Her2/neu cancer vaccine in collaboration with the Mayo Clinic was allowed by the FDA in July, 2011, and the Mayo IRB approved the trial on May 4, 2012. This trial is fully enrolled and closed, and patient dosing has been completed. All patients have received the Company’s vaccine composition, and interim safety analysis on the first six patients is complete and shown to be safe. In addition, each of the first six patients treated, developed specific T-cell immune responses to the antigens in the vaccine composition proving a solid case for advancement to Phase II in 2014. An additional secondary endpoint incorporated into this Phase I Trial will be a two year follow on recording time to disease recurrence in the participating breast cancer patients. The assessment of vaccine safety (primary endpoint) and evaluation of immunogenicity (secondary endpoint) for this trial are currently scheduled for completion at the end of 2014.</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8" w:name="page9"/>
    <w:bookmarkEnd w:id="8"/>
    <w:p>
      <w:pPr>
        <w:jc w:val="both"/>
        <w:spacing w:after="0" w:line="267" w:lineRule="auto"/>
        <w:rPr>
          <w:sz w:val="20"/>
          <w:szCs w:val="20"/>
          <w:color w:val="auto"/>
        </w:rPr>
      </w:pPr>
      <w:r>
        <w:rPr>
          <w:rFonts w:ascii="Arial" w:cs="Arial" w:eastAsia="Arial" w:hAnsi="Arial"/>
          <w:sz w:val="16"/>
          <w:szCs w:val="16"/>
          <w:color w:val="auto"/>
        </w:rPr>
        <w:t>As this Phase I Trial progresses, we plan to add a Class I peptide, licensed from the Mayo Clinic (April 16, 2012), to the four Class II peptides in the context of a Phase I(b)/II clinical trial. Management believes that the combination of Class I and Class II Her2/neu antigens, gives us the leading Her2/neu vaccine platform. Therefore a key goal in 2014 is to progress the Her2/neu vaccine into the above mentioned Phase 1(b)/II Clinical Trial. The cost of funding our current Phase I clinical program in Her2/neu breast cancer at the Mayo Clinic is approximately $850,000 and is mostly paid off as of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Phase I Human Clinical Trials – </w:t>
      </w:r>
      <w:r>
        <w:rPr>
          <w:rFonts w:ascii="Arial" w:cs="Arial" w:eastAsia="Arial" w:hAnsi="Arial"/>
          <w:sz w:val="16"/>
          <w:szCs w:val="16"/>
          <w:b w:val="1"/>
          <w:bCs w:val="1"/>
          <w:color w:val="auto"/>
        </w:rPr>
        <w:t>Folate Alpha Breast and Ovarian Cancer – Mayo Clinic</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19, 2014, the Company announced the signing of an exclusive option agreement for a set of unique peptide epitopes targeting Folate Receptor Alpha in both breast cancer and ovarian cancer.</w:t>
      </w:r>
    </w:p>
    <w:p>
      <w:pPr>
        <w:spacing w:after="0" w:line="17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newly diagnosed every year.</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A 24 patient Phase I clinical trial is currently underway. The trial is fully enrolled and closed, and Phase II advancement is expected and will be assessed in late 2014.</w:t>
      </w:r>
    </w:p>
    <w:p>
      <w:pPr>
        <w:spacing w:after="0" w:line="2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No serious adverse events have occurred to date and more information and immune response data will be made available over the course the trial. More information can be seen at: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http://clinicaltrials.gov/ct2/show/NCT01606241?term=folate+receptor+alpha&amp;rank=1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Preclinical</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Polystart™</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TapImmune is initiating the development of a nucleic acid-based expression system that can be aligned as a prime and boost strategy with our peptide-based vaccine compositions. The nucleic acid-based platform may also represent a second stand-alone vaccine technology. The nucleic acid–based technology is termed “Polystart™. The Company’s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our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The Company has filed a U.S. Provisional Patent Application around the Polystart™ technology.</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plan to develop or out-license our technologies for the creation of enhanced anti-viral vaccines, such as for smallpox and other viral diseases. In our smallpox collaboration, scientists at the Mayo Clinic will complete small animal studies in respect of a novel set of vaccinia virus peptide antigens within the next few months. The subsequent regulatory pathway for this product is to use the FDA’s “Animal Efficacy Rule” for completion of efficacy studies in primates followed by Phase I clinical studies on vaccine safety. We anticipate that we will complete these studies with a strategic partner involved in the Biodefense space.</w:t>
      </w:r>
    </w:p>
    <w:p>
      <w:pPr>
        <w:spacing w:after="0" w:line="191"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We intend to progress our infectious disease programs with non-dilutive grant funding as well. In collaboration with the Vaccine Group at the Mayo Clinic we will continue development of our smallpox vaccine and to expand the use of our TAP platform to emerging pathogens that could be either pandemic or bioterrorist threats.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Strategic Relationships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Mayo Foundation for Medical Education and Research</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Following approval of the IND by the FDA in July, 2011, TapImmune and the Mayo Foundation executed a Sponsored Research Agreement for the clinical trial.</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4, 2012, Mayo IRB approval was confirmed and patient dosing started in August 2012. Interim safety analysis on the first five patients was completed successfully allowing continuation of the trial.</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 This project is progressing well with identification of several peptide antigens which could form the basis of a new vaccine for potential stockpiling. Its completion in Q4, 2014 will trigger the decision whether to proceed into primate studies.</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On April 16, 2012, we announced an Exclusive Agreement with the Mayo Foundation for Education &amp; Research, Rochester, MN, to License a proprietary MHC Class I Her2/neu antigen technology. This antigen was discovered in the laboratory of Dr. Keith Knutson at the Mayo Clinic. In contrast to Class I antigens in clinical testing this novel antigen is naturally produced in the intracellular proteasome and presented to T-cells as the MHC Class I peptide complex. Scientific details of this new work was presented by Andrea Henle of Dr. Knutson’s lab at the Annual Meeting of The American Association of Immunologists held in Boston, MA, May 2012 and by Mark Reddish, Head of Development at TapImmune at the Third Annual Cancer Vaccines and Active Immunity Summit, Boston, June 26, 2012. A peer-reviewed manuscript from the Knutson lab, which describes the science in detail, has been accepted for publication in Journal of Immunology.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Patents and Trademarks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Method of Enhancing Expression of MHC Class I Molecules Bearing Endogenous Peptides</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26, 2002, the United States Patent and Trademark Office issued US Patent No. 6,361,770 to the University of British Colombia for the use of TAP-1 as an immunotherapy against all cancers.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Method of Enhancing an Immune Response</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U.S. patent No. 7,378,087, issued May 27 2008. The patent claims relate to methods for enhancing the immune response to tumor cells by introducing the TAP molecule into the infected cells. Patent applications are pending on other aspects of the Company’s technology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Method of Identifying MHC Class I Restricted Antigens Endogenously Processed by a Secretory Pathway</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11, 1998, the U.S. Patent and Trademark Office issued US Patent No. 5,792,604 to UBC, being a patent for the use of bioengineered cell lines to measure the output of the MHC Class I restricted antigen presentation pathway as a way to screen for immunomodulating drugs.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Method of Enhancing an Immune Response</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October 27, 2011 The US Patent and Trademark Office issued Patent 7,994,146 entitled “Method of Enhancing an Immune Response”. The invention relates to a method of enhancing an immune response to an antigen by augmenting the level of TAP (Transporters Associated with Antigen Processing) molecule in a target cell bearing the antigen.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Infectious Disease (Mayo Collaboration, Poland/Kennedy)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U.S. Patent 7,622,120, entitled “Peptide Originating from Vaccinia Virus, issued Nov 24, 2009.</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U.S. Patent Application 13/222,862 entitled “Vaccinia Virus Polypeptides” converted August 31, 2011.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Oncology (Mayo Collaboration, Knutson)</w:t>
      </w:r>
    </w:p>
    <w:p>
      <w:pPr>
        <w:spacing w:after="0" w:line="235" w:lineRule="exact"/>
        <w:rPr>
          <w:sz w:val="20"/>
          <w:szCs w:val="20"/>
          <w:color w:val="auto"/>
        </w:rPr>
      </w:pPr>
    </w:p>
    <w:p>
      <w:pPr>
        <w:ind w:right="1160"/>
        <w:spacing w:after="0" w:line="288" w:lineRule="auto"/>
        <w:rPr>
          <w:sz w:val="20"/>
          <w:szCs w:val="20"/>
          <w:color w:val="auto"/>
        </w:rPr>
      </w:pPr>
      <w:r>
        <w:rPr>
          <w:rFonts w:ascii="Arial" w:cs="Arial" w:eastAsia="Arial" w:hAnsi="Arial"/>
          <w:sz w:val="16"/>
          <w:szCs w:val="16"/>
          <w:color w:val="auto"/>
        </w:rPr>
        <w:t>U.S. Patent Application 12/740562, entitled “HLA-DR Binding Peptides and Their Uses”; 371 date August 24, 2010 derived from International Application PCT/US2008/081799 filed October 30, 2008.</w:t>
      </w:r>
    </w:p>
    <w:p>
      <w:pPr>
        <w:spacing w:after="0" w:line="174"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International Application PCT/US2013/026484 filed February 15, 2013, entitled “Methods and Materials for Generating CD8+ T Cells having the Ability to Recognize Cancer Cells Expressing a Her2/Neu Polypeptide”.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PolyStart Technology (TapImmune Inc.)</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U.S. Provisional Application 61/954,588, entitled “Nucleic Acid Molecules Vaccine Compositions and Uses Thereof”, filed March 17, 2014</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multiple patents and patent applications in association with its exclusive licenses and option agreements with Mayo Clinic providing many years of patent protection for its proprietary product candidates.</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expects technology developments in the oncology industry to continue to occur at a rapid pace. Commercial developments by any competitors may render some or all of our potential products obsolete or non-competitive, which could materially harm the Company’s business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Management believes that a number of companies, which are developing various types of similar immunotherapies and therapeutic cancer vaccines to treat cancer, could be our major competitors including: Lion Biotechnology, Advaxis, Dendreon Corp., Genzyme Molecular Oncology, Immune Design, Oncothyreon, Celldex, BN Immunotherapeutics, Immunocellular, Galena, Antigen Express, Transgene S.A., and Bavarian Nordic.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States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design, research, development, testing, manufacturing, labeling, promotion, marketing, advertising and distribution of drug products are extensively regulated by the FDA in the United States and similar regulatory bodies in other countries. The regulatory process is similar for a new drug application, or IND. The steps ordinarily required before a new drug may be marketed in the United States, which are similar to steps required in most other countries, include: (i) pre-clinical laboratory tests, pre-clinical studies in animals, formulation studies and the submission to the FDA of an initial IND; (ii) adequate and well-controlled clinical trials to establish the safety and effectiveness of the drug for each indication; (iii) the submission of the IND to the FDA; and (iv) review by an FDA advisory committee and approval by the FDA.</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1" w:name="page12"/>
    <w:bookmarkEnd w:id="11"/>
    <w:p>
      <w:pPr>
        <w:spacing w:after="0" w:line="263" w:lineRule="auto"/>
        <w:rPr>
          <w:sz w:val="20"/>
          <w:szCs w:val="20"/>
          <w:color w:val="auto"/>
        </w:rPr>
      </w:pPr>
      <w:r>
        <w:rPr>
          <w:rFonts w:ascii="Arial" w:cs="Arial" w:eastAsia="Arial" w:hAnsi="Arial"/>
          <w:sz w:val="16"/>
          <w:szCs w:val="16"/>
          <w:color w:val="auto"/>
        </w:rPr>
        <w:t>Pre-clinical tests include laboratory evaluation of product chemistry, preparation of consistent test batches of product to what is known as GLP, toxicology studies, animal pre-clinical efficacy studies and manufacturing pursuant to what is known as GMP. The results of pre-clinical testing are submitted to the FDA as part of an initial IND. After the filing of each initial IND, and assuming all pre-clinical results have been approved, a thirty-day waiting period is required prior to the commencement of clinical testing in humans. At any time during this thirty-day period or at any time thereafter, the FDA may halt proposed or ongoing clinical trials until the FDA authorizes trials under specified terms. The initial IND process may be extremely costly and substantially delay development of products. Moreover, positive results of pre-clinical tests will not necessarily indicate positive results in subsequent clinical trials.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After successful completion of the required clinical trials, a IND is generally submitted. The IND is usually reviewed by an outside committee consisting of physicians, scientists, and at least one consumer representative. The advisory committee reviews, evaluates and recommends whether the application should be approved, but the FDA is not bound by the recommendation of an advisory committee. The FDA may request additional information before accepting a IND for filing, in which case the application must be resubmitted with the additional information. Once the submission has been accepted for filing, the FDA or the advisory committee reviews the application and responds to the applicant. The review process is often extended by FDA requests for additional information or clarification. The FDA cites 24 months as the median time for IND review.</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If the FDA evaluations of the IND and the manufacturing facilities are favorable, the FDA may issue an approval letter. An approval letter will usually contain a number of conditions that must be met in order to secure final approval of the IND and authorization of commercial marketing of the drug for certain indications. The FDA may also refuse to approve the IND or issue a not approval letter, outlining the deficiencies in the submission and often requiring either additional testing or information or withdrawal of the submission.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manufacturers of approved products and their manufacturing facilities are subject to continual review and periodic inspections.</w:t>
      </w:r>
    </w:p>
    <w:p>
      <w:pPr>
        <w:spacing w:after="0" w:line="235"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Approved drugs are subject to ongoing compliance requirements and identification of certain side effects after any of the drug products are on the market. This could result in issuance of warning letters, subsequent withdrawal of approval, reformulation of the drug product, and additional pre-clinical studies or clinical trials.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Canada</w:t>
      </w: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Canada, the Therapeutic Products Directorate and the Biologics and Genetic Therapies Directorate of Health Canada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6"/>
          <w:szCs w:val="16"/>
          <w:u w:val="single" w:color="auto"/>
          <w:color w:val="auto"/>
        </w:rPr>
        <w:t>www.hc-sc.gc.ca</w:t>
      </w:r>
      <w:r>
        <w:rPr>
          <w:rFonts w:ascii="Arial" w:cs="Arial" w:eastAsia="Arial" w:hAnsi="Arial"/>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Other Jurisdictions</w:t>
      </w:r>
    </w:p>
    <w:p>
      <w:pPr>
        <w:spacing w:after="0" w:line="23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Outside the United States and Canada, the Company’s ability to market drug products is contingent upon receiving marketing authorization from the appropriate regulatory authorities. Management believes that the foreign regulatory approval process includes all of the complexities associated with FDA approval described above. The requirements governing the conduct of clinical trials and marketing authorization vary widely from country to country. At present, foreign marketing authorizations are applied for at a national level, although within the European Union procedures are available to companies wishing to market a product in more than one member country.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Liability and Insurance</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TapImmune currently has two full-time employees. The management team is comprised of Dr. Glynn Wilson (Chief Executive Officer and Principal Executive Officer and Acting Principal Accounting Officer), and Dr. Robert Florkiewicz (Head of Research) together with a number of consultants, corporate advisors and scientific collaborators. Since May 7, 2012, TapImmune has not had Officers resident in British Columbia.</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We are not required to provide the information required by this item because we are a smaller reporting company.</w:t>
      </w: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1B.</w:t>
        <w:tab/>
        <w:t>UNRESOLVED STAFF COMMENTS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1"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2.</w:t>
        <w:tab/>
        <w:t>PROPERTIES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do not own any real estate or other properties. Our registered office is located at 1551 Eastlake Ave East, Seattle, WA 98102. Our lease expired in January and we continue to rent laboratory and office space at this address on a month to month basis.</w:t>
      </w:r>
    </w:p>
    <w:p>
      <w:pPr>
        <w:spacing w:after="0" w:line="170"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3.</w:t>
        <w:tab/>
        <w:t>LEGAL PROCEEDINGS</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In May 2012, we issued what is now equal to 112,000 shares of our common stock to two consultants. We contested the validity of the issuances of this common stock based on our belief that the consultants did not perform the services agreed to under their respective consulting agreements. While we initially were able to delay the sale of the contested shares, we were not successful in clawing back the contested shares. A claim for perceived damages from Michael Gardner (one of the consultants) suffered as a result of our contesting the issuance under the consulting agreements has been filed in the Supreme Court of New York. He has based his claim for damages on the difference between market price at the time we were able to delay the sale of his shares and the market price at the time of the sale of all of his shares. As the result of a judicial decision in New York he received a bond payment of ($100,000) that the Company had used to secure a temporary restraining order against the issuance of stock to him. The company is pursuing litigation against Gardner through the American Arbitration Association (“Gardner Action”).</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law firm that we used to pursue the Gardner Action was awarded a judgment against us for $210,255 of unpaid legal fees (“G&amp;S Judgment”). Shareholders of the Company acquired the G&amp;S Judgment in full, converted that Judgment into shares of Company common stock and subsequently released the Company from any liability related thereto.</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One of our suppliers, Fischer Scientific was awarded a judgment against us for $51,000 which is equal to the amount owed to them. We intend to settle that matter in Q2 of 2014.</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13" w:name="page14"/>
    <w:bookmarkEnd w:id="13"/>
    <w:p>
      <w:pPr>
        <w:jc w:val="both"/>
        <w:ind w:right="360"/>
        <w:spacing w:after="0" w:line="272" w:lineRule="auto"/>
        <w:rPr>
          <w:sz w:val="20"/>
          <w:szCs w:val="20"/>
          <w:color w:val="auto"/>
        </w:rPr>
      </w:pPr>
      <w:r>
        <w:rPr>
          <w:rFonts w:ascii="Arial" w:cs="Arial" w:eastAsia="Arial" w:hAnsi="Arial"/>
          <w:sz w:val="16"/>
          <w:szCs w:val="16"/>
          <w:color w:val="auto"/>
        </w:rPr>
        <w:t>Management is not aware of any legal proceedings contemplated by any government authority or any other party involving the Company. As of the date of this Annual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183"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4.</w:t>
        <w:tab/>
        <w:t>MINE SAFETY DISCLOSURE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PART II</w:t>
      </w:r>
    </w:p>
    <w:p>
      <w:pPr>
        <w:spacing w:after="0" w:line="235" w:lineRule="exact"/>
        <w:rPr>
          <w:sz w:val="20"/>
          <w:szCs w:val="20"/>
          <w:color w:val="auto"/>
        </w:rPr>
      </w:pPr>
    </w:p>
    <w:p>
      <w:pPr>
        <w:ind w:right="860"/>
        <w:spacing w:after="0" w:line="294" w:lineRule="auto"/>
        <w:rPr>
          <w:sz w:val="20"/>
          <w:szCs w:val="20"/>
          <w:color w:val="auto"/>
        </w:rPr>
      </w:pPr>
      <w:r>
        <w:rPr>
          <w:rFonts w:ascii="Arial" w:cs="Arial" w:eastAsia="Arial" w:hAnsi="Arial"/>
          <w:sz w:val="16"/>
          <w:szCs w:val="16"/>
          <w:b w:val="1"/>
          <w:bCs w:val="1"/>
          <w:color w:val="auto"/>
        </w:rPr>
        <w:t>ITEM 5.MARKET FOR REGISTRANT’S COMMON EQUITY, RELATED STOCKHOLDER MATTERS AND ISSUER PURCHASES OF EQUITY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23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common stock is traded on the Over the Counter Bulletin Board (“OTCBB”) under the symbol “TPIV.OB” and on the Frankfurt and Berlin Stock Exchanges under the symbol “GX1A.” The listing on the Berlin Stock Exchange was done without the Company’s knowledge and consent.</w:t>
      </w:r>
    </w:p>
    <w:p>
      <w:pPr>
        <w:spacing w:after="0" w:line="174" w:lineRule="exact"/>
        <w:rPr>
          <w:sz w:val="20"/>
          <w:szCs w:val="20"/>
          <w:color w:val="auto"/>
        </w:rPr>
      </w:pPr>
    </w:p>
    <w:p>
      <w:pPr>
        <w:spacing w:after="0" w:line="324" w:lineRule="auto"/>
        <w:rPr>
          <w:sz w:val="20"/>
          <w:szCs w:val="20"/>
          <w:color w:val="auto"/>
        </w:rPr>
      </w:pPr>
      <w:r>
        <w:rPr>
          <w:rFonts w:ascii="Arial" w:cs="Arial" w:eastAsia="Arial" w:hAnsi="Arial"/>
          <w:sz w:val="15"/>
          <w:szCs w:val="15"/>
          <w:color w:val="auto"/>
        </w:rPr>
        <w:t>The market for our common stock is limited, volatile and sporadic. The following table sets forth, for the periods indicated, the high and low bid prices of our common stock as reported on the OTCBB. The following quotations reflect inter-dealer prices, without retail mark-up, markdown, or commissions, and may not reflect actual transactions.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High Bid</w:t>
            </w: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Low Bid</w:t>
            </w:r>
          </w:p>
        </w:tc>
      </w:tr>
      <w:tr>
        <w:trPr>
          <w:trHeight w:val="382"/>
        </w:trPr>
        <w:tc>
          <w:tcPr>
            <w:tcW w:w="8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Fiscal Year 2014</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8700" w:type="dxa"/>
            <w:vAlign w:val="bottom"/>
          </w:tcPr>
          <w:p>
            <w:pPr>
              <w:ind w:left="80"/>
              <w:spacing w:after="0"/>
              <w:rPr>
                <w:sz w:val="20"/>
                <w:szCs w:val="20"/>
                <w:color w:val="auto"/>
              </w:rPr>
            </w:pPr>
            <w:r>
              <w:rPr>
                <w:rFonts w:ascii="Arial" w:cs="Arial" w:eastAsia="Arial" w:hAnsi="Arial"/>
                <w:sz w:val="16"/>
                <w:szCs w:val="16"/>
                <w:color w:val="auto"/>
              </w:rPr>
              <w:t>March 31, 2014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5.00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1.50</w:t>
            </w:r>
          </w:p>
        </w:tc>
      </w:tr>
      <w:tr>
        <w:trPr>
          <w:trHeight w:val="383"/>
        </w:trPr>
        <w:tc>
          <w:tcPr>
            <w:tcW w:w="8700" w:type="dxa"/>
            <w:vAlign w:val="bottom"/>
          </w:tcPr>
          <w:p>
            <w:pPr>
              <w:spacing w:after="0"/>
              <w:rPr>
                <w:sz w:val="20"/>
                <w:szCs w:val="20"/>
                <w:color w:val="auto"/>
              </w:rPr>
            </w:pPr>
            <w:r>
              <w:rPr>
                <w:rFonts w:ascii="Arial" w:cs="Arial" w:eastAsia="Arial" w:hAnsi="Arial"/>
                <w:sz w:val="16"/>
                <w:szCs w:val="16"/>
                <w:b w:val="1"/>
                <w:bCs w:val="1"/>
                <w:color w:val="auto"/>
              </w:rPr>
              <w:t>Fiscal Year 2013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December 31, 2013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4.00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September 30, 2013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3.20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11.00</w:t>
            </w: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June 30, 2013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11.00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3.00</w:t>
            </w:r>
          </w:p>
        </w:tc>
      </w:tr>
      <w:tr>
        <w:trPr>
          <w:trHeight w:val="208"/>
        </w:trPr>
        <w:tc>
          <w:tcPr>
            <w:tcW w:w="8700" w:type="dxa"/>
            <w:vAlign w:val="bottom"/>
          </w:tcPr>
          <w:p>
            <w:pPr>
              <w:ind w:left="80"/>
              <w:spacing w:after="0"/>
              <w:rPr>
                <w:sz w:val="20"/>
                <w:szCs w:val="20"/>
                <w:color w:val="auto"/>
              </w:rPr>
            </w:pPr>
            <w:r>
              <w:rPr>
                <w:rFonts w:ascii="Arial" w:cs="Arial" w:eastAsia="Arial" w:hAnsi="Arial"/>
                <w:sz w:val="16"/>
                <w:szCs w:val="16"/>
                <w:color w:val="auto"/>
              </w:rPr>
              <w:t>March 31, 2013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16.00</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r>
      <w:tr>
        <w:trPr>
          <w:trHeight w:val="383"/>
        </w:trPr>
        <w:tc>
          <w:tcPr>
            <w:tcW w:w="8700" w:type="dxa"/>
            <w:vAlign w:val="bottom"/>
          </w:tcPr>
          <w:p>
            <w:pPr>
              <w:spacing w:after="0"/>
              <w:rPr>
                <w:sz w:val="20"/>
                <w:szCs w:val="20"/>
                <w:color w:val="auto"/>
              </w:rPr>
            </w:pPr>
            <w:r>
              <w:rPr>
                <w:rFonts w:ascii="Arial" w:cs="Arial" w:eastAsia="Arial" w:hAnsi="Arial"/>
                <w:sz w:val="16"/>
                <w:szCs w:val="16"/>
                <w:b w:val="1"/>
                <w:bCs w:val="1"/>
                <w:color w:val="auto"/>
              </w:rPr>
              <w:t>Fiscal Year 2012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December 31, 2012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13.00</w:t>
            </w:r>
          </w:p>
        </w:tc>
        <w:tc>
          <w:tcPr>
            <w:tcW w:w="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8.00</w:t>
            </w: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September 30, 2012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16.00</w:t>
            </w:r>
          </w:p>
        </w:tc>
        <w:tc>
          <w:tcPr>
            <w:tcW w:w="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8.00</w:t>
            </w: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June 30, 2012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27.00</w:t>
            </w:r>
          </w:p>
        </w:tc>
        <w:tc>
          <w:tcPr>
            <w:tcW w:w="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11.00</w:t>
            </w:r>
          </w:p>
        </w:tc>
      </w:tr>
      <w:tr>
        <w:trPr>
          <w:trHeight w:val="209"/>
        </w:trPr>
        <w:tc>
          <w:tcPr>
            <w:tcW w:w="8700" w:type="dxa"/>
            <w:vAlign w:val="bottom"/>
          </w:tcPr>
          <w:p>
            <w:pPr>
              <w:ind w:left="80"/>
              <w:spacing w:after="0"/>
              <w:rPr>
                <w:sz w:val="20"/>
                <w:szCs w:val="20"/>
                <w:color w:val="auto"/>
              </w:rPr>
            </w:pPr>
            <w:r>
              <w:rPr>
                <w:rFonts w:ascii="Arial" w:cs="Arial" w:eastAsia="Arial" w:hAnsi="Arial"/>
                <w:sz w:val="16"/>
                <w:szCs w:val="16"/>
                <w:color w:val="auto"/>
              </w:rPr>
              <w:t>March 31, 2012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18.00</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15.00</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last reported sales price for our shares on the OTCBB as of April 10, 2014, was $3.26 per share. As of April 10, 2014, we had 492 shareholders of record.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No dividends have been declared or paid on our common stock. We have incurred recurring losses and do not currently intend to pay any cash dividends in 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Compensation Plans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as of December 31, 2013:</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5"/>
          <w:szCs w:val="15"/>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5868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ectPr>
          <w:pgSz w:w="11900" w:h="16838" w:orient="portrait"/>
          <w:cols w:equalWidth="0" w:num="1">
            <w:col w:w="11421"/>
          </w:cols>
          <w:pgMar w:left="239" w:top="4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 w:right="2560"/>
        <w:spacing w:after="0" w:line="364" w:lineRule="auto"/>
        <w:rPr>
          <w:sz w:val="20"/>
          <w:szCs w:val="20"/>
          <w:color w:val="auto"/>
        </w:rPr>
      </w:pPr>
      <w:r>
        <w:rPr>
          <w:rFonts w:ascii="Arial" w:cs="Arial" w:eastAsia="Arial" w:hAnsi="Arial"/>
          <w:sz w:val="14"/>
          <w:szCs w:val="14"/>
          <w:color w:val="auto"/>
        </w:rPr>
        <w:t>(a)Equity compensation plans approved by security holders (b)Equity compensation plans not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-316865</wp:posOffset>
            </wp:positionV>
            <wp:extent cx="464629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4629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-51435</wp:posOffset>
            </wp:positionV>
            <wp:extent cx="464629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4629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88900</wp:posOffset>
            </wp:positionV>
            <wp:extent cx="46462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462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112395</wp:posOffset>
            </wp:positionV>
            <wp:extent cx="46462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462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6"/>
              </w:rPr>
              <w:t>Number of</w:t>
            </w:r>
          </w:p>
        </w:tc>
      </w:tr>
      <w:tr>
        <w:trPr>
          <w:trHeight w:val="19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1"/>
              </w:rPr>
              <w:t>securities</w:t>
            </w:r>
          </w:p>
        </w:tc>
      </w:tr>
      <w:tr>
        <w:trPr>
          <w:trHeight w:val="19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3"/>
              </w:rPr>
              <w:t>remaining</w:t>
            </w:r>
          </w:p>
        </w:tc>
      </w:tr>
      <w:tr>
        <w:trPr>
          <w:trHeight w:val="19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5"/>
              </w:rPr>
              <w:t>available for</w:t>
            </w:r>
          </w:p>
        </w:tc>
      </w:tr>
      <w:tr>
        <w:trPr>
          <w:trHeight w:val="197"/>
        </w:trPr>
        <w:tc>
          <w:tcPr>
            <w:tcW w:w="1340" w:type="dxa"/>
            <w:vAlign w:val="bottom"/>
            <w:gridSpan w:val="3"/>
          </w:tcPr>
          <w:p>
            <w:pPr>
              <w:jc w:val="center"/>
              <w:ind w:right="143"/>
              <w:spacing w:after="0"/>
              <w:rPr>
                <w:sz w:val="20"/>
                <w:szCs w:val="20"/>
                <w:color w:val="auto"/>
              </w:rPr>
            </w:pPr>
            <w:r>
              <w:rPr>
                <w:rFonts w:ascii="Arial" w:cs="Arial" w:eastAsia="Arial" w:hAnsi="Arial"/>
                <w:sz w:val="16"/>
                <w:szCs w:val="16"/>
                <w:color w:val="auto"/>
                <w:w w:val="93"/>
              </w:rPr>
              <w:t>Number of</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0"/>
              </w:rPr>
              <w:t>future issuance</w:t>
            </w:r>
          </w:p>
        </w:tc>
      </w:tr>
      <w:tr>
        <w:trPr>
          <w:trHeight w:val="197"/>
        </w:trPr>
        <w:tc>
          <w:tcPr>
            <w:tcW w:w="1340" w:type="dxa"/>
            <w:vAlign w:val="bottom"/>
            <w:gridSpan w:val="3"/>
          </w:tcPr>
          <w:p>
            <w:pPr>
              <w:jc w:val="center"/>
              <w:ind w:right="143"/>
              <w:spacing w:after="0"/>
              <w:rPr>
                <w:sz w:val="20"/>
                <w:szCs w:val="20"/>
                <w:color w:val="auto"/>
              </w:rPr>
            </w:pPr>
            <w:r>
              <w:rPr>
                <w:rFonts w:ascii="Arial" w:cs="Arial" w:eastAsia="Arial" w:hAnsi="Arial"/>
                <w:sz w:val="16"/>
                <w:szCs w:val="16"/>
                <w:color w:val="auto"/>
                <w:w w:val="91"/>
              </w:rPr>
              <w:t>securities to be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58"/>
              <w:spacing w:after="0"/>
              <w:rPr>
                <w:sz w:val="20"/>
                <w:szCs w:val="20"/>
                <w:color w:val="auto"/>
              </w:rPr>
            </w:pPr>
            <w:r>
              <w:rPr>
                <w:rFonts w:ascii="Arial" w:cs="Arial" w:eastAsia="Arial" w:hAnsi="Arial"/>
                <w:sz w:val="16"/>
                <w:szCs w:val="16"/>
                <w:color w:val="auto"/>
                <w:w w:val="91"/>
              </w:rPr>
              <w:t>Weighted</w:t>
            </w:r>
          </w:p>
        </w:tc>
        <w:tc>
          <w:tcPr>
            <w:tcW w:w="22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3"/>
              </w:rPr>
              <w:t>under equity</w:t>
            </w:r>
          </w:p>
        </w:tc>
      </w:tr>
      <w:tr>
        <w:trPr>
          <w:trHeight w:val="197"/>
        </w:trPr>
        <w:tc>
          <w:tcPr>
            <w:tcW w:w="1340" w:type="dxa"/>
            <w:vAlign w:val="bottom"/>
            <w:gridSpan w:val="3"/>
          </w:tcPr>
          <w:p>
            <w:pPr>
              <w:jc w:val="center"/>
              <w:ind w:right="143"/>
              <w:spacing w:after="0"/>
              <w:rPr>
                <w:sz w:val="20"/>
                <w:szCs w:val="20"/>
                <w:color w:val="auto"/>
              </w:rPr>
            </w:pPr>
            <w:r>
              <w:rPr>
                <w:rFonts w:ascii="Arial" w:cs="Arial" w:eastAsia="Arial" w:hAnsi="Arial"/>
                <w:sz w:val="16"/>
                <w:szCs w:val="16"/>
                <w:color w:val="auto"/>
                <w:w w:val="90"/>
              </w:rPr>
              <w:t>issued upon</w:t>
            </w:r>
          </w:p>
        </w:tc>
        <w:tc>
          <w:tcPr>
            <w:tcW w:w="6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88"/>
              </w:rPr>
              <w:t>average exercise</w:t>
            </w:r>
          </w:p>
        </w:tc>
        <w:tc>
          <w:tcPr>
            <w:tcW w:w="22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0"/>
              </w:rPr>
              <w:t>compensation</w:t>
            </w:r>
          </w:p>
        </w:tc>
      </w:tr>
      <w:tr>
        <w:trPr>
          <w:trHeight w:val="197"/>
        </w:trPr>
        <w:tc>
          <w:tcPr>
            <w:tcW w:w="1340" w:type="dxa"/>
            <w:vAlign w:val="bottom"/>
            <w:gridSpan w:val="3"/>
          </w:tcPr>
          <w:p>
            <w:pPr>
              <w:jc w:val="center"/>
              <w:ind w:right="143"/>
              <w:spacing w:after="0"/>
              <w:rPr>
                <w:sz w:val="20"/>
                <w:szCs w:val="20"/>
                <w:color w:val="auto"/>
              </w:rPr>
            </w:pPr>
            <w:r>
              <w:rPr>
                <w:rFonts w:ascii="Arial" w:cs="Arial" w:eastAsia="Arial" w:hAnsi="Arial"/>
                <w:sz w:val="16"/>
                <w:szCs w:val="16"/>
                <w:color w:val="auto"/>
                <w:w w:val="90"/>
              </w:rPr>
              <w:t>exercise of</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8"/>
              <w:spacing w:after="0"/>
              <w:rPr>
                <w:sz w:val="20"/>
                <w:szCs w:val="20"/>
                <w:color w:val="auto"/>
              </w:rPr>
            </w:pPr>
            <w:r>
              <w:rPr>
                <w:rFonts w:ascii="Arial" w:cs="Arial" w:eastAsia="Arial" w:hAnsi="Arial"/>
                <w:sz w:val="16"/>
                <w:szCs w:val="16"/>
                <w:color w:val="auto"/>
                <w:w w:val="99"/>
              </w:rPr>
              <w:t>price of</w:t>
            </w:r>
          </w:p>
        </w:tc>
        <w:tc>
          <w:tcPr>
            <w:tcW w:w="22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5"/>
              </w:rPr>
              <w:t>plans (excluding</w:t>
            </w:r>
          </w:p>
        </w:tc>
      </w:tr>
      <w:tr>
        <w:trPr>
          <w:trHeight w:val="197"/>
        </w:trPr>
        <w:tc>
          <w:tcPr>
            <w:tcW w:w="1340" w:type="dxa"/>
            <w:vAlign w:val="bottom"/>
            <w:gridSpan w:val="3"/>
          </w:tcPr>
          <w:p>
            <w:pPr>
              <w:jc w:val="center"/>
              <w:ind w:right="143"/>
              <w:spacing w:after="0"/>
              <w:rPr>
                <w:sz w:val="20"/>
                <w:szCs w:val="20"/>
                <w:color w:val="auto"/>
              </w:rPr>
            </w:pPr>
            <w:r>
              <w:rPr>
                <w:rFonts w:ascii="Arial" w:cs="Arial" w:eastAsia="Arial" w:hAnsi="Arial"/>
                <w:sz w:val="16"/>
                <w:szCs w:val="16"/>
                <w:color w:val="auto"/>
                <w:w w:val="94"/>
              </w:rPr>
              <w:t>outstanding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8"/>
              <w:spacing w:after="0"/>
              <w:rPr>
                <w:sz w:val="20"/>
                <w:szCs w:val="20"/>
                <w:color w:val="auto"/>
              </w:rPr>
            </w:pPr>
            <w:r>
              <w:rPr>
                <w:rFonts w:ascii="Arial" w:cs="Arial" w:eastAsia="Arial" w:hAnsi="Arial"/>
                <w:sz w:val="16"/>
                <w:szCs w:val="16"/>
                <w:color w:val="auto"/>
                <w:w w:val="91"/>
              </w:rPr>
              <w:t>outstanding</w:t>
            </w:r>
          </w:p>
        </w:tc>
        <w:tc>
          <w:tcPr>
            <w:tcW w:w="22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1"/>
              </w:rPr>
              <w:t>securities</w:t>
            </w:r>
          </w:p>
        </w:tc>
      </w:tr>
      <w:tr>
        <w:trPr>
          <w:trHeight w:val="197"/>
        </w:trPr>
        <w:tc>
          <w:tcPr>
            <w:tcW w:w="1340" w:type="dxa"/>
            <w:vAlign w:val="bottom"/>
            <w:gridSpan w:val="3"/>
          </w:tcPr>
          <w:p>
            <w:pPr>
              <w:jc w:val="center"/>
              <w:ind w:right="143"/>
              <w:spacing w:after="0"/>
              <w:rPr>
                <w:sz w:val="20"/>
                <w:szCs w:val="20"/>
                <w:color w:val="auto"/>
              </w:rPr>
            </w:pPr>
            <w:r>
              <w:rPr>
                <w:rFonts w:ascii="Arial" w:cs="Arial" w:eastAsia="Arial" w:hAnsi="Arial"/>
                <w:sz w:val="16"/>
                <w:szCs w:val="16"/>
                <w:color w:val="auto"/>
                <w:w w:val="93"/>
              </w:rPr>
              <w:t>options, warrants</w:t>
            </w:r>
          </w:p>
        </w:tc>
        <w:tc>
          <w:tcPr>
            <w:tcW w:w="6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1"/>
              </w:rPr>
              <w:t>options, warrants</w:t>
            </w:r>
          </w:p>
        </w:tc>
        <w:tc>
          <w:tcPr>
            <w:tcW w:w="22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4"/>
              </w:rPr>
              <w:t>reflected in</w:t>
            </w:r>
          </w:p>
        </w:tc>
      </w:tr>
      <w:tr>
        <w:trPr>
          <w:trHeight w:val="197"/>
        </w:trPr>
        <w:tc>
          <w:tcPr>
            <w:tcW w:w="1340" w:type="dxa"/>
            <w:vAlign w:val="bottom"/>
            <w:gridSpan w:val="3"/>
          </w:tcPr>
          <w:p>
            <w:pPr>
              <w:jc w:val="center"/>
              <w:ind w:right="143"/>
              <w:spacing w:after="0"/>
              <w:rPr>
                <w:sz w:val="20"/>
                <w:szCs w:val="20"/>
                <w:color w:val="auto"/>
              </w:rPr>
            </w:pPr>
            <w:r>
              <w:rPr>
                <w:rFonts w:ascii="Arial" w:cs="Arial" w:eastAsia="Arial" w:hAnsi="Arial"/>
                <w:sz w:val="16"/>
                <w:szCs w:val="16"/>
                <w:color w:val="auto"/>
                <w:w w:val="93"/>
              </w:rPr>
              <w:t>and rights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8"/>
              <w:spacing w:after="0"/>
              <w:rPr>
                <w:sz w:val="20"/>
                <w:szCs w:val="20"/>
                <w:color w:val="auto"/>
              </w:rPr>
            </w:pPr>
            <w:r>
              <w:rPr>
                <w:rFonts w:ascii="Arial" w:cs="Arial" w:eastAsia="Arial" w:hAnsi="Arial"/>
                <w:sz w:val="16"/>
                <w:szCs w:val="16"/>
                <w:color w:val="auto"/>
                <w:w w:val="91"/>
              </w:rPr>
              <w:t>and rights</w:t>
            </w:r>
          </w:p>
        </w:tc>
        <w:tc>
          <w:tcPr>
            <w:tcW w:w="22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6"/>
              </w:rPr>
              <w:t>column (a))</w:t>
            </w:r>
          </w:p>
        </w:tc>
      </w:tr>
      <w:tr>
        <w:trPr>
          <w:trHeight w:val="214"/>
        </w:trPr>
        <w:tc>
          <w:tcPr>
            <w:tcW w:w="1340" w:type="dxa"/>
            <w:vAlign w:val="bottom"/>
            <w:gridSpan w:val="3"/>
          </w:tcPr>
          <w:p>
            <w:pPr>
              <w:jc w:val="center"/>
              <w:ind w:right="143"/>
              <w:spacing w:after="0"/>
              <w:rPr>
                <w:sz w:val="20"/>
                <w:szCs w:val="20"/>
                <w:color w:val="auto"/>
              </w:rPr>
            </w:pPr>
            <w:r>
              <w:rPr>
                <w:rFonts w:ascii="Arial" w:cs="Arial" w:eastAsia="Arial" w:hAnsi="Arial"/>
                <w:sz w:val="16"/>
                <w:szCs w:val="16"/>
                <w:color w:val="auto"/>
                <w:w w:val="91"/>
              </w:rPr>
              <w:t>(a)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8"/>
              <w:spacing w:after="0"/>
              <w:rPr>
                <w:sz w:val="20"/>
                <w:szCs w:val="20"/>
                <w:color w:val="auto"/>
              </w:rPr>
            </w:pPr>
            <w:r>
              <w:rPr>
                <w:rFonts w:ascii="Arial" w:cs="Arial" w:eastAsia="Arial" w:hAnsi="Arial"/>
                <w:sz w:val="16"/>
                <w:szCs w:val="16"/>
                <w:color w:val="auto"/>
              </w:rPr>
              <w:t>(b)</w:t>
            </w:r>
          </w:p>
        </w:tc>
        <w:tc>
          <w:tcPr>
            <w:tcW w:w="22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6"/>
                <w:szCs w:val="16"/>
                <w:color w:val="auto"/>
                <w:w w:val="96"/>
              </w:rPr>
              <w:t>(c)</w:t>
            </w:r>
          </w:p>
        </w:tc>
      </w:tr>
      <w:tr>
        <w:trPr>
          <w:trHeight w:val="185"/>
        </w:trPr>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Nil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8"/>
              <w:spacing w:after="0"/>
              <w:rPr>
                <w:sz w:val="20"/>
                <w:szCs w:val="20"/>
                <w:color w:val="auto"/>
              </w:rPr>
            </w:pPr>
            <w:r>
              <w:rPr>
                <w:rFonts w:ascii="Arial" w:cs="Arial" w:eastAsia="Arial" w:hAnsi="Arial"/>
                <w:sz w:val="16"/>
                <w:szCs w:val="16"/>
                <w:color w:val="auto"/>
              </w:rPr>
              <w:t>Nil</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Nil</w:t>
            </w:r>
          </w:p>
        </w:tc>
        <w:tc>
          <w:tcPr>
            <w:tcW w:w="20" w:type="dxa"/>
            <w:vAlign w:val="bottom"/>
          </w:tcPr>
          <w:p>
            <w:pPr>
              <w:spacing w:after="0"/>
              <w:rPr>
                <w:sz w:val="16"/>
                <w:szCs w:val="16"/>
                <w:color w:val="auto"/>
              </w:rPr>
            </w:pPr>
          </w:p>
        </w:tc>
      </w:tr>
      <w:tr>
        <w:trPr>
          <w:trHeight w:val="214"/>
        </w:trPr>
        <w:tc>
          <w:tcPr>
            <w:tcW w:w="1340" w:type="dxa"/>
            <w:vAlign w:val="bottom"/>
            <w:gridSpan w:val="3"/>
          </w:tcPr>
          <w:p>
            <w:pPr>
              <w:jc w:val="right"/>
              <w:ind w:right="3"/>
              <w:spacing w:after="0"/>
              <w:rPr>
                <w:sz w:val="20"/>
                <w:szCs w:val="20"/>
                <w:color w:val="auto"/>
              </w:rPr>
            </w:pPr>
            <w:r>
              <w:rPr>
                <w:rFonts w:ascii="Arial" w:cs="Arial" w:eastAsia="Arial" w:hAnsi="Arial"/>
                <w:sz w:val="16"/>
                <w:szCs w:val="16"/>
                <w:color w:val="auto"/>
              </w:rPr>
              <w:t>65,430</w:t>
            </w:r>
            <w:r>
              <w:rPr>
                <w:rFonts w:ascii="Arial" w:cs="Arial" w:eastAsia="Arial" w:hAnsi="Arial"/>
                <w:sz w:val="11"/>
                <w:szCs w:val="11"/>
                <w:color w:val="auto"/>
              </w:rPr>
              <w:t>(1)</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18.00</w:t>
            </w:r>
          </w:p>
        </w:tc>
        <w:tc>
          <w:tcPr>
            <w:tcW w:w="1380" w:type="dxa"/>
            <w:vAlign w:val="bottom"/>
            <w:gridSpan w:val="3"/>
          </w:tcPr>
          <w:p>
            <w:pPr>
              <w:jc w:val="right"/>
              <w:ind w:right="20"/>
              <w:spacing w:after="0"/>
              <w:rPr>
                <w:sz w:val="20"/>
                <w:szCs w:val="20"/>
                <w:color w:val="auto"/>
              </w:rPr>
            </w:pPr>
            <w:r>
              <w:rPr>
                <w:rFonts w:ascii="Arial" w:cs="Arial" w:eastAsia="Arial" w:hAnsi="Arial"/>
                <w:sz w:val="16"/>
                <w:szCs w:val="16"/>
                <w:color w:val="auto"/>
              </w:rPr>
              <w:t>34,570</w:t>
            </w:r>
          </w:p>
        </w:tc>
      </w:tr>
      <w:tr>
        <w:trPr>
          <w:trHeight w:val="197"/>
        </w:trPr>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65,430</w:t>
            </w:r>
          </w:p>
        </w:tc>
        <w:tc>
          <w:tcPr>
            <w:tcW w:w="180" w:type="dxa"/>
            <w:vAlign w:val="bottom"/>
          </w:tcPr>
          <w:p>
            <w:pPr>
              <w:jc w:val="right"/>
              <w:ind w:right="3"/>
              <w:spacing w:after="0"/>
              <w:rPr>
                <w:sz w:val="20"/>
                <w:szCs w:val="20"/>
                <w:color w:val="auto"/>
              </w:rPr>
            </w:pPr>
            <w:r>
              <w:rPr>
                <w:rFonts w:ascii="Arial" w:cs="Arial" w:eastAsia="Arial" w:hAnsi="Arial"/>
                <w:sz w:val="11"/>
                <w:szCs w:val="11"/>
                <w:color w:val="auto"/>
                <w:w w:val="74"/>
              </w:rPr>
              <w:t>(1)</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18.00</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34,570</w:t>
            </w:r>
          </w:p>
        </w:tc>
        <w:tc>
          <w:tcPr>
            <w:tcW w:w="20" w:type="dxa"/>
            <w:vAlign w:val="bottom"/>
          </w:tcPr>
          <w:p>
            <w:pPr>
              <w:spacing w:after="0"/>
              <w:rPr>
                <w:sz w:val="17"/>
                <w:szCs w:val="17"/>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2">
            <w:col w:w="6721" w:space="720"/>
            <w:col w:w="3980"/>
          </w:cols>
          <w:pgMar w:left="239" w:top="480" w:right="239" w:bottom="1440" w:gutter="0" w:footer="0" w:header="0"/>
          <w:type w:val="continuous"/>
        </w:sectPr>
      </w:pPr>
    </w:p>
    <w:p>
      <w:pPr>
        <w:ind w:left="181" w:hanging="181"/>
        <w:spacing w:after="0"/>
        <w:tabs>
          <w:tab w:leader="none" w:pos="181"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The plan under which these shares were issued was approved by the Board of Directors and the shareholders in 2009 but did not come into effect until February 22, 2010.</w:t>
      </w:r>
    </w:p>
    <w:p>
      <w:pPr>
        <w:spacing w:after="0" w:line="20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Stock Incentive Plan</w:t>
      </w:r>
    </w:p>
    <w:p>
      <w:pPr>
        <w:spacing w:after="0" w:line="239" w:lineRule="exact"/>
        <w:rPr>
          <w:sz w:val="20"/>
          <w:szCs w:val="20"/>
          <w:color w:val="auto"/>
        </w:rPr>
      </w:pPr>
    </w:p>
    <w:p>
      <w:pPr>
        <w:jc w:val="both"/>
        <w:ind w:left="1"/>
        <w:spacing w:after="0" w:line="272" w:lineRule="auto"/>
        <w:rPr>
          <w:sz w:val="20"/>
          <w:szCs w:val="20"/>
          <w:color w:val="auto"/>
        </w:rPr>
      </w:pPr>
      <w:r>
        <w:rPr>
          <w:rFonts w:ascii="Arial" w:cs="Arial" w:eastAsia="Arial" w:hAnsi="Arial"/>
          <w:sz w:val="16"/>
          <w:szCs w:val="16"/>
          <w:color w:val="auto"/>
        </w:rPr>
        <w:t>On October 14, 2009, the Company adopted the 2009 Stock Incentive Plan (the “2009 Plan”). The 2009 Plan allows for the issuance of up to 100,000 common shares. Options granted under the Plan shall be at prices and for terms as determined by our Board of Directors, and may have vesting requirements as determined by our Board of Directors. To date, 65,430 options have been issued under the 2009 Plan.</w:t>
      </w:r>
    </w:p>
    <w:p>
      <w:pPr>
        <w:spacing w:after="0" w:line="187"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The foregoing summary of the 2009 Stock Incentive Plan is not complete and is qualified in its entirety by reference to the 2009 Stock Incentive Plan, a copy of which has been filed with the SEC.</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4"/>
          <w:szCs w:val="14"/>
          <w:color w:val="auto"/>
        </w:rPr>
        <w:t>On March 19, 2014, we adopted the 2014 Omnibus Stock Option Plan (“2014 Plan”). The 2014 Plan allows for the issuance of 2,500,000 options to acquire common shares.</w:t>
      </w:r>
    </w:p>
    <w:p>
      <w:pPr>
        <w:spacing w:after="0" w:line="25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Warrants</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color w:val="auto"/>
        </w:rPr>
        <w:t>As of April 10, 2014, there are an aggregate of 254,212 common stock purchase warrants issued and outstanding.</w:t>
      </w:r>
    </w:p>
    <w:p>
      <w:pPr>
        <w:spacing w:after="0" w:line="23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Company has previously reported all issuances of unregistered equity during the year ended December 31, 2013 and in 2014 through to the date of March 24, 2014.</w:t>
      </w:r>
    </w:p>
    <w:p>
      <w:pPr>
        <w:spacing w:after="0" w:line="246" w:lineRule="exact"/>
        <w:rPr>
          <w:sz w:val="20"/>
          <w:szCs w:val="20"/>
          <w:color w:val="auto"/>
        </w:rPr>
      </w:pPr>
    </w:p>
    <w:p>
      <w:pPr>
        <w:jc w:val="both"/>
        <w:ind w:left="1"/>
        <w:spacing w:after="0" w:line="272" w:lineRule="auto"/>
        <w:rPr>
          <w:sz w:val="20"/>
          <w:szCs w:val="20"/>
          <w:color w:val="auto"/>
        </w:rPr>
      </w:pPr>
      <w:r>
        <w:rPr>
          <w:rFonts w:ascii="Arial" w:cs="Arial" w:eastAsia="Arial" w:hAnsi="Arial"/>
          <w:sz w:val="16"/>
          <w:szCs w:val="16"/>
          <w:color w:val="auto"/>
        </w:rPr>
        <w:t>On March 24, 2014, we issued 145,000 shares of our common stock to one person for the settlement of approximately $127,040 worth of debt, and on April 4, 2014, we issued 244,764 shares of common stock to the same person for the settlement of approximately $214,446 worth of debt. We made both of these issuances of unregistered equity securities in reliance on the registration exemption provided by Section 3(a)(10) of the Securities Act of 1933.</w:t>
      </w:r>
    </w:p>
    <w:p>
      <w:pPr>
        <w:spacing w:after="0" w:line="187"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On April 1, 2014, the Company granted five-year warrants to purchase 100,000 shares of common stock to a consultant. Each of those warrants is exercisable at $3.65. We made this issuance in reliance on the registration exemption provided by Section 4(2) of the Securities Act of 1933.</w:t>
      </w:r>
    </w:p>
    <w:p>
      <w:pPr>
        <w:spacing w:after="0" w:line="170" w:lineRule="exact"/>
        <w:rPr>
          <w:sz w:val="20"/>
          <w:szCs w:val="20"/>
          <w:color w:val="auto"/>
        </w:rPr>
      </w:pPr>
    </w:p>
    <w:p>
      <w:pPr>
        <w:ind w:left="1"/>
        <w:spacing w:after="0"/>
        <w:tabs>
          <w:tab w:leader="none" w:pos="781" w:val="left"/>
        </w:tabs>
        <w:rPr>
          <w:sz w:val="20"/>
          <w:szCs w:val="20"/>
          <w:color w:val="auto"/>
        </w:rPr>
      </w:pPr>
      <w:r>
        <w:rPr>
          <w:rFonts w:ascii="Arial" w:cs="Arial" w:eastAsia="Arial" w:hAnsi="Arial"/>
          <w:sz w:val="16"/>
          <w:szCs w:val="16"/>
          <w:b w:val="1"/>
          <w:bCs w:val="1"/>
          <w:color w:val="auto"/>
        </w:rPr>
        <w:t>ITEM 6.</w:t>
        <w:tab/>
        <w:t>SELECTED FINANCIAL DATA</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color w:val="auto"/>
        </w:rPr>
        <w:t>We are a smaller reporting company as defined by Rule 12b-2 of the Exchange Act are not required to provide the information required under this item.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80" w:right="239" w:bottom="1440" w:gutter="0" w:footer="0" w:header="0"/>
          <w:type w:val="continuous"/>
        </w:sectPr>
      </w:pPr>
    </w:p>
    <w:bookmarkStart w:id="15" w:name="page16"/>
    <w:bookmarkEnd w:id="15"/>
    <w:p>
      <w:pPr>
        <w:spacing w:after="0"/>
        <w:tabs>
          <w:tab w:leader="none" w:pos="90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following discussion of our financial condition, changes in financial condition, plan of operations and results of operations should be read in conjunction with (i) our audited consolidated financial statements as at December 31, 2013 and for the period from inception (July 27, 1999) to December 31, 2013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of Operations</w:t>
      </w:r>
    </w:p>
    <w:p>
      <w:pPr>
        <w:spacing w:after="0" w:line="239"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Management believes that our platform technologies combine to make the most comprehensive vaccines in development today. The comprehensive approach of stimulating both the helper and killer T-cell response to cancer antigens is essential in having an effective and long lasting killing effect on tumor and infected cells.</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Jan 10, 2014 the shareholders and the Board of Directors approved a reverse stock split whereby every one hundred (100) shares of common stock held by a Tapimmune stockholder was exchanged for one share of Tapimmune common stock (the “Reverse Stock Split”). The Board of Directors set the close of business on the twentieth day following the mailing of an Information Statement to the shareholders as the date on which to file a “Certificate Pursuant to NRS 78.209” with the Nevada Secretary of State to make the Reverse Stock Split effective. Every one hundred (100) shares of common stock issued and outstanding immediately prior to that effective date was reclassified as and changed into one share of common stock.</w:t>
      </w:r>
    </w:p>
    <w:p>
      <w:pPr>
        <w:jc w:val="both"/>
        <w:spacing w:after="0" w:line="262" w:lineRule="auto"/>
        <w:rPr>
          <w:sz w:val="20"/>
          <w:szCs w:val="20"/>
          <w:color w:val="auto"/>
        </w:rPr>
      </w:pPr>
      <w:r>
        <w:rPr>
          <w:rFonts w:ascii="Arial" w:cs="Arial" w:eastAsia="Arial" w:hAnsi="Arial"/>
          <w:sz w:val="16"/>
          <w:szCs w:val="16"/>
          <w:color w:val="auto"/>
        </w:rPr>
        <w:t>The principal effect of the Reverse Stock Split decreased the number of outstanding shares of common stock. At the time of the approval of the Reverse Stock Split by the shareholders on January 10, 2014, we had approximately 145,000,000 common shares outstanding, which number was reduced to approximately 1,450,000 shares as a result of the Reverse Stock Split. The respective relative voting rights and other rights that accompany the common stock were not altered and the common stock continues to have a par value of $0.001 per share.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Reasons for, and the effect of, the Proposed Reverse Stock Split</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Management undertook the Reverse Stock Split with three goals in mind: (i) reduce the Company’s debt by creating a capital structure that would be attractive enough to the then debt-holders of the Company to entice them to convert into shares of the Company; (ii) position the Company so that upon a successful capital raise it could up-list on a NASDAQ market; (iii) create a capital structure, by increasing the authorized number of shares, which would allow the Company to make acquisitions or raise additional capital or both. On the date of the written consent the company had essentially no shares available for issuance for any purpose as the remaining 5,000,000 (and more) were reserved for issuance to our debtors.</w:t>
      </w:r>
    </w:p>
    <w:p>
      <w:pPr>
        <w:spacing w:after="0" w:line="191"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After the Reverse Stock Split, debt settlement conversions and amendment to the articles of incorporation, the common stock outstanding was approximately 16,000,000 shares, providing us with 484,000,000 authorized but unissued shares of common stock to proceed with a capital raise through the sale of common stock.</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a result of the Company’s recent restructure, approximately $5,000,000 of debt and bridge debt has been converted into common shares via of our preferred stock which, in turn, was converted into approximately 11,500,000 of our common shares upon the effectiveness of the Reverse Stock Split and the amendment to the articles of incorporation. While there was no guarantee of success in this effort, these efforts have allowed us to reduce the debt held on our books by approximately $5,000,000 (including recently added bridge funded convertible debt) and allow the prior shareholders to maintain an approximately 9.5% of the outstanding common stock upon the completion of the restructuring.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conversions and stock issuances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In regard to the above explanation and pursuant to our articles of incorporation, we were authorized to issue up to 5,000,000 shares of preferred stock.</w:t>
      </w:r>
    </w:p>
    <w:p>
      <w:pPr>
        <w:spacing w:after="0" w:line="235"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We greatly reduced the debt outstanding on our balance sheet by converting debt into shares of preferred stock, which in turn converted into shares of common stock upon the occurrence of the Reverse Stock Split pursuant to applicable certificates of designation. On January 7, 2014, we filed a certificate of designation to create up to 1,250,000 shares of Series A Convertible Preferred Stock. Between January 7, 2014 and February 18, 2014, we converted debt totaling approximately $3,497,570 into 874,393 shares of Series A Convertible Preferred Stock. Upon the occurrence of the Reverse Stock Split on February 18, 2014, the Series A Convertible Preferred Shares converted into approximately 4,371,964 shares of common stock. Also on February 18, 2014, approximately $1,376,946 of outstanding debt converted into 1,376,946 shares of Series B Convertible Preferred Stock, which in turn converted into approximately 8,512,900 shares of common stock. As a result of these issuances, we have approximately 15,647,422 shares of our common stock currently issued and outstanding. These transactions were not registered under the Act in reliance on the exemption from registration in Section 4(2) of the Act, as a transaction not involving any public offering. We issued a press release on February 25, 2014 discussing these and other matters and further details are available in the filed Form 14c and Form 8-Ks describing the corporate actions.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Current State of the Company</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market and investment community have supported and applauded the restructuring effort undertaken. With the support of the creditors and their agreement to convert debt to new equity we have a significantly stronger balance sheet to present to the investor community and we expect to attract the financial backing of some of the most respected names in life science to aid us in executing our product development plans and to provide fuel for our growth. For 2014, we have ambitious plans to advance and deepen our pipeline as we expand operations and explore strategic business development opportunities. Following is a partial summary of the progress we made over the last six months, as well as an overview of our objectives for 2014.</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2013, our Her2/neu clinical program continued with full recruitment of breast cancer patients, progression through initial safety checkpoint and demonstration of immune responses. We also saw a major advancement in technology development in our own laboratories with “proof of concept” that our new and novel expression vector technology (Polystart™) could provide a much greater signal for T-cells to kill abnormal cells and become a platform technology from which we can build out multiple applications and revenue streams. Additional data and information will be forthcoming as we attempt to further secure the intellectual property around this exciting technology advancement.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During 2013, results from our infectious disease program have opened several business development opportunities we expect to solidify by the end of 2014.</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March 3, 2014 the company announced positive interim data on the Phase I clinical trial in Her2/neu positive breast cancer. The TPIV vaccines address a significant unmet market need. They are applicable to a much larger and broader patient population than current ‘standard of care’ therapies like Herceptin by Roche, which is useful for only 15-20% of the Her2/neu Breast Cancer patient population. Herceptin is not designed to kill tumor cells; it slows tumor growth. It is a very large market as evidenced by Herceptin’s 2013 sales exceeding $6 Billion. By contrast, our vaccine is applicable to over 50% of the Her2neu patient population AND is also not limited to breast cancer as Her2/neu is also target in Colorectal and Ovarian cancer where there are very few therapeutic options.</w:t>
      </w:r>
    </w:p>
    <w:p>
      <w:pPr>
        <w:spacing w:after="0" w:line="191"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Our Her2/neu vaccine combination is unique in that it is designed to stimulate killer T-Cells and the helper T-Cells that are needed to sustain the killer cells for a long lasting vaccine that kills tumor cells. Published data also supports a five-fold increase in killing efficacy compared to the development vaccine Neuvax by Galena.</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TPIV100 is completing Phase 1 with Phase lb/lla scheduled to start in Q4 2014.</w:t>
      </w: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March 19, 2014, we announced the licensing of a late stage phase l clinical program in ovarian cancer (Folate Alpha). We are very excited about the opportunity this therapeutic presents.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 alone, there are approximately 30,000 ovarian cancer patients newly diagnosed every year. Importantly, this patient population has very few treatment options and as a result our plan is to present a Phase II advancement plan in late 2014 with an application for Orphan Drug Status. Orphan drug status is allowed by the FDA in cases where the disease affects fewer than 200,000 people in the USA and makes allowances for an accelerated regulatory process and sales of the drug for 7 years without competition.</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March 20, 2014, the Company announced the filing of new intellectual property for Polystart™. This is a unique vaccine platform Antigen Expression Systems that ‘boosts’ the presentation of the desired peptide on the surface of the cell for the Killer T-Cells to recognize and kill. This totally novel system creates a four-fold increase in antigen presentation and in current studies in smallpox has shown to be working very well. We own this technology exclusively and believe that it has unlimited application in oncology and infectious diseases not only in our own platforms but can be applied to many others via licensing. Ideal candidates include Provenge, Yervoy and many more.</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Infectious Disease and National Preparedness is another very significant market and ideal therapeutic area for the TPIV vaccine conjugate. Along with novel peptides and the Polystart™ expression system the TPIV vaccine platform can address multiple infectious disease s as well as pandemic and biodefense threats. Our current Smallpox vaccine study at Mayo Clinic has already shown significant benefits over the current vaccine stockpile. The last DHHS/BARDA contract for a smallpox vaccine stockpile contract was worth $3 Billion. (http://www.dddmag.com/news/2011/02/siga-track-billion-dollar-smallpox-contract)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Upcoming 2014 milestones include:</w:t>
      </w:r>
    </w:p>
    <w:p>
      <w:pPr>
        <w:spacing w:after="0" w:line="235" w:lineRule="exact"/>
        <w:rPr>
          <w:sz w:val="20"/>
          <w:szCs w:val="20"/>
          <w:color w:val="auto"/>
        </w:rPr>
      </w:pPr>
    </w:p>
    <w:p>
      <w:pPr>
        <w:ind w:left="580" w:hanging="298"/>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interim data on immune responses in the Her2/neu trial.</w:t>
      </w:r>
    </w:p>
    <w:p>
      <w:pPr>
        <w:spacing w:after="0" w:line="24" w:lineRule="exact"/>
        <w:rPr>
          <w:rFonts w:ascii="Arial" w:cs="Arial" w:eastAsia="Arial" w:hAnsi="Arial"/>
          <w:sz w:val="16"/>
          <w:szCs w:val="16"/>
          <w:color w:val="auto"/>
        </w:rPr>
      </w:pPr>
    </w:p>
    <w:p>
      <w:pPr>
        <w:ind w:left="580" w:hanging="286"/>
        <w:spacing w:after="0"/>
        <w:tabs>
          <w:tab w:leader="none" w:pos="58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Initial interim data on the Folate Alpha trial in breast and ovarian cancer.</w:t>
      </w:r>
    </w:p>
    <w:p>
      <w:pPr>
        <w:spacing w:after="0" w:line="13" w:lineRule="exact"/>
        <w:rPr>
          <w:rFonts w:ascii="Arial" w:cs="Arial" w:eastAsia="Arial" w:hAnsi="Arial"/>
          <w:sz w:val="16"/>
          <w:szCs w:val="16"/>
          <w:color w:val="auto"/>
        </w:rPr>
      </w:pPr>
    </w:p>
    <w:p>
      <w:pPr>
        <w:ind w:left="580" w:hanging="286"/>
        <w:spacing w:after="0" w:line="257" w:lineRule="auto"/>
        <w:tabs>
          <w:tab w:leader="none" w:pos="580" w:val="left"/>
        </w:tabs>
        <w:numPr>
          <w:ilvl w:val="1"/>
          <w:numId w:val="4"/>
        </w:numPr>
        <w:rPr>
          <w:rFonts w:ascii="Arial" w:cs="Arial" w:eastAsia="Arial" w:hAnsi="Arial"/>
          <w:sz w:val="16"/>
          <w:szCs w:val="16"/>
          <w:color w:val="auto"/>
        </w:rPr>
      </w:pPr>
      <w:r>
        <w:rPr>
          <w:rFonts w:ascii="Arial" w:cs="Arial" w:eastAsia="Arial" w:hAnsi="Arial"/>
          <w:sz w:val="16"/>
          <w:szCs w:val="16"/>
          <w:color w:val="auto"/>
        </w:rPr>
        <w:t>Final data on pre-clinical small animal studies in smallpox at Mayo Clinic and decision on advancement to non-human primates and license deal and partnering opportunities.</w:t>
      </w:r>
    </w:p>
    <w:p>
      <w:pPr>
        <w:ind w:left="580" w:hanging="286"/>
        <w:spacing w:after="0"/>
        <w:tabs>
          <w:tab w:leader="none" w:pos="580" w:val="left"/>
        </w:tabs>
        <w:numPr>
          <w:ilvl w:val="1"/>
          <w:numId w:val="4"/>
        </w:numPr>
        <w:rPr>
          <w:rFonts w:ascii="Arial" w:cs="Arial" w:eastAsia="Arial" w:hAnsi="Arial"/>
          <w:sz w:val="16"/>
          <w:szCs w:val="16"/>
          <w:color w:val="auto"/>
        </w:rPr>
      </w:pPr>
      <w:r>
        <w:rPr>
          <w:rFonts w:ascii="Arial" w:cs="Arial" w:eastAsia="Arial" w:hAnsi="Arial"/>
          <w:sz w:val="16"/>
          <w:szCs w:val="16"/>
          <w:color w:val="auto"/>
        </w:rPr>
        <w:t>Uplisting to NASDAQ in 2014</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opening of our new laboratories and offices at 1551 Eastlake Avenue, Seattle, on January 23, 2012 represented a significant advance for the Company on several fronts. First, our sub-lease and service agreements with the Puget Sound Blood Center Research Institute enabled our scientific team to access a wide array of functioning core labs and shared equipment relevant to all aspects of development of our gene-based product candidates. Second, such an arrangement allowed TapImmune staff to discover and start the development of our Polystart™ nucleic acid-based expression vector technology and start to move it towards the clinic. Third, we now have the capabilities to produce and test a range of proprietary Polystart™ -based expression vectors for both cancer and infectious disease and to expand our external collaborations. Fourth, the development of Polystart™ allows us to significantly enhance our intellectual property portfolio.</w:t>
      </w:r>
    </w:p>
    <w:p>
      <w:pPr>
        <w:spacing w:after="0" w:line="195"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In addition to the use of our facilities on Eastlake Avenue, we continue to leverage considerable resources through our external collaborations. In 2013 we had to downsize our in-house technical due to resource constraints. We plan to enhance our technical team in 2014 under the leadership of Dr. Bob Florkiewicz. Bob has held academic and biotech positions over a career spanning 25 years, including Scientific Founder of Ciblex Corporation, Bob is also a registered U.S. Patent Agent with previous in-house experience managing the Intellectual Property assets at ID Biomedical Corporation (Bothell, WA). Bob is the inventor of the Company’s Polystart™ technology. Mark Reddish is a member of the Company’s Board of Directors and serves as an Advisor in the area of product Development. Mark is a recognized leader in vaccine technology development with an impressive track record in taking leading immunotherapy products from early research through development, both in the areas of cancer vaccines and biodefense. He was formerly Vice President of Product Development and Principal Investigator, Biodefense at ID Biomedical, Bothell, WA, prior to the acquisition of the company by Glaxo SmithKline for $1.6 billion. At Biomira Inc, (renamed Oncothyreon) he was responsible for preclinical development of their cancer vaccines program.</w:t>
      </w:r>
    </w:p>
    <w:p>
      <w:pPr>
        <w:spacing w:after="0" w:line="183"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Our collaborator Dr Keith Knutson joined the Vaccine and Gene Therapy Research Institute of Florida in 2013 as Research Program Director in Oncology and a Full Member of the Institute. He retains an adjunct position at the Mayo Clinic that maintains oversight and analysis of the Phase I clinical trial in Her2/neu breast cancer.</w:t>
      </w:r>
    </w:p>
    <w:p>
      <w:pPr>
        <w:spacing w:after="0" w:line="15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w:t>
      </w:r>
    </w:p>
    <w:p>
      <w:pPr>
        <w:spacing w:after="0" w:line="191"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Year Ended December 31, 2013 Compared to the Year Ended December 31, 2012</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In this discussion of the Company’s results of operations and financial condition, amounts, other than per-share amounts, have been rounded to the nearest thousand dollars.</w:t>
      </w:r>
    </w:p>
    <w:p>
      <w:pPr>
        <w:spacing w:after="0" w:line="2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development stage company. We recorded a net loss of $5,533,000 during the Year Ended December 31, 2013 compared to $6,172,000 for the Year Ended December 31, 2012.</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i w:val="1"/>
          <w:iCs w:val="1"/>
          <w:color w:val="auto"/>
        </w:rPr>
        <w:t>Operating Expenses</w:t>
      </w:r>
    </w:p>
    <w:p>
      <w:pPr>
        <w:spacing w:after="0" w:line="23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Operating expenses incurred during the fiscal year ended December 31, 2013 were $3,310,000 compared to $6,229,000 in the prior year. Significant changes and expenditures are outlined as follows:</w:t>
      </w:r>
    </w:p>
    <w:p>
      <w:pPr>
        <w:spacing w:after="0" w:line="174" w:lineRule="exact"/>
        <w:rPr>
          <w:sz w:val="20"/>
          <w:szCs w:val="20"/>
          <w:color w:val="auto"/>
        </w:rPr>
      </w:pPr>
    </w:p>
    <w:p>
      <w:pPr>
        <w:ind w:left="580" w:hanging="286"/>
        <w:spacing w:after="0" w:line="288"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Consulting fees were $185,000 during the fiscal year ended December 31, 2013 compared to $183,000 during the prior fiscal year. The decrease was due primarily to lower business development services that were entered into during the current year.</w:t>
      </w:r>
    </w:p>
    <w:p>
      <w:pPr>
        <w:spacing w:after="0" w:line="174" w:lineRule="exact"/>
        <w:rPr>
          <w:rFonts w:ascii="Arial" w:cs="Arial" w:eastAsia="Arial" w:hAnsi="Arial"/>
          <w:sz w:val="16"/>
          <w:szCs w:val="16"/>
          <w:color w:val="auto"/>
        </w:rPr>
      </w:pPr>
    </w:p>
    <w:p>
      <w:pPr>
        <w:ind w:left="580" w:hanging="286"/>
        <w:spacing w:after="0" w:line="288"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Stock-based consulting fees were $85,000 in the year ended December 31, 2013 compared to $2,316,000 in the prior year. The current and prior year charges result from the fair valuation of shares issued to consultants and options granted to or earned by consultants during such periods.</w:t>
      </w:r>
    </w:p>
    <w:p>
      <w:pPr>
        <w:spacing w:after="0" w:line="174" w:lineRule="exact"/>
        <w:rPr>
          <w:rFonts w:ascii="Arial" w:cs="Arial" w:eastAsia="Arial" w:hAnsi="Arial"/>
          <w:sz w:val="16"/>
          <w:szCs w:val="16"/>
          <w:color w:val="auto"/>
        </w:rPr>
      </w:pPr>
    </w:p>
    <w:p>
      <w:pPr>
        <w:ind w:left="580" w:hanging="286"/>
        <w:spacing w:after="0" w:line="288"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General and administrative expenses were $576,000 in the year ended December 31, 2013 compared to $1,012,000 in the prior year, with the decrease resulting primarily from lower payroll, investor relations and travel expenses.</w:t>
      </w:r>
    </w:p>
    <w:p>
      <w:pPr>
        <w:spacing w:after="0" w:line="174" w:lineRule="exact"/>
        <w:rPr>
          <w:rFonts w:ascii="Arial" w:cs="Arial" w:eastAsia="Arial" w:hAnsi="Arial"/>
          <w:sz w:val="16"/>
          <w:szCs w:val="16"/>
          <w:color w:val="auto"/>
        </w:rPr>
      </w:pPr>
    </w:p>
    <w:p>
      <w:pPr>
        <w:ind w:left="580" w:hanging="286"/>
        <w:spacing w:after="0" w:line="288"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Interest and finance charges were $646,000 during the fiscal year ended December 31, 2013 compared to $745,000 during the prior fiscal year. Current and prior period interest charges are primarily accretion of interest and the fair value of warrants issued with convertible notes.</w:t>
      </w:r>
    </w:p>
    <w:p>
      <w:pPr>
        <w:spacing w:after="0" w:line="174" w:lineRule="exact"/>
        <w:rPr>
          <w:rFonts w:ascii="Arial" w:cs="Arial" w:eastAsia="Arial" w:hAnsi="Arial"/>
          <w:sz w:val="16"/>
          <w:szCs w:val="16"/>
          <w:color w:val="auto"/>
        </w:rPr>
      </w:pPr>
    </w:p>
    <w:p>
      <w:pPr>
        <w:ind w:left="580" w:hanging="286"/>
        <w:spacing w:after="0" w:line="288"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Management fees were $264,000 in the year ended December 31, 2013 compared to $302,000 in the prior year, with the difference resulting primarily due to fewer management staff in the current year.</w:t>
      </w:r>
    </w:p>
    <w:p>
      <w:pPr>
        <w:spacing w:after="0" w:line="174" w:lineRule="exact"/>
        <w:rPr>
          <w:rFonts w:ascii="Arial" w:cs="Arial" w:eastAsia="Arial" w:hAnsi="Arial"/>
          <w:sz w:val="16"/>
          <w:szCs w:val="16"/>
          <w:color w:val="auto"/>
        </w:rPr>
      </w:pPr>
    </w:p>
    <w:p>
      <w:pPr>
        <w:ind w:left="580" w:hanging="286"/>
        <w:spacing w:after="0" w:line="288"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Management compensation – stock-based were $47,000 in the year ended December 31, 2013 compared to $124,000 in the prior year. The current and prior year charges result from the fair valuation of options granted to management that were earned during the year.</w:t>
      </w:r>
    </w:p>
    <w:p>
      <w:pPr>
        <w:spacing w:after="0" w:line="174" w:lineRule="exact"/>
        <w:rPr>
          <w:rFonts w:ascii="Arial" w:cs="Arial" w:eastAsia="Arial" w:hAnsi="Arial"/>
          <w:sz w:val="16"/>
          <w:szCs w:val="16"/>
          <w:color w:val="auto"/>
        </w:rPr>
      </w:pPr>
    </w:p>
    <w:p>
      <w:pPr>
        <w:ind w:left="580" w:hanging="286"/>
        <w:spacing w:after="0" w:line="288"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Professional fees were $845,000 in the year ended December 31, 2013 compared to $490,000 in the prior year. The increase from the prior year results due to higher legal fees incurred relating to debt issuance and settlements in the current year.</w:t>
      </w:r>
    </w:p>
    <w:p>
      <w:pPr>
        <w:spacing w:after="0" w:line="174" w:lineRule="exact"/>
        <w:rPr>
          <w:rFonts w:ascii="Arial" w:cs="Arial" w:eastAsia="Arial" w:hAnsi="Arial"/>
          <w:sz w:val="16"/>
          <w:szCs w:val="16"/>
          <w:color w:val="auto"/>
        </w:rPr>
      </w:pPr>
    </w:p>
    <w:p>
      <w:pPr>
        <w:ind w:left="580" w:hanging="286"/>
        <w:spacing w:after="0" w:line="288"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Research and development costs during the fiscal year ended December 31, 2013 were $661,000 compared to $1,057,000 during the prior fiscal year. This was due to lower technology licensing fee accrued for payment due to Mayo clinic and decreased research activity in the current year.</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net loss for the year ended December 31, 2013 was $5,533,000 or ($4.87) per share, compared to a net loss of $6,172,000 or ($9.42) per share in the prior year. The weighted average number of shares outstanding was 1,136,115 for the year ended December 31, 2013 compared to 655,269 for the prior year.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cash and working capital as of December 31, 2013 and 2012: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r>
      <w:tr>
        <w:trPr>
          <w:trHeight w:val="218"/>
        </w:trPr>
        <w:tc>
          <w:tcPr>
            <w:tcW w:w="8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r>
      <w:tr>
        <w:trPr>
          <w:trHeight w:val="382"/>
        </w:trPr>
        <w:tc>
          <w:tcPr>
            <w:tcW w:w="8700" w:type="dxa"/>
            <w:vAlign w:val="bottom"/>
          </w:tcPr>
          <w:p>
            <w:pPr>
              <w:ind w:left="140"/>
              <w:spacing w:after="0"/>
              <w:rPr>
                <w:sz w:val="20"/>
                <w:szCs w:val="20"/>
                <w:color w:val="auto"/>
              </w:rPr>
            </w:pPr>
            <w:r>
              <w:rPr>
                <w:rFonts w:ascii="Arial" w:cs="Arial" w:eastAsia="Arial" w:hAnsi="Arial"/>
                <w:sz w:val="16"/>
                <w:szCs w:val="16"/>
                <w:color w:val="auto"/>
              </w:rPr>
              <w:t>Cash reserves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49,000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34,000</w:t>
            </w:r>
          </w:p>
        </w:tc>
      </w:tr>
      <w:tr>
        <w:trPr>
          <w:trHeight w:val="209"/>
        </w:trPr>
        <w:tc>
          <w:tcPr>
            <w:tcW w:w="8700" w:type="dxa"/>
            <w:vAlign w:val="bottom"/>
          </w:tcPr>
          <w:p>
            <w:pPr>
              <w:ind w:left="140"/>
              <w:spacing w:after="0"/>
              <w:rPr>
                <w:sz w:val="20"/>
                <w:szCs w:val="20"/>
                <w:color w:val="auto"/>
              </w:rPr>
            </w:pPr>
            <w:r>
              <w:rPr>
                <w:rFonts w:ascii="Arial" w:cs="Arial" w:eastAsia="Arial" w:hAnsi="Arial"/>
                <w:sz w:val="16"/>
                <w:szCs w:val="16"/>
                <w:color w:val="auto"/>
              </w:rPr>
              <w:t>Working capital (deficit)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(8,768,003)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(6,042,521)</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Subject to the availability of additional financing, we intend to spend approximately $7,500,000 over the next twelve months in carrying out our plan of operations. At December 31, 2013, we had $49,000 of cash on hand and a working capital deficit of $8,768,000. As such, our working capital at December 31, 2013 will not be sufficient to enable us to pay our general and administrative expenses, and to pursue our plan of operations over the next twelve months.</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an effort to address this deficiency, management undertook the Reverse Stock Split with three goals in mind: (i) reduce the company’s debt by creating a capital structure that would be attractive enough to the then debt-holders of the company to entice them to convert into shares of the company; (ii) position the company so that upon a successful capital raise it could up-list on a NASDAQ market; (iii) create a capital structure, by increasing the authorized number of shares, which would allow the company to make acquisitions or raise additional capital or both.</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After the Reverse Stock Split and debt settlement conversions in Q1 2014, there are approximately 16,000,000 shares, providing us with 484,000,000 authorized but unissued shares of common stock to proceed with a capital raise through the sale of common stock.</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Approximately $5,300,000 of debt and bridge debt has been converted into common shares.</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market and investment community have supported and applauded the restructuring effort undertaken. With the support of the creditors and their agreement to convert debt to new equity we have a significantly stronger balance sheet to present to the investor community and we expect to attract the financial backing of some of the most respected names in life science to aid us in executing our product development plans and to provide fuel for our growth. For 2014, we have ambitious plans to advance and deepen our pipeline as we expand operations, explore strategic business development opportunities and up-list to a NASDAQ Market if we meet the necessary criteria. If we are not able to obtain financing in the amounts required or on terms that are acceptable to us, we may be forced to scale back or abandon certain elements of our plan of operations.</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Various conditions outside of our control may detract from our ability to raise the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Going Concern</w:t>
      </w:r>
    </w:p>
    <w:p>
      <w:pPr>
        <w:spacing w:after="0" w:line="235"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We have no sources of revenue to provide incoming cash flows to sustain our future operations. As outlined above, our ability to pursue our planned business activities is dependent upon our successful efforts to raise additional equity financing. 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As at December 31, 2013, we had accumulated losses of $55,427,000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Used in Operating Activities</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Operating activities in the year ended December 31, 2013 used cash of $928,000 compared to $1,589,000 in the Year Ended December 31, 2012. Operating activities in the period from inception on July 27, 1999 to December 31, 2013 used cash of $17,371,000. Operating activities have primarily used cash as a result of the operating and organizational activities such as consulting fees, management fees, professional fees and research and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year ended December 31, 2013, investing activities used cash of $Nil compared to $Nil in the Year Ended December 31, 2012. In the period from inception on July 27, 1999 to December 31, 2012 investing activities provided cash of $205,000.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Provided by Financing Activities</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As we have had no revenues since inception, we have financed our operations primarily through private placements of our stock and debt. Financing activities in the year ended December 31, 2013 provided cash of $943,000 compared to $1,372,000 in the year ended December 31, 2012. In the period from inception on July 27, 1999 to December 31, 2013, financing activities provided net cash of $17,215,000 primarily from the sale of our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20" w:name="page21"/>
    <w:bookmarkEnd w:id="20"/>
    <w:p>
      <w:pPr>
        <w:jc w:val="both"/>
        <w:spacing w:after="0" w:line="272" w:lineRule="auto"/>
        <w:rPr>
          <w:sz w:val="20"/>
          <w:szCs w:val="20"/>
          <w:color w:val="auto"/>
        </w:rPr>
      </w:pPr>
      <w:r>
        <w:rPr>
          <w:rFonts w:ascii="Arial" w:cs="Arial" w:eastAsia="Arial" w:hAnsi="Arial"/>
          <w:sz w:val="16"/>
          <w:szCs w:val="16"/>
          <w:color w:val="auto"/>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See Note 2 of our consolidated financial statements for our Year Ended December 31, 2013 for a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7A.</w:t>
        <w:tab/>
        <w:t>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21" w:name="page22"/>
    <w:bookmarkEnd w:id="21"/>
    <w:p>
      <w:pPr>
        <w:spacing w:after="0"/>
        <w:tabs>
          <w:tab w:leader="none" w:pos="780" w:val="left"/>
        </w:tabs>
        <w:rPr>
          <w:sz w:val="20"/>
          <w:szCs w:val="20"/>
          <w:color w:val="auto"/>
        </w:rPr>
      </w:pPr>
      <w:r>
        <w:rPr>
          <w:rFonts w:ascii="Arial" w:cs="Arial" w:eastAsia="Arial" w:hAnsi="Arial"/>
          <w:sz w:val="16"/>
          <w:szCs w:val="16"/>
          <w:b w:val="1"/>
          <w:bCs w:val="1"/>
          <w:color w:val="auto"/>
        </w:rPr>
        <w:t>ITEM 8.</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TAPIMMUNE INC.</w:t>
      </w: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 Development Stage Company)</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CONSOLIDATED FINANCIAL STATEMENTS</w:t>
      </w:r>
    </w:p>
    <w:p>
      <w:pPr>
        <w:spacing w:after="0" w:line="235"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Stockholders’ Deficit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0219"/>
          </w:cols>
          <w:pgMar w:left="240" w:top="924"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737870</wp:posOffset>
            </wp:positionV>
            <wp:extent cx="7315835" cy="1650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315835" cy="165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 of TapImmune Inc:</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have audited the accompanying consolidated balance sheets of TapImmune Inc. (the “Company”) as of December 31, 2013 and 2012 and the related consolidated statements of operations and comprehensive loss, stockholders’ deficit and cash flows for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an audit to obtain reasonable assurance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3"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In our opinion, these consolidated financial statements present fairly, in all material respects, the financial position the Company as at December 31, 2013 and 2012 and the results of its operations and its cash flows for the years then ended, in conformity with accounting principles generally accepted in the United States of America.</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financial statements, the Company has an accumulated deficit of $55,426,635and reported a loss of $5,532,552 for the year ended December 31, 2013 raising substantial doubt about the Company’s ability to continue as a going concern. The Company requires additional funds to meet its obligations and the costs of its operations. These factors raise substantial doubt about the Company’s ability to continue as a going concern. Management’s plans in this regard are described in Note 1. The financial statements do not include any adjustments that might result from the outcome of this uncertainty.</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“DMCL”</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DALE MATHESON CARR-HILTON LABONTE LLP</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CHARTERED ACCOUNTANTS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Vancouver, Canada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April 14, 2014</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Development Stage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color w:val="auto"/>
                <w:w w:val="91"/>
              </w:rPr>
              <w:t>December 31,</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214"/>
        </w:trPr>
        <w:tc>
          <w:tcPr>
            <w:tcW w:w="8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2013</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700" w:type="dxa"/>
            <w:vAlign w:val="bottom"/>
            <w:vMerge w:val="restart"/>
          </w:tcPr>
          <w:p>
            <w:pPr>
              <w:ind w:left="536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(As restated)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70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Cash</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48,589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33,839</w:t>
            </w:r>
          </w:p>
        </w:tc>
        <w:tc>
          <w:tcPr>
            <w:tcW w:w="0" w:type="dxa"/>
            <w:vAlign w:val="bottom"/>
          </w:tcPr>
          <w:p>
            <w:pPr>
              <w:spacing w:after="0"/>
              <w:rPr>
                <w:sz w:val="1"/>
                <w:szCs w:val="1"/>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Due from government agency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Prepaid expenses and deposits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15,004</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15,004</w:t>
            </w:r>
          </w:p>
        </w:tc>
        <w:tc>
          <w:tcPr>
            <w:tcW w:w="0" w:type="dxa"/>
            <w:vAlign w:val="bottom"/>
          </w:tcPr>
          <w:p>
            <w:pPr>
              <w:spacing w:after="0"/>
              <w:rPr>
                <w:sz w:val="1"/>
                <w:szCs w:val="1"/>
                <w:color w:val="auto"/>
              </w:rPr>
            </w:pPr>
          </w:p>
        </w:tc>
      </w:tr>
      <w:tr>
        <w:trPr>
          <w:trHeight w:val="209"/>
        </w:trPr>
        <w:tc>
          <w:tcPr>
            <w:tcW w:w="8700" w:type="dxa"/>
            <w:vAlign w:val="bottom"/>
          </w:tcPr>
          <w:p>
            <w:pPr>
              <w:ind w:left="80"/>
              <w:spacing w:after="0"/>
              <w:rPr>
                <w:sz w:val="20"/>
                <w:szCs w:val="20"/>
                <w:color w:val="auto"/>
              </w:rPr>
            </w:pPr>
            <w:r>
              <w:rPr>
                <w:rFonts w:ascii="Arial" w:cs="Arial" w:eastAsia="Arial" w:hAnsi="Arial"/>
                <w:sz w:val="16"/>
                <w:szCs w:val="16"/>
                <w:color w:val="auto"/>
              </w:rPr>
              <w:t>Deferred financing costs (Note 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13,439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37,452</w:t>
            </w:r>
          </w:p>
        </w:tc>
        <w:tc>
          <w:tcPr>
            <w:tcW w:w="0" w:type="dxa"/>
            <w:vAlign w:val="bottom"/>
          </w:tcPr>
          <w:p>
            <w:pPr>
              <w:spacing w:after="0"/>
              <w:rPr>
                <w:sz w:val="1"/>
                <w:szCs w:val="1"/>
                <w:color w:val="auto"/>
              </w:rPr>
            </w:pPr>
          </w:p>
        </w:tc>
      </w:tr>
      <w:tr>
        <w:trPr>
          <w:trHeight w:val="25"/>
        </w:trPr>
        <w:tc>
          <w:tcPr>
            <w:tcW w:w="8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4"/>
        </w:trPr>
        <w:tc>
          <w:tcPr>
            <w:tcW w:w="87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77,032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87,372</w:t>
            </w:r>
          </w:p>
        </w:tc>
        <w:tc>
          <w:tcPr>
            <w:tcW w:w="0" w:type="dxa"/>
            <w:vAlign w:val="bottom"/>
          </w:tcPr>
          <w:p>
            <w:pPr>
              <w:spacing w:after="0"/>
              <w:rPr>
                <w:sz w:val="1"/>
                <w:szCs w:val="1"/>
                <w:color w:val="auto"/>
              </w:rPr>
            </w:pP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8700" w:type="dxa"/>
            <w:vAlign w:val="bottom"/>
          </w:tcPr>
          <w:p>
            <w:pPr>
              <w:ind w:left="3860"/>
              <w:spacing w:after="0"/>
              <w:rPr>
                <w:sz w:val="20"/>
                <w:szCs w:val="20"/>
                <w:color w:val="auto"/>
              </w:rPr>
            </w:pPr>
            <w:r>
              <w:rPr>
                <w:rFonts w:ascii="Arial" w:cs="Arial" w:eastAsia="Arial" w:hAnsi="Arial"/>
                <w:sz w:val="16"/>
                <w:szCs w:val="16"/>
                <w:b w:val="1"/>
                <w:bCs w:val="1"/>
                <w:color w:val="auto"/>
              </w:rPr>
              <w:t>LIABILITIES AND STOCKHOLDERS’ DEFICIT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70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Accounts payable and accrued liabilities (Note 13)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3,778,401</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1,941,716</w:t>
            </w:r>
          </w:p>
        </w:tc>
        <w:tc>
          <w:tcPr>
            <w:tcW w:w="0" w:type="dxa"/>
            <w:vAlign w:val="bottom"/>
          </w:tcPr>
          <w:p>
            <w:pPr>
              <w:spacing w:after="0"/>
              <w:rPr>
                <w:sz w:val="1"/>
                <w:szCs w:val="1"/>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Research agreement obligations (Note 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492,365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415,998</w:t>
            </w:r>
          </w:p>
        </w:tc>
        <w:tc>
          <w:tcPr>
            <w:tcW w:w="0" w:type="dxa"/>
            <w:vAlign w:val="bottom"/>
          </w:tcPr>
          <w:p>
            <w:pPr>
              <w:spacing w:after="0"/>
              <w:rPr>
                <w:sz w:val="1"/>
                <w:szCs w:val="1"/>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Derivative liability – conversion option (Note 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582,300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867,575</w:t>
            </w:r>
          </w:p>
        </w:tc>
        <w:tc>
          <w:tcPr>
            <w:tcW w:w="0" w:type="dxa"/>
            <w:vAlign w:val="bottom"/>
          </w:tcPr>
          <w:p>
            <w:pPr>
              <w:spacing w:after="0"/>
              <w:rPr>
                <w:sz w:val="1"/>
                <w:szCs w:val="1"/>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Derivative liability – warrants (Note 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140,504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977,086</w:t>
            </w:r>
          </w:p>
        </w:tc>
        <w:tc>
          <w:tcPr>
            <w:tcW w:w="0" w:type="dxa"/>
            <w:vAlign w:val="bottom"/>
          </w:tcPr>
          <w:p>
            <w:pPr>
              <w:spacing w:after="0"/>
              <w:rPr>
                <w:sz w:val="1"/>
                <w:szCs w:val="1"/>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Convertible notes payable (Note 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3,161,977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1,476,230</w:t>
            </w:r>
          </w:p>
        </w:tc>
        <w:tc>
          <w:tcPr>
            <w:tcW w:w="0" w:type="dxa"/>
            <w:vAlign w:val="bottom"/>
          </w:tcPr>
          <w:p>
            <w:pPr>
              <w:spacing w:after="0"/>
              <w:rPr>
                <w:sz w:val="1"/>
                <w:szCs w:val="1"/>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Loans payable (Note 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42,200</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Promissory notes (Note 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277,942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67,942</w:t>
            </w:r>
          </w:p>
        </w:tc>
        <w:tc>
          <w:tcPr>
            <w:tcW w:w="0" w:type="dxa"/>
            <w:vAlign w:val="bottom"/>
          </w:tcPr>
          <w:p>
            <w:pPr>
              <w:spacing w:after="0"/>
              <w:rPr>
                <w:sz w:val="1"/>
                <w:szCs w:val="1"/>
                <w:color w:val="auto"/>
              </w:rPr>
            </w:pPr>
          </w:p>
        </w:tc>
      </w:tr>
      <w:tr>
        <w:trPr>
          <w:trHeight w:val="214"/>
        </w:trPr>
        <w:tc>
          <w:tcPr>
            <w:tcW w:w="8700" w:type="dxa"/>
            <w:vAlign w:val="bottom"/>
          </w:tcPr>
          <w:p>
            <w:pPr>
              <w:ind w:left="80"/>
              <w:spacing w:after="0"/>
              <w:rPr>
                <w:sz w:val="20"/>
                <w:szCs w:val="20"/>
                <w:color w:val="auto"/>
              </w:rPr>
            </w:pPr>
            <w:r>
              <w:rPr>
                <w:rFonts w:ascii="Arial" w:cs="Arial" w:eastAsia="Arial" w:hAnsi="Arial"/>
                <w:sz w:val="16"/>
                <w:szCs w:val="16"/>
                <w:color w:val="auto"/>
              </w:rPr>
              <w:t>Due to related parties (Note 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369,346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373,346</w:t>
            </w:r>
          </w:p>
        </w:tc>
        <w:tc>
          <w:tcPr>
            <w:tcW w:w="0" w:type="dxa"/>
            <w:vAlign w:val="bottom"/>
          </w:tcPr>
          <w:p>
            <w:pPr>
              <w:spacing w:after="0"/>
              <w:rPr>
                <w:sz w:val="1"/>
                <w:szCs w:val="1"/>
                <w:color w:val="auto"/>
              </w:rPr>
            </w:pPr>
          </w:p>
        </w:tc>
      </w:tr>
      <w:tr>
        <w:trPr>
          <w:trHeight w:val="202"/>
        </w:trPr>
        <w:tc>
          <w:tcPr>
            <w:tcW w:w="87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8,845,035</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6,129,893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8700" w:type="dxa"/>
            <w:vAlign w:val="bottom"/>
          </w:tcPr>
          <w:p>
            <w:pPr>
              <w:spacing w:after="0"/>
              <w:rPr>
                <w:sz w:val="20"/>
                <w:szCs w:val="20"/>
                <w:color w:val="auto"/>
              </w:rPr>
            </w:pPr>
            <w:r>
              <w:rPr>
                <w:rFonts w:ascii="Arial" w:cs="Arial" w:eastAsia="Arial" w:hAnsi="Arial"/>
                <w:sz w:val="16"/>
                <w:szCs w:val="16"/>
                <w:b w:val="1"/>
                <w:bCs w:val="1"/>
                <w:color w:val="auto"/>
              </w:rPr>
              <w:t>Stockholders’ Deficit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Capital stock (Note 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700" w:type="dxa"/>
            <w:vAlign w:val="bottom"/>
          </w:tcPr>
          <w:p>
            <w:pPr>
              <w:ind w:left="160"/>
              <w:spacing w:after="0"/>
              <w:rPr>
                <w:sz w:val="20"/>
                <w:szCs w:val="20"/>
                <w:color w:val="auto"/>
              </w:rPr>
            </w:pPr>
            <w:r>
              <w:rPr>
                <w:rFonts w:ascii="Arial" w:cs="Arial" w:eastAsia="Arial" w:hAnsi="Arial"/>
                <w:sz w:val="16"/>
                <w:szCs w:val="16"/>
                <w:color w:val="auto"/>
              </w:rPr>
              <w:t>Common stock, $0.001 par value, 500,000,000 shares authorized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700" w:type="dxa"/>
            <w:vAlign w:val="bottom"/>
          </w:tcPr>
          <w:p>
            <w:pPr>
              <w:ind w:left="160"/>
              <w:spacing w:after="0"/>
              <w:rPr>
                <w:sz w:val="20"/>
                <w:szCs w:val="20"/>
                <w:color w:val="auto"/>
              </w:rPr>
            </w:pPr>
            <w:r>
              <w:rPr>
                <w:rFonts w:ascii="Arial" w:cs="Arial" w:eastAsia="Arial" w:hAnsi="Arial"/>
                <w:sz w:val="16"/>
                <w:szCs w:val="16"/>
                <w:color w:val="auto"/>
              </w:rPr>
              <w:t>1,465,711 shares issued and outstanding (2012 – 764,030)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144,672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76,404</w:t>
            </w:r>
          </w:p>
        </w:tc>
        <w:tc>
          <w:tcPr>
            <w:tcW w:w="0" w:type="dxa"/>
            <w:vAlign w:val="bottom"/>
          </w:tcPr>
          <w:p>
            <w:pPr>
              <w:spacing w:after="0"/>
              <w:rPr>
                <w:sz w:val="1"/>
                <w:szCs w:val="1"/>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46,287,544</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43,483,947</w:t>
            </w:r>
          </w:p>
        </w:tc>
        <w:tc>
          <w:tcPr>
            <w:tcW w:w="0" w:type="dxa"/>
            <w:vAlign w:val="bottom"/>
          </w:tcPr>
          <w:p>
            <w:pPr>
              <w:spacing w:after="0"/>
              <w:rPr>
                <w:sz w:val="1"/>
                <w:szCs w:val="1"/>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Shares to be issued (Note 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284,750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352,859</w:t>
            </w:r>
          </w:p>
        </w:tc>
        <w:tc>
          <w:tcPr>
            <w:tcW w:w="0" w:type="dxa"/>
            <w:vAlign w:val="bottom"/>
          </w:tcPr>
          <w:p>
            <w:pPr>
              <w:spacing w:after="0"/>
              <w:rPr>
                <w:sz w:val="1"/>
                <w:szCs w:val="1"/>
                <w:color w:val="auto"/>
              </w:rPr>
            </w:pPr>
          </w:p>
        </w:tc>
      </w:tr>
      <w:tr>
        <w:trPr>
          <w:trHeight w:val="197"/>
        </w:trPr>
        <w:tc>
          <w:tcPr>
            <w:tcW w:w="8700" w:type="dxa"/>
            <w:vAlign w:val="bottom"/>
          </w:tcPr>
          <w:p>
            <w:pPr>
              <w:ind w:left="80"/>
              <w:spacing w:after="0"/>
              <w:rPr>
                <w:sz w:val="20"/>
                <w:szCs w:val="20"/>
                <w:color w:val="auto"/>
              </w:rPr>
            </w:pPr>
            <w:r>
              <w:rPr>
                <w:rFonts w:ascii="Arial" w:cs="Arial" w:eastAsia="Arial" w:hAnsi="Arial"/>
                <w:sz w:val="16"/>
                <w:szCs w:val="16"/>
                <w:color w:val="auto"/>
              </w:rPr>
              <w:t>Deficit accumulated during the development stage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(55,426,635)</w:t>
            </w: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(49,894,083)</w:t>
            </w:r>
          </w:p>
        </w:tc>
        <w:tc>
          <w:tcPr>
            <w:tcW w:w="0" w:type="dxa"/>
            <w:vAlign w:val="bottom"/>
          </w:tcPr>
          <w:p>
            <w:pPr>
              <w:spacing w:after="0"/>
              <w:rPr>
                <w:sz w:val="1"/>
                <w:szCs w:val="1"/>
                <w:color w:val="auto"/>
              </w:rPr>
            </w:pPr>
          </w:p>
        </w:tc>
      </w:tr>
      <w:tr>
        <w:trPr>
          <w:trHeight w:val="214"/>
        </w:trPr>
        <w:tc>
          <w:tcPr>
            <w:tcW w:w="8700" w:type="dxa"/>
            <w:vAlign w:val="bottom"/>
          </w:tcPr>
          <w:p>
            <w:pPr>
              <w:ind w:left="8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(58,334)</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(61,648)</w:t>
            </w:r>
          </w:p>
        </w:tc>
        <w:tc>
          <w:tcPr>
            <w:tcW w:w="0" w:type="dxa"/>
            <w:vAlign w:val="bottom"/>
          </w:tcPr>
          <w:p>
            <w:pPr>
              <w:spacing w:after="0"/>
              <w:rPr>
                <w:sz w:val="1"/>
                <w:szCs w:val="1"/>
                <w:color w:val="auto"/>
              </w:rPr>
            </w:pPr>
          </w:p>
        </w:tc>
      </w:tr>
      <w:tr>
        <w:trPr>
          <w:trHeight w:val="202"/>
        </w:trPr>
        <w:tc>
          <w:tcPr>
            <w:tcW w:w="87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(8,768,003)</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(6,042,521)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87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77,032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87,372</w:t>
            </w:r>
          </w:p>
        </w:tc>
        <w:tc>
          <w:tcPr>
            <w:tcW w:w="0" w:type="dxa"/>
            <w:vAlign w:val="bottom"/>
          </w:tcPr>
          <w:p>
            <w:pPr>
              <w:spacing w:after="0"/>
              <w:rPr>
                <w:sz w:val="1"/>
                <w:szCs w:val="1"/>
                <w:color w:val="auto"/>
              </w:rPr>
            </w:pP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(Notes 1, 3, 5 and 12)</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color w:val="auto"/>
        </w:rPr>
        <w:t>(Note 15)</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Development Stage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color w:val="auto"/>
                <w:w w:val="94"/>
              </w:rPr>
              <w:t>Period from</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July 27, 1999</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Year Ended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Year Ended</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color w:val="auto"/>
                <w:w w:val="97"/>
              </w:rPr>
              <w:t>(inception) to</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214"/>
        </w:trPr>
        <w:tc>
          <w:tcPr>
            <w:tcW w:w="7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89"/>
              </w:rPr>
              <w:t>2013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2012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vMerge w:val="restart"/>
          </w:tcPr>
          <w:p>
            <w:pPr>
              <w:spacing w:after="0"/>
              <w:rPr>
                <w:sz w:val="20"/>
                <w:szCs w:val="20"/>
                <w:color w:val="auto"/>
              </w:rPr>
            </w:pPr>
            <w:r>
              <w:rPr>
                <w:rFonts w:ascii="Arial" w:cs="Arial" w:eastAsia="Arial" w:hAnsi="Arial"/>
                <w:sz w:val="16"/>
                <w:szCs w:val="16"/>
                <w:b w:val="1"/>
                <w:bCs w:val="1"/>
                <w:color w:val="auto"/>
              </w:rPr>
              <w:t>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(As restated)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Consulting</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185,067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182,813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2,406,567</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Consulting - stock-based (Note 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85,104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2,316,019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8,123,476</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213,227</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576,195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1,012,116</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4,505,547</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Interest and financing charges (Note 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645,562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745,074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7,221,649</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Management fees (Note 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264,000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302,249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3,338,303</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Management fees - stock-based (Notes 8 and 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46,989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124,209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4,495,987</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Professional fees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845,328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489,537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6,261,437</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Research and development (Note 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661,634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1,057,430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7,595,229</w:t>
            </w:r>
          </w:p>
        </w:tc>
        <w:tc>
          <w:tcPr>
            <w:tcW w:w="0" w:type="dxa"/>
            <w:vAlign w:val="bottom"/>
          </w:tcPr>
          <w:p>
            <w:pPr>
              <w:spacing w:after="0"/>
              <w:rPr>
                <w:sz w:val="1"/>
                <w:szCs w:val="1"/>
                <w:color w:val="auto"/>
              </w:rPr>
            </w:pPr>
          </w:p>
        </w:tc>
      </w:tr>
      <w:tr>
        <w:trPr>
          <w:trHeight w:val="214"/>
        </w:trPr>
        <w:tc>
          <w:tcPr>
            <w:tcW w:w="7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Research and development - stock-based</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7320" w:type="dxa"/>
            <w:vAlign w:val="bottom"/>
          </w:tcPr>
          <w:p>
            <w:pPr>
              <w:spacing w:after="0"/>
              <w:rPr>
                <w:sz w:val="20"/>
                <w:szCs w:val="20"/>
                <w:color w:val="auto"/>
              </w:rPr>
            </w:pPr>
            <w:r>
              <w:rPr>
                <w:rFonts w:ascii="Arial" w:cs="Arial" w:eastAsia="Arial" w:hAnsi="Arial"/>
                <w:sz w:val="16"/>
                <w:szCs w:val="16"/>
                <w:b w:val="1"/>
                <w:bCs w:val="1"/>
                <w:color w:val="auto"/>
              </w:rPr>
              <w:t>LOSS BEFORE OTHER ITEMS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(3,309,879)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(6,229,447)</w:t>
            </w:r>
          </w:p>
        </w:tc>
        <w:tc>
          <w:tcPr>
            <w:tcW w:w="10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(44,808,422)</w:t>
            </w:r>
          </w:p>
        </w:tc>
        <w:tc>
          <w:tcPr>
            <w:tcW w:w="0" w:type="dxa"/>
            <w:vAlign w:val="bottom"/>
          </w:tcPr>
          <w:p>
            <w:pPr>
              <w:spacing w:after="0"/>
              <w:rPr>
                <w:sz w:val="1"/>
                <w:szCs w:val="1"/>
                <w:color w:val="auto"/>
              </w:rPr>
            </w:pPr>
          </w:p>
        </w:tc>
      </w:tr>
      <w:tr>
        <w:trPr>
          <w:trHeight w:val="383"/>
        </w:trPr>
        <w:tc>
          <w:tcPr>
            <w:tcW w:w="7320" w:type="dxa"/>
            <w:vAlign w:val="bottom"/>
          </w:tcPr>
          <w:p>
            <w:pPr>
              <w:spacing w:after="0"/>
              <w:rPr>
                <w:sz w:val="20"/>
                <w:szCs w:val="20"/>
                <w:color w:val="auto"/>
              </w:rPr>
            </w:pPr>
            <w:r>
              <w:rPr>
                <w:rFonts w:ascii="Arial" w:cs="Arial" w:eastAsia="Arial" w:hAnsi="Arial"/>
                <w:sz w:val="16"/>
                <w:szCs w:val="16"/>
                <w:b w:val="1"/>
                <w:bCs w:val="1"/>
                <w:color w:val="auto"/>
              </w:rPr>
              <w:t>OTHER ITEMS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Foreign exchange (loss) gain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5,896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(7,903)</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51,583</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Changes in fair value of derivative liabilities (Note 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1,546,257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229,252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5,850,649</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Accretion of discount on convertible notes (Note 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(1,110,831)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(1,110,831)</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Loss on debt financing (Note 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(104,550)</w:t>
            </w: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(1,373,263)</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Loss on settlement of debt (Notes 5 and 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(2,560,045)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(59,219)</w:t>
            </w: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(14,250,846)</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Loss on lawsuit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(103,950)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(103,950)</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Gain on extinguishment of derivative liabilities - warrants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290,500</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33,344</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6"/>
                <w:szCs w:val="16"/>
                <w:color w:val="auto"/>
              </w:rPr>
              <w:t>Loss on disposal of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(5,399)</w:t>
            </w:r>
          </w:p>
        </w:tc>
        <w:tc>
          <w:tcPr>
            <w:tcW w:w="0" w:type="dxa"/>
            <w:vAlign w:val="bottom"/>
          </w:tcPr>
          <w:p>
            <w:pPr>
              <w:spacing w:after="0"/>
              <w:rPr>
                <w:sz w:val="1"/>
                <w:szCs w:val="1"/>
                <w:color w:val="auto"/>
              </w:rPr>
            </w:pPr>
          </w:p>
        </w:tc>
      </w:tr>
      <w:tr>
        <w:trPr>
          <w:trHeight w:val="25"/>
        </w:trPr>
        <w:tc>
          <w:tcPr>
            <w:tcW w:w="7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9"/>
        </w:trPr>
        <w:tc>
          <w:tcPr>
            <w:tcW w:w="732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(5,532,552)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(6,171,867)</w:t>
            </w:r>
          </w:p>
        </w:tc>
        <w:tc>
          <w:tcPr>
            <w:tcW w:w="10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(55,426,635)</w:t>
            </w:r>
          </w:p>
        </w:tc>
        <w:tc>
          <w:tcPr>
            <w:tcW w:w="0" w:type="dxa"/>
            <w:vAlign w:val="bottom"/>
          </w:tcPr>
          <w:p>
            <w:pPr>
              <w:spacing w:after="0"/>
              <w:rPr>
                <w:sz w:val="1"/>
                <w:szCs w:val="1"/>
                <w:color w:val="auto"/>
              </w:rPr>
            </w:pPr>
          </w:p>
        </w:tc>
      </w:tr>
      <w:tr>
        <w:trPr>
          <w:trHeight w:val="382"/>
        </w:trPr>
        <w:tc>
          <w:tcPr>
            <w:tcW w:w="7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Other comprehensive income (loss)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6"/>
                <w:szCs w:val="16"/>
                <w:color w:val="auto"/>
              </w:rPr>
              <w:t>Foreign exchange translation adjustment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(58,334)</w:t>
            </w:r>
          </w:p>
        </w:tc>
        <w:tc>
          <w:tcPr>
            <w:tcW w:w="0" w:type="dxa"/>
            <w:vAlign w:val="bottom"/>
          </w:tcPr>
          <w:p>
            <w:pPr>
              <w:spacing w:after="0"/>
              <w:rPr>
                <w:sz w:val="1"/>
                <w:szCs w:val="1"/>
                <w:color w:val="auto"/>
              </w:rPr>
            </w:pPr>
          </w:p>
        </w:tc>
      </w:tr>
      <w:tr>
        <w:trPr>
          <w:trHeight w:val="25"/>
        </w:trPr>
        <w:tc>
          <w:tcPr>
            <w:tcW w:w="7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4"/>
        </w:trPr>
        <w:tc>
          <w:tcPr>
            <w:tcW w:w="7320" w:type="dxa"/>
            <w:vAlign w:val="bottom"/>
          </w:tcPr>
          <w:p>
            <w:pPr>
              <w:spacing w:after="0"/>
              <w:rPr>
                <w:sz w:val="20"/>
                <w:szCs w:val="20"/>
                <w:color w:val="auto"/>
              </w:rPr>
            </w:pPr>
            <w:r>
              <w:rPr>
                <w:rFonts w:ascii="Arial" w:cs="Arial" w:eastAsia="Arial" w:hAnsi="Arial"/>
                <w:sz w:val="16"/>
                <w:szCs w:val="16"/>
                <w:b w:val="1"/>
                <w:bCs w:val="1"/>
                <w:color w:val="auto"/>
              </w:rPr>
              <w:t>TOTAL COMPREHENSIVE LOSS</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(5,529,238)</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(6,172,987)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(55,484,969)</w:t>
            </w:r>
          </w:p>
        </w:tc>
        <w:tc>
          <w:tcPr>
            <w:tcW w:w="0" w:type="dxa"/>
            <w:vAlign w:val="bottom"/>
          </w:tcPr>
          <w:p>
            <w:pPr>
              <w:spacing w:after="0"/>
              <w:rPr>
                <w:sz w:val="1"/>
                <w:szCs w:val="1"/>
                <w:color w:val="auto"/>
              </w:rPr>
            </w:pP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7320" w:type="dxa"/>
            <w:vAlign w:val="bottom"/>
          </w:tcPr>
          <w:p>
            <w:pPr>
              <w:spacing w:after="0"/>
              <w:rPr>
                <w:sz w:val="20"/>
                <w:szCs w:val="20"/>
                <w:color w:val="auto"/>
              </w:rPr>
            </w:pPr>
            <w:r>
              <w:rPr>
                <w:rFonts w:ascii="Arial" w:cs="Arial" w:eastAsia="Arial" w:hAnsi="Arial"/>
                <w:sz w:val="16"/>
                <w:szCs w:val="16"/>
                <w:b w:val="1"/>
                <w:bCs w:val="1"/>
                <w:color w:val="auto"/>
              </w:rPr>
              <w:t>BASIC AND DILUTED NET LOSS PER SHARE</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(4.87)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7320" w:type="dxa"/>
            <w:vAlign w:val="bottom"/>
          </w:tcPr>
          <w:p>
            <w:pPr>
              <w:spacing w:after="0"/>
              <w:rPr>
                <w:sz w:val="20"/>
                <w:szCs w:val="20"/>
                <w:color w:val="auto"/>
              </w:rPr>
            </w:pPr>
            <w:r>
              <w:rPr>
                <w:rFonts w:ascii="Arial" w:cs="Arial" w:eastAsia="Arial" w:hAnsi="Arial"/>
                <w:sz w:val="16"/>
                <w:szCs w:val="16"/>
                <w:b w:val="1"/>
                <w:bCs w:val="1"/>
                <w:color w:val="auto"/>
              </w:rPr>
              <w:t>WEIGHTED AVERAGE NUMBER OF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b w:val="1"/>
                <w:bCs w:val="1"/>
                <w:color w:val="auto"/>
              </w:rPr>
              <w:t>COMMON SHARES OUTSTANDING,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b w:val="1"/>
                <w:bCs w:val="1"/>
                <w:color w:val="auto"/>
              </w:rPr>
              <w:t>BASIC AND DILUTED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1,136,115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655,269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Development Stage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STOCKHOLDERS’ DEFICIT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FROM JULY 27, 1999 (INCEPTION) TO DECEMBER 31, 2013</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color w:val="auto"/>
              </w:rPr>
              <w:t>Deficit</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197"/>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Obligation</w:t>
            </w:r>
          </w:p>
        </w:tc>
        <w:tc>
          <w:tcPr>
            <w:tcW w:w="8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Accumulated</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Accumulated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4"/>
          </w:tcPr>
          <w:p>
            <w:pPr>
              <w:jc w:val="right"/>
              <w:ind w:right="1000"/>
              <w:spacing w:after="0"/>
              <w:rPr>
                <w:sz w:val="20"/>
                <w:szCs w:val="20"/>
                <w:color w:val="auto"/>
              </w:rPr>
            </w:pPr>
            <w:r>
              <w:rPr>
                <w:rFonts w:ascii="Arial" w:cs="Arial" w:eastAsia="Arial" w:hAnsi="Arial"/>
                <w:sz w:val="16"/>
                <w:szCs w:val="16"/>
                <w:color w:val="auto"/>
              </w:rPr>
              <w:t>Common Stock</w:t>
            </w:r>
          </w:p>
        </w:tc>
        <w:tc>
          <w:tcPr>
            <w:tcW w:w="1280" w:type="dxa"/>
            <w:vAlign w:val="bottom"/>
            <w:gridSpan w:val="2"/>
          </w:tcPr>
          <w:p>
            <w:pPr>
              <w:jc w:val="right"/>
              <w:ind w:right="360"/>
              <w:spacing w:after="0"/>
              <w:rPr>
                <w:sz w:val="20"/>
                <w:szCs w:val="20"/>
                <w:color w:val="auto"/>
              </w:rPr>
            </w:pPr>
            <w:r>
              <w:rPr>
                <w:rFonts w:ascii="Arial" w:cs="Arial" w:eastAsia="Arial" w:hAnsi="Arial"/>
                <w:sz w:val="16"/>
                <w:szCs w:val="16"/>
                <w:color w:val="auto"/>
              </w:rPr>
              <w:t>Additional</w:t>
            </w:r>
          </w:p>
        </w:tc>
        <w:tc>
          <w:tcPr>
            <w:tcW w:w="8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to Issue</w:t>
            </w:r>
          </w:p>
        </w:tc>
        <w:tc>
          <w:tcPr>
            <w:tcW w:w="8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During the</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Other</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6"/>
                <w:szCs w:val="16"/>
                <w:color w:val="auto"/>
              </w:rPr>
              <w:t>Number of</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Paid in</w:t>
            </w:r>
          </w:p>
        </w:tc>
        <w:tc>
          <w:tcPr>
            <w:tcW w:w="80" w:type="dxa"/>
            <w:vAlign w:val="bottom"/>
          </w:tcPr>
          <w:p>
            <w:pPr>
              <w:spacing w:after="0"/>
              <w:rPr>
                <w:sz w:val="17"/>
                <w:szCs w:val="17"/>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color w:val="auto"/>
                <w:w w:val="87"/>
              </w:rPr>
              <w:t>Shares and</w:t>
            </w:r>
          </w:p>
        </w:tc>
        <w:tc>
          <w:tcPr>
            <w:tcW w:w="8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Development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Comprehensive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6"/>
                <w:szCs w:val="16"/>
                <w:color w:val="auto"/>
              </w:rPr>
              <w:t>Shares*</w:t>
            </w:r>
          </w:p>
        </w:tc>
        <w:tc>
          <w:tcPr>
            <w:tcW w:w="1400" w:type="dxa"/>
            <w:vAlign w:val="bottom"/>
            <w:gridSpan w:val="2"/>
          </w:tcPr>
          <w:p>
            <w:pPr>
              <w:jc w:val="right"/>
              <w:ind w:right="560"/>
              <w:spacing w:after="0"/>
              <w:rPr>
                <w:sz w:val="20"/>
                <w:szCs w:val="20"/>
                <w:color w:val="auto"/>
              </w:rPr>
            </w:pPr>
            <w:r>
              <w:rPr>
                <w:rFonts w:ascii="Arial" w:cs="Arial" w:eastAsia="Arial" w:hAnsi="Arial"/>
                <w:sz w:val="16"/>
                <w:szCs w:val="16"/>
                <w:color w:val="auto"/>
              </w:rPr>
              <w:t>Amount</w:t>
            </w: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Capital</w:t>
            </w:r>
          </w:p>
        </w:tc>
        <w:tc>
          <w:tcPr>
            <w:tcW w:w="8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Warrants</w:t>
            </w:r>
          </w:p>
        </w:tc>
        <w:tc>
          <w:tcPr>
            <w:tcW w:w="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5"/>
              </w:rPr>
              <w:t>Stage</w:t>
            </w: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Loss</w:t>
            </w:r>
          </w:p>
        </w:tc>
        <w:tc>
          <w:tcPr>
            <w:tcW w:w="1240" w:type="dxa"/>
            <w:vAlign w:val="bottom"/>
            <w:gridSpan w:val="2"/>
          </w:tcPr>
          <w:p>
            <w:pPr>
              <w:jc w:val="right"/>
              <w:ind w:right="500"/>
              <w:spacing w:after="0"/>
              <w:rPr>
                <w:sz w:val="20"/>
                <w:szCs w:val="20"/>
                <w:color w:val="auto"/>
              </w:rPr>
            </w:pPr>
            <w:r>
              <w:rPr>
                <w:rFonts w:ascii="Arial" w:cs="Arial" w:eastAsia="Arial" w:hAnsi="Arial"/>
                <w:sz w:val="16"/>
                <w:szCs w:val="16"/>
                <w:color w:val="auto"/>
              </w:rPr>
              <w:t>Total</w:t>
            </w:r>
          </w:p>
        </w:tc>
      </w:tr>
      <w:tr>
        <w:trPr>
          <w:trHeight w:val="202"/>
        </w:trPr>
        <w:tc>
          <w:tcPr>
            <w:tcW w:w="18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998"/>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78"/>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7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r>
      <w:tr>
        <w:trPr>
          <w:trHeight w:val="185"/>
        </w:trPr>
        <w:tc>
          <w:tcPr>
            <w:tcW w:w="1840" w:type="dxa"/>
            <w:vAlign w:val="bottom"/>
          </w:tcPr>
          <w:p>
            <w:pPr>
              <w:spacing w:after="0"/>
              <w:rPr>
                <w:sz w:val="20"/>
                <w:szCs w:val="20"/>
                <w:color w:val="auto"/>
              </w:rPr>
            </w:pPr>
            <w:r>
              <w:rPr>
                <w:rFonts w:ascii="Arial" w:cs="Arial" w:eastAsia="Arial" w:hAnsi="Arial"/>
                <w:sz w:val="16"/>
                <w:szCs w:val="16"/>
                <w:color w:val="auto"/>
              </w:rPr>
              <w:t>Issued on incorporation -</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July 27, 1999</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w w:val="97"/>
              </w:rPr>
              <w:t>Issued to the founders for:</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ind w:left="40"/>
              <w:spacing w:after="0"/>
              <w:rPr>
                <w:sz w:val="20"/>
                <w:szCs w:val="20"/>
                <w:color w:val="auto"/>
              </w:rPr>
            </w:pPr>
            <w:r>
              <w:rPr>
                <w:rFonts w:ascii="Arial" w:cs="Arial" w:eastAsia="Arial" w:hAnsi="Arial"/>
                <w:sz w:val="16"/>
                <w:szCs w:val="16"/>
                <w:color w:val="auto"/>
              </w:rPr>
              <w:t>- cash</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740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740</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1,110</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1,850</w:t>
            </w:r>
          </w:p>
        </w:tc>
      </w:tr>
      <w:tr>
        <w:trPr>
          <w:trHeight w:val="197"/>
        </w:trPr>
        <w:tc>
          <w:tcPr>
            <w:tcW w:w="1840" w:type="dxa"/>
            <w:vAlign w:val="bottom"/>
          </w:tcPr>
          <w:p>
            <w:pPr>
              <w:ind w:left="40"/>
              <w:spacing w:after="0"/>
              <w:rPr>
                <w:sz w:val="20"/>
                <w:szCs w:val="20"/>
                <w:color w:val="auto"/>
              </w:rPr>
            </w:pPr>
            <w:r>
              <w:rPr>
                <w:rFonts w:ascii="Arial" w:cs="Arial" w:eastAsia="Arial" w:hAnsi="Arial"/>
                <w:sz w:val="16"/>
                <w:szCs w:val="16"/>
                <w:color w:val="auto"/>
              </w:rPr>
              <w:t>- consulting services</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860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860</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1,290</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2,150</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Common stock</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subscriptions</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177,100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177,100</w:t>
            </w:r>
          </w:p>
        </w:tc>
      </w:tr>
      <w:tr>
        <w:trPr>
          <w:trHeight w:val="214"/>
        </w:trPr>
        <w:tc>
          <w:tcPr>
            <w:tcW w:w="1840" w:type="dxa"/>
            <w:vAlign w:val="bottom"/>
          </w:tcPr>
          <w:p>
            <w:pPr>
              <w:spacing w:after="0"/>
              <w:rPr>
                <w:sz w:val="20"/>
                <w:szCs w:val="20"/>
                <w:color w:val="auto"/>
              </w:rPr>
            </w:pPr>
            <w:r>
              <w:rPr>
                <w:rFonts w:ascii="Arial" w:cs="Arial" w:eastAsia="Arial" w:hAnsi="Arial"/>
                <w:sz w:val="16"/>
                <w:szCs w:val="16"/>
                <w:color w:val="auto"/>
              </w:rPr>
              <w:t>Net loss</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80"/>
              <w:spacing w:after="0"/>
              <w:rPr>
                <w:sz w:val="20"/>
                <w:szCs w:val="20"/>
                <w:color w:val="auto"/>
              </w:rPr>
            </w:pPr>
            <w:r>
              <w:rPr>
                <w:rFonts w:ascii="Arial" w:cs="Arial" w:eastAsia="Arial" w:hAnsi="Arial"/>
                <w:sz w:val="16"/>
                <w:szCs w:val="16"/>
                <w:color w:val="auto"/>
              </w:rPr>
              <w:t>(80,733)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(80,733)</w:t>
            </w:r>
          </w:p>
        </w:tc>
      </w:tr>
      <w:tr>
        <w:trPr>
          <w:trHeight w:val="185"/>
        </w:trPr>
        <w:tc>
          <w:tcPr>
            <w:tcW w:w="18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w:t>
            </w: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1999</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1600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1,600</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2,400</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177,100</w:t>
            </w:r>
          </w:p>
        </w:tc>
        <w:tc>
          <w:tcPr>
            <w:tcW w:w="1340" w:type="dxa"/>
            <w:vAlign w:val="bottom"/>
            <w:gridSpan w:val="3"/>
          </w:tcPr>
          <w:p>
            <w:pPr>
              <w:jc w:val="right"/>
              <w:ind w:right="80"/>
              <w:spacing w:after="0"/>
              <w:rPr>
                <w:sz w:val="20"/>
                <w:szCs w:val="20"/>
                <w:color w:val="auto"/>
              </w:rPr>
            </w:pPr>
            <w:r>
              <w:rPr>
                <w:rFonts w:ascii="Arial" w:cs="Arial" w:eastAsia="Arial" w:hAnsi="Arial"/>
                <w:sz w:val="16"/>
                <w:szCs w:val="16"/>
                <w:color w:val="auto"/>
              </w:rPr>
              <w:t>(80,733)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100,367</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Issued for:</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ind w:left="40"/>
              <w:spacing w:after="0"/>
              <w:rPr>
                <w:sz w:val="20"/>
                <w:szCs w:val="20"/>
                <w:color w:val="auto"/>
              </w:rPr>
            </w:pPr>
            <w:r>
              <w:rPr>
                <w:rFonts w:ascii="Arial" w:cs="Arial" w:eastAsia="Arial" w:hAnsi="Arial"/>
                <w:sz w:val="16"/>
                <w:szCs w:val="16"/>
                <w:color w:val="auto"/>
              </w:rPr>
              <w:t>- consulting services</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1,440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1,440</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2,160</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3,600</w:t>
            </w:r>
          </w:p>
        </w:tc>
      </w:tr>
      <w:tr>
        <w:trPr>
          <w:trHeight w:val="197"/>
        </w:trPr>
        <w:tc>
          <w:tcPr>
            <w:tcW w:w="1840" w:type="dxa"/>
            <w:vAlign w:val="bottom"/>
          </w:tcPr>
          <w:p>
            <w:pPr>
              <w:ind w:left="40"/>
              <w:spacing w:after="0"/>
              <w:rPr>
                <w:sz w:val="20"/>
                <w:szCs w:val="20"/>
                <w:color w:val="auto"/>
              </w:rPr>
            </w:pPr>
            <w:r>
              <w:rPr>
                <w:rFonts w:ascii="Arial" w:cs="Arial" w:eastAsia="Arial" w:hAnsi="Arial"/>
                <w:sz w:val="16"/>
                <w:szCs w:val="16"/>
                <w:color w:val="auto"/>
              </w:rPr>
              <w:t>- for license fees</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200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200</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300</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500</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Issued for cash:</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ind w:left="40"/>
              <w:spacing w:after="0"/>
              <w:rPr>
                <w:sz w:val="20"/>
                <w:szCs w:val="20"/>
                <w:color w:val="auto"/>
              </w:rPr>
            </w:pPr>
            <w:r>
              <w:rPr>
                <w:rFonts w:ascii="Arial" w:cs="Arial" w:eastAsia="Arial" w:hAnsi="Arial"/>
                <w:sz w:val="16"/>
                <w:szCs w:val="16"/>
                <w:color w:val="auto"/>
                <w:w w:val="99"/>
              </w:rPr>
              <w:t>- at $15.00 per share, net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w w:val="98"/>
              </w:rPr>
              <w:t>of finders’ fees of $95,570</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564</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564</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749,166</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(177,100)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572,630</w:t>
            </w:r>
          </w:p>
        </w:tc>
      </w:tr>
      <w:tr>
        <w:trPr>
          <w:trHeight w:val="197"/>
        </w:trPr>
        <w:tc>
          <w:tcPr>
            <w:tcW w:w="1840" w:type="dxa"/>
            <w:vAlign w:val="bottom"/>
          </w:tcPr>
          <w:p>
            <w:pPr>
              <w:ind w:left="40"/>
              <w:spacing w:after="0"/>
              <w:rPr>
                <w:sz w:val="20"/>
                <w:szCs w:val="20"/>
                <w:color w:val="auto"/>
              </w:rPr>
            </w:pPr>
            <w:r>
              <w:rPr>
                <w:rFonts w:ascii="Arial" w:cs="Arial" w:eastAsia="Arial" w:hAnsi="Arial"/>
                <w:sz w:val="16"/>
                <w:szCs w:val="16"/>
                <w:color w:val="auto"/>
              </w:rPr>
              <w:t>- at $15.00 per share</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341</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342</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512,058</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512,400</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Issued for finders’ fees</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50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50</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(50)</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Net loss</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80"/>
              <w:spacing w:after="0"/>
              <w:rPr>
                <w:sz w:val="20"/>
                <w:szCs w:val="20"/>
                <w:color w:val="auto"/>
              </w:rPr>
            </w:pPr>
            <w:r>
              <w:rPr>
                <w:rFonts w:ascii="Arial" w:cs="Arial" w:eastAsia="Arial" w:hAnsi="Arial"/>
                <w:sz w:val="16"/>
                <w:szCs w:val="16"/>
                <w:color w:val="auto"/>
              </w:rPr>
              <w:t>(935,332)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(935,332)</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Currency translation</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1840" w:type="dxa"/>
            <w:vAlign w:val="bottom"/>
          </w:tcPr>
          <w:p>
            <w:pPr>
              <w:spacing w:after="0"/>
              <w:rPr>
                <w:sz w:val="20"/>
                <w:szCs w:val="20"/>
                <w:color w:val="auto"/>
              </w:rPr>
            </w:pPr>
            <w:r>
              <w:rPr>
                <w:rFonts w:ascii="Arial" w:cs="Arial" w:eastAsia="Arial" w:hAnsi="Arial"/>
                <w:sz w:val="16"/>
                <w:szCs w:val="16"/>
                <w:color w:val="auto"/>
              </w:rPr>
              <w:t>adjustment</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(1,937)</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(1,937)</w:t>
            </w:r>
          </w:p>
        </w:tc>
      </w:tr>
      <w:tr>
        <w:trPr>
          <w:trHeight w:val="185"/>
        </w:trPr>
        <w:tc>
          <w:tcPr>
            <w:tcW w:w="18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w:t>
            </w: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2000</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4,195</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4,195</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1,266,034</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80"/>
              <w:spacing w:after="0"/>
              <w:rPr>
                <w:sz w:val="20"/>
                <w:szCs w:val="20"/>
                <w:color w:val="auto"/>
              </w:rPr>
            </w:pPr>
            <w:r>
              <w:rPr>
                <w:rFonts w:ascii="Arial" w:cs="Arial" w:eastAsia="Arial" w:hAnsi="Arial"/>
                <w:sz w:val="16"/>
                <w:szCs w:val="16"/>
                <w:color w:val="auto"/>
              </w:rPr>
              <w:t>(1,016,065)</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(1,937)</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252,228</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Issued for cash:</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ind w:left="40"/>
              <w:spacing w:after="0"/>
              <w:rPr>
                <w:sz w:val="20"/>
                <w:szCs w:val="20"/>
                <w:color w:val="auto"/>
              </w:rPr>
            </w:pPr>
            <w:r>
              <w:rPr>
                <w:rFonts w:ascii="Arial" w:cs="Arial" w:eastAsia="Arial" w:hAnsi="Arial"/>
                <w:sz w:val="16"/>
                <w:szCs w:val="16"/>
                <w:color w:val="auto"/>
              </w:rPr>
              <w:t>- at $18.80 per share</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44</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44</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82,706</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82,750</w:t>
            </w:r>
          </w:p>
        </w:tc>
      </w:tr>
      <w:tr>
        <w:trPr>
          <w:trHeight w:val="197"/>
        </w:trPr>
        <w:tc>
          <w:tcPr>
            <w:tcW w:w="1840" w:type="dxa"/>
            <w:vAlign w:val="bottom"/>
          </w:tcPr>
          <w:p>
            <w:pPr>
              <w:ind w:left="40"/>
              <w:spacing w:after="0"/>
              <w:rPr>
                <w:sz w:val="20"/>
                <w:szCs w:val="20"/>
                <w:color w:val="auto"/>
              </w:rPr>
            </w:pPr>
            <w:r>
              <w:rPr>
                <w:rFonts w:ascii="Arial" w:cs="Arial" w:eastAsia="Arial" w:hAnsi="Arial"/>
                <w:sz w:val="16"/>
                <w:szCs w:val="16"/>
                <w:color w:val="auto"/>
              </w:rPr>
              <w:t>- at $25.00 per share</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106</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106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264,894</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265,000</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Net loss</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80"/>
              <w:spacing w:after="0"/>
              <w:rPr>
                <w:sz w:val="20"/>
                <w:szCs w:val="20"/>
                <w:color w:val="auto"/>
              </w:rPr>
            </w:pPr>
            <w:r>
              <w:rPr>
                <w:rFonts w:ascii="Arial" w:cs="Arial" w:eastAsia="Arial" w:hAnsi="Arial"/>
                <w:sz w:val="16"/>
                <w:szCs w:val="16"/>
                <w:color w:val="auto"/>
              </w:rPr>
              <w:t>(671,986)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(671,986)</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Currency translation</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1840" w:type="dxa"/>
            <w:vAlign w:val="bottom"/>
          </w:tcPr>
          <w:p>
            <w:pPr>
              <w:spacing w:after="0"/>
              <w:rPr>
                <w:sz w:val="20"/>
                <w:szCs w:val="20"/>
                <w:color w:val="auto"/>
              </w:rPr>
            </w:pPr>
            <w:r>
              <w:rPr>
                <w:rFonts w:ascii="Arial" w:cs="Arial" w:eastAsia="Arial" w:hAnsi="Arial"/>
                <w:sz w:val="16"/>
                <w:szCs w:val="16"/>
                <w:color w:val="auto"/>
              </w:rPr>
              <w:t>adjustment</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(2,041)</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(2,041)</w:t>
            </w:r>
          </w:p>
        </w:tc>
      </w:tr>
      <w:tr>
        <w:trPr>
          <w:trHeight w:val="185"/>
        </w:trPr>
        <w:tc>
          <w:tcPr>
            <w:tcW w:w="18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w:t>
            </w: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2001</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4,345</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4,345</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1,613,635</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80"/>
              <w:spacing w:after="0"/>
              <w:rPr>
                <w:sz w:val="20"/>
                <w:szCs w:val="20"/>
                <w:color w:val="auto"/>
              </w:rPr>
            </w:pPr>
            <w:r>
              <w:rPr>
                <w:rFonts w:ascii="Arial" w:cs="Arial" w:eastAsia="Arial" w:hAnsi="Arial"/>
                <w:sz w:val="16"/>
                <w:szCs w:val="16"/>
                <w:color w:val="auto"/>
              </w:rPr>
              <w:t>(1,688,051)</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(3,978)</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(74,049)</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Issued for cash:</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ind w:left="40"/>
              <w:spacing w:after="0"/>
              <w:rPr>
                <w:sz w:val="20"/>
                <w:szCs w:val="20"/>
                <w:color w:val="auto"/>
              </w:rPr>
            </w:pPr>
            <w:r>
              <w:rPr>
                <w:rFonts w:ascii="Arial" w:cs="Arial" w:eastAsia="Arial" w:hAnsi="Arial"/>
                <w:sz w:val="16"/>
                <w:szCs w:val="16"/>
                <w:color w:val="auto"/>
                <w:w w:val="99"/>
              </w:rPr>
              <w:t>- at $25.00 per share, net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w w:val="98"/>
              </w:rPr>
              <w:t>of finders’ fees of $17,000</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75</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75</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170,425</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170,500</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Issued on settlement of</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1840" w:type="dxa"/>
            <w:vAlign w:val="bottom"/>
          </w:tcPr>
          <w:p>
            <w:pPr>
              <w:spacing w:after="0"/>
              <w:rPr>
                <w:sz w:val="20"/>
                <w:szCs w:val="20"/>
                <w:color w:val="auto"/>
              </w:rPr>
            </w:pPr>
            <w:r>
              <w:rPr>
                <w:rFonts w:ascii="Arial" w:cs="Arial" w:eastAsia="Arial" w:hAnsi="Arial"/>
                <w:sz w:val="16"/>
                <w:szCs w:val="16"/>
                <w:color w:val="auto"/>
              </w:rPr>
              <w:t>debt</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73</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73</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136,172</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136,245</w:t>
            </w:r>
          </w:p>
        </w:tc>
      </w:tr>
      <w:tr>
        <w:trPr>
          <w:trHeight w:val="185"/>
        </w:trPr>
        <w:tc>
          <w:tcPr>
            <w:tcW w:w="184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4"/>
              </w:rPr>
              <w:t>GPI balance, July 15, 2002</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4,493</w:t>
            </w:r>
          </w:p>
        </w:tc>
        <w:tc>
          <w:tcPr>
            <w:tcW w:w="24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4,493</w:t>
            </w:r>
          </w:p>
        </w:tc>
        <w:tc>
          <w:tcPr>
            <w:tcW w:w="24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1,920,232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(1,688,051)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(3,978)</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232,696</w:t>
            </w:r>
          </w:p>
        </w:tc>
        <w:tc>
          <w:tcPr>
            <w:tcW w:w="100" w:type="dxa"/>
            <w:vAlign w:val="bottom"/>
          </w:tcPr>
          <w:p>
            <w:pPr>
              <w:spacing w:after="0"/>
              <w:rPr>
                <w:sz w:val="16"/>
                <w:szCs w:val="16"/>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GMC balance, July 15,</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2002</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6,128</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6,128</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7,180,164</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(85,000)</w:t>
            </w:r>
          </w:p>
        </w:tc>
        <w:tc>
          <w:tcPr>
            <w:tcW w:w="1340" w:type="dxa"/>
            <w:vAlign w:val="bottom"/>
            <w:gridSpan w:val="3"/>
          </w:tcPr>
          <w:p>
            <w:pPr>
              <w:jc w:val="right"/>
              <w:ind w:right="80"/>
              <w:spacing w:after="0"/>
              <w:rPr>
                <w:sz w:val="20"/>
                <w:szCs w:val="20"/>
                <w:color w:val="auto"/>
              </w:rPr>
            </w:pPr>
            <w:r>
              <w:rPr>
                <w:rFonts w:ascii="Arial" w:cs="Arial" w:eastAsia="Arial" w:hAnsi="Arial"/>
                <w:sz w:val="16"/>
                <w:szCs w:val="16"/>
                <w:color w:val="auto"/>
              </w:rPr>
              <w:t>(6,607,580)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493,712</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Reverse acquisition</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840" w:type="dxa"/>
            <w:vAlign w:val="bottom"/>
          </w:tcPr>
          <w:p>
            <w:pPr>
              <w:spacing w:after="0"/>
              <w:rPr>
                <w:sz w:val="20"/>
                <w:szCs w:val="20"/>
                <w:color w:val="auto"/>
              </w:rPr>
            </w:pPr>
            <w:r>
              <w:rPr>
                <w:rFonts w:ascii="Arial" w:cs="Arial" w:eastAsia="Arial" w:hAnsi="Arial"/>
                <w:sz w:val="16"/>
                <w:szCs w:val="16"/>
                <w:color w:val="auto"/>
                <w:w w:val="96"/>
              </w:rPr>
              <w:t>recapitalization adjustment</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(4,493)</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(4,493)</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(6,603,087)</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6,607,580</w:t>
            </w: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5"/>
        </w:trPr>
        <w:tc>
          <w:tcPr>
            <w:tcW w:w="1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number of shares reflected are after the reverse 100 to 1 stock split completed by the Company on January 10, 2014.</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Development Stage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STOCKHOLDERS’ DEFICIT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FROM JULY 27, 1999 (INCEPTION) TO DECEMBER 31, 2013</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color w:val="auto"/>
              </w:rPr>
              <w:t>Deficit</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197"/>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color w:val="auto"/>
                <w:w w:val="97"/>
              </w:rPr>
              <w:t>Obligation</w:t>
            </w: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Accumulated</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Accumulated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4"/>
          </w:tcPr>
          <w:p>
            <w:pPr>
              <w:jc w:val="right"/>
              <w:ind w:right="980"/>
              <w:spacing w:after="0"/>
              <w:rPr>
                <w:sz w:val="20"/>
                <w:szCs w:val="20"/>
                <w:color w:val="auto"/>
              </w:rPr>
            </w:pPr>
            <w:r>
              <w:rPr>
                <w:rFonts w:ascii="Arial" w:cs="Arial" w:eastAsia="Arial" w:hAnsi="Arial"/>
                <w:sz w:val="16"/>
                <w:szCs w:val="16"/>
                <w:color w:val="auto"/>
              </w:rPr>
              <w:t>Common Stock</w:t>
            </w: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Additional</w:t>
            </w: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to Issue</w:t>
            </w: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During the</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Other</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Number of</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6"/>
                <w:szCs w:val="16"/>
                <w:color w:val="auto"/>
              </w:rPr>
              <w:t>Paid In</w:t>
            </w: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color w:val="auto"/>
                <w:w w:val="85"/>
              </w:rPr>
              <w:t>Shares and</w:t>
            </w: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Development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Comprehensive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83"/>
              </w:rPr>
              <w:t>shares</w:t>
            </w: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Amount</w:t>
            </w:r>
          </w:p>
        </w:tc>
        <w:tc>
          <w:tcPr>
            <w:tcW w:w="1360" w:type="dxa"/>
            <w:vAlign w:val="bottom"/>
            <w:gridSpan w:val="2"/>
          </w:tcPr>
          <w:p>
            <w:pPr>
              <w:jc w:val="right"/>
              <w:ind w:right="540"/>
              <w:spacing w:after="0"/>
              <w:rPr>
                <w:sz w:val="20"/>
                <w:szCs w:val="20"/>
                <w:color w:val="auto"/>
              </w:rPr>
            </w:pPr>
            <w:r>
              <w:rPr>
                <w:rFonts w:ascii="Arial" w:cs="Arial" w:eastAsia="Arial" w:hAnsi="Arial"/>
                <w:sz w:val="16"/>
                <w:szCs w:val="16"/>
                <w:color w:val="auto"/>
              </w:rPr>
              <w:t>Capital</w:t>
            </w: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Warrants</w:t>
            </w:r>
          </w:p>
        </w:tc>
        <w:tc>
          <w:tcPr>
            <w:tcW w:w="10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5"/>
              </w:rPr>
              <w:t>Stage</w:t>
            </w: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Loss</w:t>
            </w:r>
          </w:p>
        </w:tc>
        <w:tc>
          <w:tcPr>
            <w:tcW w:w="1240" w:type="dxa"/>
            <w:vAlign w:val="bottom"/>
            <w:gridSpan w:val="2"/>
          </w:tcPr>
          <w:p>
            <w:pPr>
              <w:jc w:val="right"/>
              <w:ind w:right="500"/>
              <w:spacing w:after="0"/>
              <w:rPr>
                <w:sz w:val="20"/>
                <w:szCs w:val="20"/>
                <w:color w:val="auto"/>
              </w:rPr>
            </w:pPr>
            <w:r>
              <w:rPr>
                <w:rFonts w:ascii="Arial" w:cs="Arial" w:eastAsia="Arial" w:hAnsi="Arial"/>
                <w:sz w:val="16"/>
                <w:szCs w:val="16"/>
                <w:color w:val="auto"/>
              </w:rPr>
              <w:t>Total</w:t>
            </w:r>
          </w:p>
        </w:tc>
      </w:tr>
      <w:tr>
        <w:trPr>
          <w:trHeight w:val="202"/>
        </w:trPr>
        <w:tc>
          <w:tcPr>
            <w:tcW w:w="1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78"/>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58"/>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78"/>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7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r>
      <w:tr>
        <w:trPr>
          <w:trHeight w:val="185"/>
        </w:trPr>
        <w:tc>
          <w:tcPr>
            <w:tcW w:w="1840" w:type="dxa"/>
            <w:vAlign w:val="bottom"/>
          </w:tcPr>
          <w:p>
            <w:pPr>
              <w:spacing w:after="0"/>
              <w:rPr>
                <w:sz w:val="20"/>
                <w:szCs w:val="20"/>
                <w:color w:val="auto"/>
              </w:rPr>
            </w:pPr>
            <w:r>
              <w:rPr>
                <w:rFonts w:ascii="Arial" w:cs="Arial" w:eastAsia="Arial" w:hAnsi="Arial"/>
                <w:sz w:val="16"/>
                <w:szCs w:val="16"/>
                <w:color w:val="auto"/>
              </w:rPr>
              <w:t>Balance post reverse</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acquisition</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6,128</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6,128</w:t>
            </w:r>
          </w:p>
        </w:tc>
        <w:tc>
          <w:tcPr>
            <w:tcW w:w="1140" w:type="dxa"/>
            <w:vAlign w:val="bottom"/>
          </w:tcPr>
          <w:p>
            <w:pPr>
              <w:jc w:val="right"/>
              <w:spacing w:after="0"/>
              <w:rPr>
                <w:sz w:val="20"/>
                <w:szCs w:val="20"/>
                <w:color w:val="auto"/>
              </w:rPr>
            </w:pPr>
            <w:r>
              <w:rPr>
                <w:rFonts w:ascii="Arial" w:cs="Arial" w:eastAsia="Arial" w:hAnsi="Arial"/>
                <w:sz w:val="16"/>
                <w:szCs w:val="16"/>
                <w:color w:val="auto"/>
              </w:rPr>
              <w:t>2,497,309</w:t>
            </w:r>
          </w:p>
        </w:tc>
        <w:tc>
          <w:tcPr>
            <w:tcW w:w="22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(85,000)</w:t>
            </w:r>
          </w:p>
        </w:tc>
        <w:tc>
          <w:tcPr>
            <w:tcW w:w="1360" w:type="dxa"/>
            <w:vAlign w:val="bottom"/>
            <w:gridSpan w:val="3"/>
          </w:tcPr>
          <w:p>
            <w:pPr>
              <w:jc w:val="right"/>
              <w:ind w:right="80"/>
              <w:spacing w:after="0"/>
              <w:rPr>
                <w:sz w:val="20"/>
                <w:szCs w:val="20"/>
                <w:color w:val="auto"/>
              </w:rPr>
            </w:pPr>
            <w:r>
              <w:rPr>
                <w:rFonts w:ascii="Arial" w:cs="Arial" w:eastAsia="Arial" w:hAnsi="Arial"/>
                <w:sz w:val="16"/>
                <w:szCs w:val="16"/>
                <w:color w:val="auto"/>
              </w:rPr>
              <w:t>(1,688,051)</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(3,978)</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726,408</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GMC subscription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proceeds received</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285,000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285,000</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Issued for cash:</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 at $62.50 per share</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170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170</w:t>
            </w:r>
          </w:p>
        </w:tc>
        <w:tc>
          <w:tcPr>
            <w:tcW w:w="1140" w:type="dxa"/>
            <w:vAlign w:val="bottom"/>
          </w:tcPr>
          <w:p>
            <w:pPr>
              <w:jc w:val="right"/>
              <w:spacing w:after="0"/>
              <w:rPr>
                <w:sz w:val="20"/>
                <w:szCs w:val="20"/>
                <w:color w:val="auto"/>
              </w:rPr>
            </w:pPr>
            <w:r>
              <w:rPr>
                <w:rFonts w:ascii="Arial" w:cs="Arial" w:eastAsia="Arial" w:hAnsi="Arial"/>
                <w:sz w:val="16"/>
                <w:szCs w:val="16"/>
                <w:color w:val="auto"/>
              </w:rPr>
              <w:t>1,063,330</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1,063,500</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Exercise of stock options</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41</w:t>
            </w: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50,959</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51,000</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630,275</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630,275</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6"/>
                <w:szCs w:val="16"/>
                <w:color w:val="auto"/>
              </w:rPr>
              <w:t>(2,284,709)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(2,284,709)</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Currency translation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1960" w:type="dxa"/>
            <w:vAlign w:val="bottom"/>
            <w:gridSpan w:val="2"/>
          </w:tcPr>
          <w:p>
            <w:pPr>
              <w:spacing w:after="0"/>
              <w:rPr>
                <w:sz w:val="20"/>
                <w:szCs w:val="20"/>
                <w:color w:val="auto"/>
              </w:rPr>
            </w:pPr>
            <w:r>
              <w:rPr>
                <w:rFonts w:ascii="Arial" w:cs="Arial" w:eastAsia="Arial" w:hAnsi="Arial"/>
                <w:sz w:val="16"/>
                <w:szCs w:val="16"/>
                <w:color w:val="auto"/>
              </w:rPr>
              <w:t>adjustment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(5,645)</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(5,645)</w:t>
            </w:r>
          </w:p>
        </w:tc>
      </w:tr>
      <w:tr>
        <w:trPr>
          <w:trHeight w:val="185"/>
        </w:trPr>
        <w:tc>
          <w:tcPr>
            <w:tcW w:w="18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w:t>
            </w: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6,339</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6,339</w:t>
            </w:r>
          </w:p>
        </w:tc>
        <w:tc>
          <w:tcPr>
            <w:tcW w:w="1140" w:type="dxa"/>
            <w:vAlign w:val="bottom"/>
          </w:tcPr>
          <w:p>
            <w:pPr>
              <w:jc w:val="right"/>
              <w:spacing w:after="0"/>
              <w:rPr>
                <w:sz w:val="20"/>
                <w:szCs w:val="20"/>
                <w:color w:val="auto"/>
              </w:rPr>
            </w:pPr>
            <w:r>
              <w:rPr>
                <w:rFonts w:ascii="Arial" w:cs="Arial" w:eastAsia="Arial" w:hAnsi="Arial"/>
                <w:sz w:val="16"/>
                <w:szCs w:val="16"/>
                <w:color w:val="auto"/>
              </w:rPr>
              <w:t>4,241,873</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200,000</w:t>
            </w:r>
          </w:p>
        </w:tc>
        <w:tc>
          <w:tcPr>
            <w:tcW w:w="1360" w:type="dxa"/>
            <w:vAlign w:val="bottom"/>
            <w:gridSpan w:val="3"/>
          </w:tcPr>
          <w:p>
            <w:pPr>
              <w:jc w:val="right"/>
              <w:ind w:right="80"/>
              <w:spacing w:after="0"/>
              <w:rPr>
                <w:sz w:val="20"/>
                <w:szCs w:val="20"/>
                <w:color w:val="auto"/>
              </w:rPr>
            </w:pPr>
            <w:r>
              <w:rPr>
                <w:rFonts w:ascii="Arial" w:cs="Arial" w:eastAsia="Arial" w:hAnsi="Arial"/>
                <w:sz w:val="16"/>
                <w:szCs w:val="16"/>
                <w:color w:val="auto"/>
              </w:rPr>
              <w:t>(3,972,760)</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(9,623)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465,829</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Exercise of stock options</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928</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927</w:t>
            </w:r>
          </w:p>
        </w:tc>
        <w:tc>
          <w:tcPr>
            <w:tcW w:w="1140" w:type="dxa"/>
            <w:vAlign w:val="bottom"/>
          </w:tcPr>
          <w:p>
            <w:pPr>
              <w:jc w:val="right"/>
              <w:spacing w:after="0"/>
              <w:rPr>
                <w:sz w:val="20"/>
                <w:szCs w:val="20"/>
                <w:color w:val="auto"/>
              </w:rPr>
            </w:pPr>
            <w:r>
              <w:rPr>
                <w:rFonts w:ascii="Arial" w:cs="Arial" w:eastAsia="Arial" w:hAnsi="Arial"/>
                <w:sz w:val="16"/>
                <w:szCs w:val="16"/>
                <w:color w:val="auto"/>
              </w:rPr>
              <w:t>1,420,888</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1,421,815</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Issued for cash:</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 at $125.00 per share</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17</w:t>
            </w: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214,983</w:t>
            </w:r>
          </w:p>
        </w:tc>
        <w:tc>
          <w:tcPr>
            <w:tcW w:w="22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(185,000)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30,000</w:t>
            </w:r>
          </w:p>
        </w:tc>
      </w:tr>
      <w:tr>
        <w:trPr>
          <w:trHeight w:val="19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 at $25.00 per share, net</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of finders’ fees</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222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222</w:t>
            </w:r>
          </w:p>
        </w:tc>
        <w:tc>
          <w:tcPr>
            <w:tcW w:w="1140" w:type="dxa"/>
            <w:vAlign w:val="bottom"/>
          </w:tcPr>
          <w:p>
            <w:pPr>
              <w:jc w:val="right"/>
              <w:spacing w:after="0"/>
              <w:rPr>
                <w:sz w:val="20"/>
                <w:szCs w:val="20"/>
                <w:color w:val="auto"/>
              </w:rPr>
            </w:pPr>
            <w:r>
              <w:rPr>
                <w:rFonts w:ascii="Arial" w:cs="Arial" w:eastAsia="Arial" w:hAnsi="Arial"/>
                <w:sz w:val="16"/>
                <w:szCs w:val="16"/>
                <w:color w:val="auto"/>
              </w:rPr>
              <w:t>521,593</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521,815</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Issued as finders’ fees</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13</w:t>
            </w: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Issued for license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agreement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1140" w:type="dxa"/>
            <w:vAlign w:val="bottom"/>
          </w:tcPr>
          <w:p>
            <w:pPr>
              <w:jc w:val="right"/>
              <w:spacing w:after="0"/>
              <w:rPr>
                <w:sz w:val="20"/>
                <w:szCs w:val="20"/>
                <w:color w:val="auto"/>
              </w:rPr>
            </w:pPr>
            <w:r>
              <w:rPr>
                <w:rFonts w:ascii="Arial" w:cs="Arial" w:eastAsia="Arial" w:hAnsi="Arial"/>
                <w:sz w:val="16"/>
                <w:szCs w:val="16"/>
                <w:color w:val="auto"/>
              </w:rPr>
              <w:t>9,996</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10,000</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Subscriptions repaid</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5,000</w:t>
            </w:r>
          </w:p>
        </w:tc>
        <w:tc>
          <w:tcPr>
            <w:tcW w:w="22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(15,000)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(10,000)</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2,733,000</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2,733,000</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6"/>
                <w:szCs w:val="16"/>
                <w:color w:val="auto"/>
              </w:rPr>
              <w:t>(5,778,905)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(5,778,905)</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Currency translation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1960" w:type="dxa"/>
            <w:vAlign w:val="bottom"/>
            <w:gridSpan w:val="2"/>
          </w:tcPr>
          <w:p>
            <w:pPr>
              <w:spacing w:after="0"/>
              <w:rPr>
                <w:sz w:val="20"/>
                <w:szCs w:val="20"/>
                <w:color w:val="auto"/>
              </w:rPr>
            </w:pPr>
            <w:r>
              <w:rPr>
                <w:rFonts w:ascii="Arial" w:cs="Arial" w:eastAsia="Arial" w:hAnsi="Arial"/>
                <w:sz w:val="16"/>
                <w:szCs w:val="16"/>
                <w:color w:val="auto"/>
              </w:rPr>
              <w:t>adjustment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(37,299)</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(37,299)</w:t>
            </w:r>
          </w:p>
        </w:tc>
      </w:tr>
      <w:tr>
        <w:trPr>
          <w:trHeight w:val="185"/>
        </w:trPr>
        <w:tc>
          <w:tcPr>
            <w:tcW w:w="18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w:t>
            </w: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7,523</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7,523</w:t>
            </w:r>
          </w:p>
        </w:tc>
        <w:tc>
          <w:tcPr>
            <w:tcW w:w="1140" w:type="dxa"/>
            <w:vAlign w:val="bottom"/>
          </w:tcPr>
          <w:p>
            <w:pPr>
              <w:jc w:val="right"/>
              <w:spacing w:after="0"/>
              <w:rPr>
                <w:sz w:val="20"/>
                <w:szCs w:val="20"/>
                <w:color w:val="auto"/>
              </w:rPr>
            </w:pPr>
            <w:r>
              <w:rPr>
                <w:rFonts w:ascii="Arial" w:cs="Arial" w:eastAsia="Arial" w:hAnsi="Arial"/>
                <w:sz w:val="16"/>
                <w:szCs w:val="16"/>
                <w:color w:val="auto"/>
              </w:rPr>
              <w:t>9,147,319</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6"/>
                <w:szCs w:val="16"/>
                <w:color w:val="auto"/>
              </w:rPr>
              <w:t>(9,751,665)</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(46,922)</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(643,745)</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Issued for cash:</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 at $17.50 per share, net</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of finders’ fees of $50,000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343</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343</w:t>
            </w:r>
          </w:p>
        </w:tc>
        <w:tc>
          <w:tcPr>
            <w:tcW w:w="1140" w:type="dxa"/>
            <w:vAlign w:val="bottom"/>
          </w:tcPr>
          <w:p>
            <w:pPr>
              <w:jc w:val="right"/>
              <w:spacing w:after="0"/>
              <w:rPr>
                <w:sz w:val="20"/>
                <w:szCs w:val="20"/>
                <w:color w:val="auto"/>
              </w:rPr>
            </w:pPr>
            <w:r>
              <w:rPr>
                <w:rFonts w:ascii="Arial" w:cs="Arial" w:eastAsia="Arial" w:hAnsi="Arial"/>
                <w:sz w:val="16"/>
                <w:szCs w:val="16"/>
                <w:color w:val="auto"/>
              </w:rPr>
              <w:t>549,657</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550,000</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Issued as finders’ fees</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29</w:t>
            </w: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(29)</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Fair value of warrants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issued in connection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2"/>
          </w:tcPr>
          <w:p>
            <w:pPr>
              <w:ind w:left="80"/>
              <w:spacing w:after="0"/>
              <w:rPr>
                <w:sz w:val="20"/>
                <w:szCs w:val="20"/>
                <w:color w:val="auto"/>
              </w:rPr>
            </w:pPr>
            <w:r>
              <w:rPr>
                <w:rFonts w:ascii="Arial" w:cs="Arial" w:eastAsia="Arial" w:hAnsi="Arial"/>
                <w:sz w:val="16"/>
                <w:szCs w:val="16"/>
                <w:color w:val="auto"/>
              </w:rPr>
              <w:t>with convertible notes</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65,000</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65,000</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Exercise of stock options</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143</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143</w:t>
            </w:r>
          </w:p>
        </w:tc>
        <w:tc>
          <w:tcPr>
            <w:tcW w:w="1140" w:type="dxa"/>
            <w:vAlign w:val="bottom"/>
          </w:tcPr>
          <w:p>
            <w:pPr>
              <w:jc w:val="right"/>
              <w:spacing w:after="0"/>
              <w:rPr>
                <w:sz w:val="20"/>
                <w:szCs w:val="20"/>
                <w:color w:val="auto"/>
              </w:rPr>
            </w:pPr>
            <w:r>
              <w:rPr>
                <w:rFonts w:ascii="Arial" w:cs="Arial" w:eastAsia="Arial" w:hAnsi="Arial"/>
                <w:sz w:val="16"/>
                <w:szCs w:val="16"/>
                <w:color w:val="auto"/>
              </w:rPr>
              <w:t>204,942</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205,085</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Settlement of debt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1140" w:type="dxa"/>
            <w:vAlign w:val="bottom"/>
          </w:tcPr>
          <w:p>
            <w:pPr>
              <w:jc w:val="right"/>
              <w:spacing w:after="0"/>
              <w:rPr>
                <w:sz w:val="20"/>
                <w:szCs w:val="20"/>
                <w:color w:val="auto"/>
              </w:rPr>
            </w:pPr>
            <w:r>
              <w:rPr>
                <w:rFonts w:ascii="Arial" w:cs="Arial" w:eastAsia="Arial" w:hAnsi="Arial"/>
                <w:sz w:val="16"/>
                <w:szCs w:val="16"/>
                <w:color w:val="auto"/>
              </w:rPr>
              <w:t>9,996</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10,000</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73,500</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73,500</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6"/>
                <w:szCs w:val="16"/>
                <w:color w:val="auto"/>
              </w:rPr>
              <w:t>(2,683,105)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(2,683,105)</w:t>
            </w:r>
          </w:p>
        </w:tc>
      </w:tr>
      <w:tr>
        <w:trPr>
          <w:trHeight w:val="197"/>
        </w:trPr>
        <w:tc>
          <w:tcPr>
            <w:tcW w:w="1960" w:type="dxa"/>
            <w:vAlign w:val="bottom"/>
            <w:gridSpan w:val="2"/>
          </w:tcPr>
          <w:p>
            <w:pPr>
              <w:spacing w:after="0"/>
              <w:rPr>
                <w:sz w:val="20"/>
                <w:szCs w:val="20"/>
                <w:color w:val="auto"/>
              </w:rPr>
            </w:pPr>
            <w:r>
              <w:rPr>
                <w:rFonts w:ascii="Arial" w:cs="Arial" w:eastAsia="Arial" w:hAnsi="Arial"/>
                <w:sz w:val="16"/>
                <w:szCs w:val="16"/>
                <w:color w:val="auto"/>
              </w:rPr>
              <w:t>Currency translation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1960" w:type="dxa"/>
            <w:vAlign w:val="bottom"/>
            <w:gridSpan w:val="2"/>
          </w:tcPr>
          <w:p>
            <w:pPr>
              <w:spacing w:after="0"/>
              <w:rPr>
                <w:sz w:val="20"/>
                <w:szCs w:val="20"/>
                <w:color w:val="auto"/>
              </w:rPr>
            </w:pPr>
            <w:r>
              <w:rPr>
                <w:rFonts w:ascii="Arial" w:cs="Arial" w:eastAsia="Arial" w:hAnsi="Arial"/>
                <w:sz w:val="16"/>
                <w:szCs w:val="16"/>
                <w:color w:val="auto"/>
              </w:rPr>
              <w:t>adjustment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(16,865)</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(16,865)</w:t>
            </w:r>
          </w:p>
        </w:tc>
      </w:tr>
      <w:tr>
        <w:trPr>
          <w:trHeight w:val="185"/>
        </w:trPr>
        <w:tc>
          <w:tcPr>
            <w:tcW w:w="18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w:t>
            </w: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1840" w:type="dxa"/>
            <w:vAlign w:val="bottom"/>
          </w:tcPr>
          <w:p>
            <w:pPr>
              <w:spacing w:after="0"/>
              <w:rPr>
                <w:sz w:val="20"/>
                <w:szCs w:val="20"/>
                <w:color w:val="auto"/>
              </w:rPr>
            </w:pPr>
            <w:r>
              <w:rPr>
                <w:rFonts w:ascii="Arial" w:cs="Arial" w:eastAsia="Arial" w:hAnsi="Arial"/>
                <w:sz w:val="16"/>
                <w:szCs w:val="16"/>
                <w:color w:val="auto"/>
              </w:rPr>
              <w:t>2004</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8,042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8,042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10,050,385</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6"/>
                <w:szCs w:val="16"/>
                <w:color w:val="auto"/>
              </w:rPr>
              <w:t>(12,434,770)</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(63,787)</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(2,440,130)</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Development Stage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STOCKHOLDERS’ DEFICIT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FROM JULY 27, 1999 (INCEPTION) TO DECEMBER 31, 2013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color w:val="auto"/>
              </w:rPr>
              <w:t>Deficit</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197"/>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left="59"/>
              <w:spacing w:after="0"/>
              <w:rPr>
                <w:sz w:val="20"/>
                <w:szCs w:val="20"/>
                <w:color w:val="auto"/>
              </w:rPr>
            </w:pPr>
            <w:r>
              <w:rPr>
                <w:rFonts w:ascii="Arial" w:cs="Arial" w:eastAsia="Arial" w:hAnsi="Arial"/>
                <w:sz w:val="16"/>
                <w:szCs w:val="16"/>
                <w:color w:val="auto"/>
                <w:w w:val="97"/>
              </w:rPr>
              <w:t>Obligation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Accumulated</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Accumulated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4"/>
          </w:tcPr>
          <w:p>
            <w:pPr>
              <w:ind w:left="760"/>
              <w:spacing w:after="0"/>
              <w:rPr>
                <w:sz w:val="20"/>
                <w:szCs w:val="20"/>
                <w:color w:val="auto"/>
              </w:rPr>
            </w:pPr>
            <w:r>
              <w:rPr>
                <w:rFonts w:ascii="Arial" w:cs="Arial" w:eastAsia="Arial" w:hAnsi="Arial"/>
                <w:sz w:val="16"/>
                <w:szCs w:val="16"/>
                <w:color w:val="auto"/>
              </w:rPr>
              <w:t>Common Stock</w:t>
            </w: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Additional</w:t>
            </w:r>
          </w:p>
        </w:tc>
        <w:tc>
          <w:tcPr>
            <w:tcW w:w="1000" w:type="dxa"/>
            <w:vAlign w:val="bottom"/>
          </w:tcPr>
          <w:p>
            <w:pPr>
              <w:jc w:val="center"/>
              <w:ind w:left="59"/>
              <w:spacing w:after="0"/>
              <w:rPr>
                <w:sz w:val="20"/>
                <w:szCs w:val="20"/>
                <w:color w:val="auto"/>
              </w:rPr>
            </w:pPr>
            <w:r>
              <w:rPr>
                <w:rFonts w:ascii="Arial" w:cs="Arial" w:eastAsia="Arial" w:hAnsi="Arial"/>
                <w:sz w:val="16"/>
                <w:szCs w:val="16"/>
                <w:color w:val="auto"/>
                <w:w w:val="89"/>
              </w:rPr>
              <w:t>to Issue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During the</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Other</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Number of</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6"/>
                <w:szCs w:val="16"/>
                <w:color w:val="auto"/>
              </w:rPr>
              <w:t>Paid In</w:t>
            </w:r>
          </w:p>
        </w:tc>
        <w:tc>
          <w:tcPr>
            <w:tcW w:w="1000" w:type="dxa"/>
            <w:vAlign w:val="bottom"/>
          </w:tcPr>
          <w:p>
            <w:pPr>
              <w:jc w:val="center"/>
              <w:ind w:left="39"/>
              <w:spacing w:after="0"/>
              <w:rPr>
                <w:sz w:val="20"/>
                <w:szCs w:val="20"/>
                <w:color w:val="auto"/>
              </w:rPr>
            </w:pPr>
            <w:r>
              <w:rPr>
                <w:rFonts w:ascii="Arial" w:cs="Arial" w:eastAsia="Arial" w:hAnsi="Arial"/>
                <w:sz w:val="16"/>
                <w:szCs w:val="16"/>
                <w:color w:val="auto"/>
                <w:w w:val="87"/>
              </w:rPr>
              <w:t>Shares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Development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Comprehensive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83"/>
              </w:rPr>
              <w:t>shares</w:t>
            </w:r>
          </w:p>
        </w:tc>
        <w:tc>
          <w:tcPr>
            <w:tcW w:w="1400" w:type="dxa"/>
            <w:vAlign w:val="bottom"/>
            <w:gridSpan w:val="2"/>
          </w:tcPr>
          <w:p>
            <w:pPr>
              <w:ind w:left="320"/>
              <w:spacing w:after="0"/>
              <w:rPr>
                <w:sz w:val="20"/>
                <w:szCs w:val="20"/>
                <w:color w:val="auto"/>
              </w:rPr>
            </w:pPr>
            <w:r>
              <w:rPr>
                <w:rFonts w:ascii="Arial" w:cs="Arial" w:eastAsia="Arial" w:hAnsi="Arial"/>
                <w:sz w:val="16"/>
                <w:szCs w:val="16"/>
                <w:color w:val="auto"/>
              </w:rPr>
              <w:t>Amount</w:t>
            </w:r>
          </w:p>
        </w:tc>
        <w:tc>
          <w:tcPr>
            <w:tcW w:w="1360" w:type="dxa"/>
            <w:vAlign w:val="bottom"/>
            <w:gridSpan w:val="2"/>
          </w:tcPr>
          <w:p>
            <w:pPr>
              <w:jc w:val="right"/>
              <w:ind w:right="560"/>
              <w:spacing w:after="0"/>
              <w:rPr>
                <w:sz w:val="20"/>
                <w:szCs w:val="20"/>
                <w:color w:val="auto"/>
              </w:rPr>
            </w:pPr>
            <w:r>
              <w:rPr>
                <w:rFonts w:ascii="Arial" w:cs="Arial" w:eastAsia="Arial" w:hAnsi="Arial"/>
                <w:sz w:val="16"/>
                <w:szCs w:val="16"/>
                <w:color w:val="auto"/>
              </w:rPr>
              <w:t>Capital</w:t>
            </w:r>
          </w:p>
        </w:tc>
        <w:tc>
          <w:tcPr>
            <w:tcW w:w="1000" w:type="dxa"/>
            <w:vAlign w:val="bottom"/>
          </w:tcPr>
          <w:p>
            <w:pPr>
              <w:jc w:val="center"/>
              <w:ind w:left="59"/>
              <w:spacing w:after="0"/>
              <w:rPr>
                <w:sz w:val="20"/>
                <w:szCs w:val="20"/>
                <w:color w:val="auto"/>
              </w:rPr>
            </w:pPr>
            <w:r>
              <w:rPr>
                <w:rFonts w:ascii="Arial" w:cs="Arial" w:eastAsia="Arial" w:hAnsi="Arial"/>
                <w:sz w:val="16"/>
                <w:szCs w:val="16"/>
                <w:color w:val="auto"/>
                <w:w w:val="89"/>
              </w:rPr>
              <w:t>Warrants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5"/>
              </w:rPr>
              <w:t>Stage</w:t>
            </w: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Loss</w:t>
            </w:r>
          </w:p>
        </w:tc>
        <w:tc>
          <w:tcPr>
            <w:tcW w:w="1240" w:type="dxa"/>
            <w:vAlign w:val="bottom"/>
            <w:gridSpan w:val="2"/>
          </w:tcPr>
          <w:p>
            <w:pPr>
              <w:jc w:val="right"/>
              <w:ind w:right="500"/>
              <w:spacing w:after="0"/>
              <w:rPr>
                <w:sz w:val="20"/>
                <w:szCs w:val="20"/>
                <w:color w:val="auto"/>
              </w:rPr>
            </w:pPr>
            <w:r>
              <w:rPr>
                <w:rFonts w:ascii="Arial" w:cs="Arial" w:eastAsia="Arial" w:hAnsi="Arial"/>
                <w:sz w:val="16"/>
                <w:szCs w:val="16"/>
                <w:color w:val="auto"/>
              </w:rPr>
              <w:t>Total</w:t>
            </w:r>
          </w:p>
        </w:tc>
      </w:tr>
      <w:tr>
        <w:trPr>
          <w:trHeight w:val="202"/>
        </w:trPr>
        <w:tc>
          <w:tcPr>
            <w:tcW w:w="1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998"/>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78"/>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7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r>
      <w:tr>
        <w:trPr>
          <w:trHeight w:val="185"/>
        </w:trPr>
        <w:tc>
          <w:tcPr>
            <w:tcW w:w="1840" w:type="dxa"/>
            <w:vAlign w:val="bottom"/>
          </w:tcPr>
          <w:p>
            <w:pPr>
              <w:spacing w:after="0"/>
              <w:rPr>
                <w:sz w:val="20"/>
                <w:szCs w:val="20"/>
                <w:color w:val="auto"/>
              </w:rPr>
            </w:pPr>
            <w:r>
              <w:rPr>
                <w:rFonts w:ascii="Arial" w:cs="Arial" w:eastAsia="Arial" w:hAnsi="Arial"/>
                <w:sz w:val="16"/>
                <w:szCs w:val="16"/>
                <w:color w:val="auto"/>
              </w:rPr>
              <w:t>Balance, December 31,</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2004</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8,042</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8,042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10,050,385</w:t>
            </w:r>
          </w:p>
        </w:tc>
        <w:tc>
          <w:tcPr>
            <w:tcW w:w="10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(12,434,770)</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(63,787)</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(2,440,130)</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Warrant component of</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convertible note</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46,250</w:t>
            </w:r>
          </w:p>
        </w:tc>
        <w:tc>
          <w:tcPr>
            <w:tcW w:w="10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46,250</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Issued for cash:</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ind w:left="40"/>
              <w:spacing w:after="0"/>
              <w:rPr>
                <w:sz w:val="20"/>
                <w:szCs w:val="20"/>
                <w:color w:val="auto"/>
              </w:rPr>
            </w:pPr>
            <w:r>
              <w:rPr>
                <w:rFonts w:ascii="Arial" w:cs="Arial" w:eastAsia="Arial" w:hAnsi="Arial"/>
                <w:sz w:val="16"/>
                <w:szCs w:val="16"/>
                <w:color w:val="auto"/>
                <w:w w:val="94"/>
              </w:rPr>
              <w:t>- at $3.80 per share, net of</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finders’ fees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ind w:left="80"/>
              <w:spacing w:after="0"/>
              <w:rPr>
                <w:sz w:val="20"/>
                <w:szCs w:val="20"/>
                <w:color w:val="auto"/>
              </w:rPr>
            </w:pPr>
            <w:r>
              <w:rPr>
                <w:rFonts w:ascii="Arial" w:cs="Arial" w:eastAsia="Arial" w:hAnsi="Arial"/>
                <w:sz w:val="16"/>
                <w:szCs w:val="16"/>
                <w:color w:val="auto"/>
                <w:w w:val="96"/>
              </w:rPr>
              <w:t>of $97,620 and legal fees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of $100,561</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3,627</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3,627</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1,158,437</w:t>
            </w:r>
          </w:p>
        </w:tc>
        <w:tc>
          <w:tcPr>
            <w:tcW w:w="10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1,162,064</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Net loss</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(985,599)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(985,599)</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Currency translation</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1840" w:type="dxa"/>
            <w:vAlign w:val="bottom"/>
          </w:tcPr>
          <w:p>
            <w:pPr>
              <w:spacing w:after="0"/>
              <w:rPr>
                <w:sz w:val="20"/>
                <w:szCs w:val="20"/>
                <w:color w:val="auto"/>
              </w:rPr>
            </w:pPr>
            <w:r>
              <w:rPr>
                <w:rFonts w:ascii="Arial" w:cs="Arial" w:eastAsia="Arial" w:hAnsi="Arial"/>
                <w:sz w:val="16"/>
                <w:szCs w:val="16"/>
                <w:color w:val="auto"/>
              </w:rPr>
              <w:t>adjustment</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(2,333)</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(2,333)</w:t>
            </w:r>
          </w:p>
        </w:tc>
      </w:tr>
      <w:tr>
        <w:trPr>
          <w:trHeight w:val="185"/>
        </w:trPr>
        <w:tc>
          <w:tcPr>
            <w:tcW w:w="18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w:t>
            </w: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2005</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11,669</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11,669</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11,255,072</w:t>
            </w:r>
          </w:p>
        </w:tc>
        <w:tc>
          <w:tcPr>
            <w:tcW w:w="10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(13,420,369)</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(66,120)</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(2,219,748)</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Fair value of beneficial</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feature on</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ind w:left="80"/>
              <w:spacing w:after="0"/>
              <w:rPr>
                <w:sz w:val="20"/>
                <w:szCs w:val="20"/>
                <w:color w:val="auto"/>
              </w:rPr>
            </w:pPr>
            <w:r>
              <w:rPr>
                <w:rFonts w:ascii="Arial" w:cs="Arial" w:eastAsia="Arial" w:hAnsi="Arial"/>
                <w:sz w:val="16"/>
                <w:szCs w:val="16"/>
                <w:color w:val="auto"/>
              </w:rPr>
              <w:t>convertible notes</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205,579</w:t>
            </w:r>
          </w:p>
        </w:tc>
        <w:tc>
          <w:tcPr>
            <w:tcW w:w="10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205,579</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Fair value of warrants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issued with</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ind w:left="80"/>
              <w:spacing w:after="0"/>
              <w:rPr>
                <w:sz w:val="20"/>
                <w:szCs w:val="20"/>
                <w:color w:val="auto"/>
              </w:rPr>
            </w:pPr>
            <w:r>
              <w:rPr>
                <w:rFonts w:ascii="Arial" w:cs="Arial" w:eastAsia="Arial" w:hAnsi="Arial"/>
                <w:sz w:val="16"/>
                <w:szCs w:val="16"/>
                <w:color w:val="auto"/>
              </w:rPr>
              <w:t>convertible notes</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288,921</w:t>
            </w:r>
          </w:p>
        </w:tc>
        <w:tc>
          <w:tcPr>
            <w:tcW w:w="10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288,921</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Net loss</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(1,304,387)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(1,304,387)</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Currency translation</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1840" w:type="dxa"/>
            <w:vAlign w:val="bottom"/>
          </w:tcPr>
          <w:p>
            <w:pPr>
              <w:spacing w:after="0"/>
              <w:rPr>
                <w:sz w:val="20"/>
                <w:szCs w:val="20"/>
                <w:color w:val="auto"/>
              </w:rPr>
            </w:pPr>
            <w:r>
              <w:rPr>
                <w:rFonts w:ascii="Arial" w:cs="Arial" w:eastAsia="Arial" w:hAnsi="Arial"/>
                <w:sz w:val="16"/>
                <w:szCs w:val="16"/>
                <w:color w:val="auto"/>
              </w:rPr>
              <w:t>adjustment</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6"/>
                <w:szCs w:val="16"/>
                <w:color w:val="auto"/>
              </w:rPr>
              <w:t>29,555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29,555</w:t>
            </w:r>
          </w:p>
        </w:tc>
      </w:tr>
      <w:tr>
        <w:trPr>
          <w:trHeight w:val="185"/>
        </w:trPr>
        <w:tc>
          <w:tcPr>
            <w:tcW w:w="18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w:t>
            </w: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2006</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11,669</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11,669</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11,749,572</w:t>
            </w:r>
          </w:p>
        </w:tc>
        <w:tc>
          <w:tcPr>
            <w:tcW w:w="10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(14,724,756)</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(36,565)</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(3,000,080)</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Issued for cash:</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ind w:left="40"/>
              <w:spacing w:after="0"/>
              <w:rPr>
                <w:sz w:val="20"/>
                <w:szCs w:val="20"/>
                <w:color w:val="auto"/>
              </w:rPr>
            </w:pPr>
            <w:r>
              <w:rPr>
                <w:rFonts w:ascii="Arial" w:cs="Arial" w:eastAsia="Arial" w:hAnsi="Arial"/>
                <w:sz w:val="16"/>
                <w:szCs w:val="16"/>
                <w:color w:val="auto"/>
              </w:rPr>
              <w:t>- at $2.50 per share</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2,180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2,180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542,820</w:t>
            </w:r>
          </w:p>
        </w:tc>
        <w:tc>
          <w:tcPr>
            <w:tcW w:w="10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545,000</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w w:val="92"/>
              </w:rPr>
              <w:t>Issued on the conversion of</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notes: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ind w:left="40"/>
              <w:spacing w:after="0"/>
              <w:rPr>
                <w:sz w:val="20"/>
                <w:szCs w:val="20"/>
                <w:color w:val="auto"/>
              </w:rPr>
            </w:pPr>
            <w:r>
              <w:rPr>
                <w:rFonts w:ascii="Arial" w:cs="Arial" w:eastAsia="Arial" w:hAnsi="Arial"/>
                <w:sz w:val="16"/>
                <w:szCs w:val="16"/>
                <w:color w:val="auto"/>
                <w:w w:val="94"/>
              </w:rPr>
              <w:t>- 2006 convertible notes at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$2.50 per share</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1,978</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1,978</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492,522</w:t>
            </w:r>
          </w:p>
        </w:tc>
        <w:tc>
          <w:tcPr>
            <w:tcW w:w="10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494,500</w:t>
            </w:r>
          </w:p>
        </w:tc>
      </w:tr>
      <w:tr>
        <w:trPr>
          <w:trHeight w:val="197"/>
        </w:trPr>
        <w:tc>
          <w:tcPr>
            <w:tcW w:w="1840" w:type="dxa"/>
            <w:vAlign w:val="bottom"/>
          </w:tcPr>
          <w:p>
            <w:pPr>
              <w:ind w:left="40"/>
              <w:spacing w:after="0"/>
              <w:rPr>
                <w:sz w:val="20"/>
                <w:szCs w:val="20"/>
                <w:color w:val="auto"/>
              </w:rPr>
            </w:pPr>
            <w:r>
              <w:rPr>
                <w:rFonts w:ascii="Arial" w:cs="Arial" w:eastAsia="Arial" w:hAnsi="Arial"/>
                <w:sz w:val="16"/>
                <w:szCs w:val="16"/>
                <w:color w:val="auto"/>
                <w:w w:val="94"/>
              </w:rPr>
              <w:t>- 2007 convertible notes at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$2.50 per share</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4,064</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4,064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1,011,936</w:t>
            </w:r>
          </w:p>
        </w:tc>
        <w:tc>
          <w:tcPr>
            <w:tcW w:w="10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1,016,000</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w w:val="92"/>
              </w:rPr>
              <w:t>Issued on the conversion of</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ind w:left="80"/>
              <w:spacing w:after="0"/>
              <w:rPr>
                <w:sz w:val="20"/>
                <w:szCs w:val="20"/>
                <w:color w:val="auto"/>
              </w:rPr>
            </w:pPr>
            <w:r>
              <w:rPr>
                <w:rFonts w:ascii="Arial" w:cs="Arial" w:eastAsia="Arial" w:hAnsi="Arial"/>
                <w:sz w:val="16"/>
                <w:szCs w:val="16"/>
                <w:color w:val="auto"/>
              </w:rPr>
              <w:t>and related party debt at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$2.50 per share</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2,912</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2,912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725,040</w:t>
            </w:r>
          </w:p>
        </w:tc>
        <w:tc>
          <w:tcPr>
            <w:tcW w:w="10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727,952</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w w:val="96"/>
              </w:rPr>
              <w:t>Issued for finance charges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on the 2007</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ind w:left="80"/>
              <w:spacing w:after="0"/>
              <w:rPr>
                <w:sz w:val="20"/>
                <w:szCs w:val="20"/>
                <w:color w:val="auto"/>
              </w:rPr>
            </w:pPr>
            <w:r>
              <w:rPr>
                <w:rFonts w:ascii="Arial" w:cs="Arial" w:eastAsia="Arial" w:hAnsi="Arial"/>
                <w:sz w:val="16"/>
                <w:szCs w:val="16"/>
                <w:color w:val="auto"/>
              </w:rPr>
              <w:t>convertible notes $2.50</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per share</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600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600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149,400</w:t>
            </w:r>
          </w:p>
        </w:tc>
        <w:tc>
          <w:tcPr>
            <w:tcW w:w="10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150,000</w:t>
            </w: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w w:val="97"/>
              </w:rPr>
              <w:t>Issued pursuant to service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agreements at a</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ind w:left="80"/>
              <w:spacing w:after="0"/>
              <w:rPr>
                <w:sz w:val="20"/>
                <w:szCs w:val="20"/>
                <w:color w:val="auto"/>
              </w:rPr>
            </w:pPr>
            <w:r>
              <w:rPr>
                <w:rFonts w:ascii="Arial" w:cs="Arial" w:eastAsia="Arial" w:hAnsi="Arial"/>
                <w:sz w:val="16"/>
                <w:szCs w:val="16"/>
                <w:color w:val="auto"/>
              </w:rPr>
              <w:t>fair value of $3.60 per</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share</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100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100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35,900</w:t>
            </w:r>
          </w:p>
        </w:tc>
        <w:tc>
          <w:tcPr>
            <w:tcW w:w="100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36,000</w:t>
            </w:r>
          </w:p>
        </w:tc>
      </w:tr>
      <w:tr>
        <w:trPr>
          <w:trHeight w:val="208"/>
        </w:trPr>
        <w:tc>
          <w:tcPr>
            <w:tcW w:w="1840" w:type="dxa"/>
            <w:vAlign w:val="bottom"/>
          </w:tcPr>
          <w:p>
            <w:pPr>
              <w:spacing w:after="0"/>
              <w:rPr>
                <w:sz w:val="20"/>
                <w:szCs w:val="20"/>
                <w:color w:val="auto"/>
              </w:rPr>
            </w:pPr>
            <w:r>
              <w:rPr>
                <w:rFonts w:ascii="Arial" w:cs="Arial" w:eastAsia="Arial" w:hAnsi="Arial"/>
                <w:sz w:val="16"/>
                <w:szCs w:val="16"/>
                <w:color w:val="auto"/>
              </w:rPr>
              <w:t>Financing charges</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(167,500)</w:t>
            </w:r>
          </w:p>
        </w:tc>
        <w:tc>
          <w:tcPr>
            <w:tcW w:w="10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(167,500)</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Development Stage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STOCKHOLDERS’ DEFICIT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FROM JULY 27, 1999 (INCEPTION) TO DECEMBER 31, 2013</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color w:val="auto"/>
              </w:rPr>
              <w:t>Deficit</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197"/>
        </w:trPr>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Obligation</w:t>
            </w:r>
          </w:p>
        </w:tc>
        <w:tc>
          <w:tcPr>
            <w:tcW w:w="12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Accumulated</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Accumulated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4"/>
          </w:tcPr>
          <w:p>
            <w:pPr>
              <w:ind w:left="760"/>
              <w:spacing w:after="0"/>
              <w:rPr>
                <w:sz w:val="20"/>
                <w:szCs w:val="20"/>
                <w:color w:val="auto"/>
              </w:rPr>
            </w:pPr>
            <w:r>
              <w:rPr>
                <w:rFonts w:ascii="Arial" w:cs="Arial" w:eastAsia="Arial" w:hAnsi="Arial"/>
                <w:sz w:val="16"/>
                <w:szCs w:val="16"/>
                <w:color w:val="auto"/>
              </w:rPr>
              <w:t>Common Stock</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Additional</w:t>
            </w: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to Issue</w:t>
            </w:r>
          </w:p>
        </w:tc>
        <w:tc>
          <w:tcPr>
            <w:tcW w:w="12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During the</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Other</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Number of</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Paid In</w:t>
            </w: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Shares and</w:t>
            </w:r>
          </w:p>
        </w:tc>
        <w:tc>
          <w:tcPr>
            <w:tcW w:w="12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Development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Comprehensive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83"/>
              </w:rPr>
              <w:t>shares</w:t>
            </w:r>
          </w:p>
        </w:tc>
        <w:tc>
          <w:tcPr>
            <w:tcW w:w="1400" w:type="dxa"/>
            <w:vAlign w:val="bottom"/>
            <w:gridSpan w:val="2"/>
          </w:tcPr>
          <w:p>
            <w:pPr>
              <w:ind w:left="320"/>
              <w:spacing w:after="0"/>
              <w:rPr>
                <w:sz w:val="20"/>
                <w:szCs w:val="20"/>
                <w:color w:val="auto"/>
              </w:rPr>
            </w:pPr>
            <w:r>
              <w:rPr>
                <w:rFonts w:ascii="Arial" w:cs="Arial" w:eastAsia="Arial" w:hAnsi="Arial"/>
                <w:sz w:val="16"/>
                <w:szCs w:val="16"/>
                <w:color w:val="auto"/>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Capital</w:t>
            </w: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Warrants</w:t>
            </w:r>
          </w:p>
        </w:tc>
        <w:tc>
          <w:tcPr>
            <w:tcW w:w="1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5"/>
              </w:rPr>
              <w:t>Stage</w:t>
            </w: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Loss</w:t>
            </w:r>
          </w:p>
        </w:tc>
        <w:tc>
          <w:tcPr>
            <w:tcW w:w="1240" w:type="dxa"/>
            <w:vAlign w:val="bottom"/>
            <w:gridSpan w:val="2"/>
          </w:tcPr>
          <w:p>
            <w:pPr>
              <w:jc w:val="right"/>
              <w:ind w:right="500"/>
              <w:spacing w:after="0"/>
              <w:rPr>
                <w:sz w:val="20"/>
                <w:szCs w:val="20"/>
                <w:color w:val="auto"/>
              </w:rPr>
            </w:pPr>
            <w:r>
              <w:rPr>
                <w:rFonts w:ascii="Arial" w:cs="Arial" w:eastAsia="Arial" w:hAnsi="Arial"/>
                <w:sz w:val="16"/>
                <w:szCs w:val="16"/>
                <w:color w:val="auto"/>
              </w:rPr>
              <w:t>Total</w:t>
            </w:r>
          </w:p>
        </w:tc>
      </w:tr>
      <w:tr>
        <w:trPr>
          <w:trHeight w:val="202"/>
        </w:trPr>
        <w:tc>
          <w:tcPr>
            <w:tcW w:w="7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998"/>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7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7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r>
      <w:tr>
        <w:trPr>
          <w:trHeight w:val="185"/>
        </w:trPr>
        <w:tc>
          <w:tcPr>
            <w:tcW w:w="1840" w:type="dxa"/>
            <w:vAlign w:val="bottom"/>
            <w:gridSpan w:val="2"/>
          </w:tcPr>
          <w:p>
            <w:pPr>
              <w:spacing w:after="0"/>
              <w:rPr>
                <w:sz w:val="20"/>
                <w:szCs w:val="20"/>
                <w:color w:val="auto"/>
              </w:rPr>
            </w:pPr>
            <w:r>
              <w:rPr>
                <w:rFonts w:ascii="Arial" w:cs="Arial" w:eastAsia="Arial" w:hAnsi="Arial"/>
                <w:sz w:val="16"/>
                <w:szCs w:val="16"/>
                <w:color w:val="auto"/>
              </w:rPr>
              <w:t>Fair value of beneficial</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conversion feature 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ind w:left="120"/>
              <w:spacing w:after="0"/>
              <w:rPr>
                <w:sz w:val="20"/>
                <w:szCs w:val="20"/>
                <w:color w:val="auto"/>
              </w:rPr>
            </w:pPr>
            <w:r>
              <w:rPr>
                <w:rFonts w:ascii="Arial" w:cs="Arial" w:eastAsia="Arial" w:hAnsi="Arial"/>
                <w:sz w:val="16"/>
                <w:szCs w:val="16"/>
                <w:color w:val="auto"/>
              </w:rPr>
              <w:t>the 2007 convertible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6"/>
                <w:szCs w:val="16"/>
                <w:color w:val="auto"/>
              </w:rPr>
              <w:t>notes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358,906</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358,906</w:t>
            </w: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Fair value of warrants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issued in connection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ind w:left="120"/>
              <w:spacing w:after="0"/>
              <w:rPr>
                <w:sz w:val="20"/>
                <w:szCs w:val="20"/>
                <w:color w:val="auto"/>
              </w:rPr>
            </w:pPr>
            <w:r>
              <w:rPr>
                <w:rFonts w:ascii="Arial" w:cs="Arial" w:eastAsia="Arial" w:hAnsi="Arial"/>
                <w:sz w:val="16"/>
                <w:szCs w:val="16"/>
                <w:color w:val="auto"/>
              </w:rPr>
              <w:t>with the 2007 convertible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6"/>
                <w:szCs w:val="16"/>
                <w:color w:val="auto"/>
              </w:rPr>
              <w:t>notes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657,095</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657,095</w:t>
            </w: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Fair value of warrants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issued in connection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ind w:left="120"/>
              <w:spacing w:after="0"/>
              <w:rPr>
                <w:sz w:val="20"/>
                <w:szCs w:val="20"/>
                <w:color w:val="auto"/>
              </w:rPr>
            </w:pPr>
            <w:r>
              <w:rPr>
                <w:rFonts w:ascii="Arial" w:cs="Arial" w:eastAsia="Arial" w:hAnsi="Arial"/>
                <w:sz w:val="16"/>
                <w:szCs w:val="16"/>
                <w:color w:val="auto"/>
              </w:rPr>
              <w:t>with the 2007 promissory</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6"/>
                <w:szCs w:val="16"/>
                <w:color w:val="auto"/>
              </w:rPr>
              <w:t>notes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374,104</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374,104</w:t>
            </w: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Fair value of warrants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issued as finders’ fees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ind w:left="120"/>
              <w:spacing w:after="0"/>
              <w:rPr>
                <w:sz w:val="20"/>
                <w:szCs w:val="20"/>
                <w:color w:val="auto"/>
              </w:rPr>
            </w:pPr>
            <w:r>
              <w:rPr>
                <w:rFonts w:ascii="Arial" w:cs="Arial" w:eastAsia="Arial" w:hAnsi="Arial"/>
                <w:sz w:val="16"/>
                <w:szCs w:val="16"/>
                <w:color w:val="auto"/>
              </w:rPr>
              <w:t>for the 2007 promissory</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6"/>
                <w:szCs w:val="16"/>
                <w:color w:val="auto"/>
              </w:rPr>
              <w:t>notes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35,600</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35,600</w:t>
            </w: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w w:val="99"/>
              </w:rPr>
              <w:t>Re-pricing and extension of</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6"/>
                <w:szCs w:val="16"/>
                <w:color w:val="auto"/>
              </w:rPr>
              <w:t>warrants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40,000</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40,000</w:t>
            </w: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Stock 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904,822</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904,822</w:t>
            </w: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Obligation to issue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warrants at fair value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6"/>
                <w:szCs w:val="16"/>
                <w:color w:val="auto"/>
              </w:rPr>
              <w:t>pursuant</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ind w:left="120"/>
              <w:spacing w:after="0"/>
              <w:rPr>
                <w:sz w:val="20"/>
                <w:szCs w:val="20"/>
                <w:color w:val="auto"/>
              </w:rPr>
            </w:pPr>
            <w:r>
              <w:rPr>
                <w:rFonts w:ascii="Arial" w:cs="Arial" w:eastAsia="Arial" w:hAnsi="Arial"/>
                <w:sz w:val="16"/>
                <w:szCs w:val="16"/>
                <w:color w:val="auto"/>
              </w:rPr>
              <w:t>to promissory note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6"/>
                <w:szCs w:val="16"/>
                <w:color w:val="auto"/>
              </w:rPr>
              <w:t>extension</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44,000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44,000</w:t>
            </w: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Obligation to issue shares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at fair value pursuant</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ind w:left="120"/>
              <w:spacing w:after="0"/>
              <w:rPr>
                <w:sz w:val="20"/>
                <w:szCs w:val="20"/>
                <w:color w:val="auto"/>
              </w:rPr>
            </w:pPr>
            <w:r>
              <w:rPr>
                <w:rFonts w:ascii="Arial" w:cs="Arial" w:eastAsia="Arial" w:hAnsi="Arial"/>
                <w:sz w:val="16"/>
                <w:szCs w:val="16"/>
                <w:color w:val="auto"/>
              </w:rPr>
              <w:t>to service agreements</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23,400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23,400</w:t>
            </w:r>
          </w:p>
        </w:tc>
      </w:tr>
      <w:tr>
        <w:trPr>
          <w:trHeight w:val="197"/>
        </w:trPr>
        <w:tc>
          <w:tcPr>
            <w:tcW w:w="760" w:type="dxa"/>
            <w:vAlign w:val="bottom"/>
          </w:tcPr>
          <w:p>
            <w:pPr>
              <w:spacing w:after="0"/>
              <w:rPr>
                <w:sz w:val="20"/>
                <w:szCs w:val="20"/>
                <w:color w:val="auto"/>
              </w:rPr>
            </w:pPr>
            <w:r>
              <w:rPr>
                <w:rFonts w:ascii="Arial" w:cs="Arial" w:eastAsia="Arial" w:hAnsi="Arial"/>
                <w:sz w:val="16"/>
                <w:szCs w:val="16"/>
                <w:color w:val="auto"/>
              </w:rPr>
              <w:t>Net loss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(3,891,411)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(3,891,411)</w:t>
            </w:r>
          </w:p>
        </w:tc>
      </w:tr>
      <w:tr>
        <w:trPr>
          <w:trHeight w:val="197"/>
        </w:trPr>
        <w:tc>
          <w:tcPr>
            <w:tcW w:w="760" w:type="dxa"/>
            <w:vAlign w:val="bottom"/>
          </w:tcPr>
          <w:p>
            <w:pPr>
              <w:spacing w:after="0"/>
              <w:rPr>
                <w:sz w:val="20"/>
                <w:szCs w:val="20"/>
                <w:color w:val="auto"/>
              </w:rPr>
            </w:pPr>
            <w:r>
              <w:rPr>
                <w:rFonts w:ascii="Arial" w:cs="Arial" w:eastAsia="Arial" w:hAnsi="Arial"/>
                <w:sz w:val="16"/>
                <w:szCs w:val="16"/>
                <w:color w:val="auto"/>
              </w:rPr>
              <w:t>Currency</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translation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760" w:type="dxa"/>
            <w:vAlign w:val="bottom"/>
          </w:tcPr>
          <w:p>
            <w:pPr>
              <w:spacing w:after="0"/>
              <w:rPr>
                <w:sz w:val="20"/>
                <w:szCs w:val="20"/>
                <w:color w:val="auto"/>
              </w:rPr>
            </w:pPr>
            <w:r>
              <w:rPr>
                <w:rFonts w:ascii="Arial" w:cs="Arial" w:eastAsia="Arial" w:hAnsi="Arial"/>
                <w:sz w:val="16"/>
                <w:szCs w:val="16"/>
                <w:color w:val="auto"/>
                <w:w w:val="94"/>
              </w:rPr>
              <w:t>adjustment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(23,161)</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(23,161)</w:t>
            </w:r>
          </w:p>
        </w:tc>
      </w:tr>
      <w:tr>
        <w:trPr>
          <w:trHeight w:val="185"/>
        </w:trPr>
        <w:tc>
          <w:tcPr>
            <w:tcW w:w="7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December  31,</w:t>
            </w: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6"/>
                <w:szCs w:val="16"/>
                <w:color w:val="auto"/>
              </w:rPr>
              <w:t>2007</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23,503</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23,503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16,910,218</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67,400</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(18,616,167)</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(59,726)</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(1,674,772)</w:t>
            </w: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Issued for cash</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 at $2.50 per share in July</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6"/>
                <w:szCs w:val="16"/>
                <w:color w:val="auto"/>
              </w:rPr>
              <w:t>2008</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140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140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34,860</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35,000</w:t>
            </w: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Issued on the exercise of</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warrants in June 2008</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207</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207</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24,793</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25,000</w:t>
            </w: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Issued pursuant to service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6"/>
                <w:szCs w:val="16"/>
                <w:color w:val="auto"/>
                <w:w w:val="87"/>
              </w:rPr>
              <w:t>agreements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ind w:left="80"/>
              <w:spacing w:after="0"/>
              <w:rPr>
                <w:sz w:val="20"/>
                <w:szCs w:val="20"/>
                <w:color w:val="auto"/>
              </w:rPr>
            </w:pPr>
            <w:r>
              <w:rPr>
                <w:rFonts w:ascii="Arial" w:cs="Arial" w:eastAsia="Arial" w:hAnsi="Arial"/>
                <w:sz w:val="16"/>
                <w:szCs w:val="16"/>
                <w:color w:val="auto"/>
              </w:rPr>
              <w:t>at a fair value of $3.00 per</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share in April 2008</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300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300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89,700</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90,000</w:t>
            </w: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Fair value of warrants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issued in connection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ind w:left="80"/>
              <w:spacing w:after="0"/>
              <w:rPr>
                <w:sz w:val="20"/>
                <w:szCs w:val="20"/>
                <w:color w:val="auto"/>
              </w:rPr>
            </w:pPr>
            <w:r>
              <w:rPr>
                <w:rFonts w:ascii="Arial" w:cs="Arial" w:eastAsia="Arial" w:hAnsi="Arial"/>
                <w:sz w:val="16"/>
                <w:szCs w:val="16"/>
                <w:color w:val="auto"/>
              </w:rPr>
              <w:t>with the 2008 promissory</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notes in May 2008</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206,820</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206,820</w:t>
            </w: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Fair value of warrants to be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6"/>
                <w:szCs w:val="16"/>
                <w:color w:val="auto"/>
              </w:rPr>
              <w:t>issued in</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ind w:left="80"/>
              <w:spacing w:after="0"/>
              <w:rPr>
                <w:sz w:val="20"/>
                <w:szCs w:val="20"/>
                <w:color w:val="auto"/>
              </w:rPr>
            </w:pPr>
            <w:r>
              <w:rPr>
                <w:rFonts w:ascii="Arial" w:cs="Arial" w:eastAsia="Arial" w:hAnsi="Arial"/>
                <w:sz w:val="16"/>
                <w:szCs w:val="16"/>
                <w:color w:val="auto"/>
              </w:rPr>
              <w:t>connection with notes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payable in October 2008</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256,350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256,350</w:t>
            </w: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Stock based compensation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3"/>
          </w:tcPr>
          <w:p>
            <w:pPr>
              <w:spacing w:after="0"/>
              <w:rPr>
                <w:sz w:val="20"/>
                <w:szCs w:val="20"/>
                <w:color w:val="auto"/>
              </w:rPr>
            </w:pPr>
            <w:r>
              <w:rPr>
                <w:rFonts w:ascii="Arial" w:cs="Arial" w:eastAsia="Arial" w:hAnsi="Arial"/>
                <w:sz w:val="16"/>
                <w:szCs w:val="16"/>
                <w:color w:val="auto"/>
              </w:rPr>
              <w:t>in January to December</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60" w:type="dxa"/>
            <w:vAlign w:val="bottom"/>
          </w:tcPr>
          <w:p>
            <w:pPr>
              <w:spacing w:after="0"/>
              <w:rPr>
                <w:sz w:val="20"/>
                <w:szCs w:val="20"/>
                <w:color w:val="auto"/>
              </w:rPr>
            </w:pPr>
            <w:r>
              <w:rPr>
                <w:rFonts w:ascii="Arial" w:cs="Arial" w:eastAsia="Arial" w:hAnsi="Arial"/>
                <w:sz w:val="16"/>
                <w:szCs w:val="16"/>
                <w:color w:val="auto"/>
              </w:rPr>
              <w:t>2008</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234,168</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234,168</w:t>
            </w:r>
          </w:p>
        </w:tc>
      </w:tr>
      <w:tr>
        <w:trPr>
          <w:trHeight w:val="214"/>
        </w:trPr>
        <w:tc>
          <w:tcPr>
            <w:tcW w:w="760" w:type="dxa"/>
            <w:vAlign w:val="bottom"/>
          </w:tcPr>
          <w:p>
            <w:pPr>
              <w:spacing w:after="0"/>
              <w:rPr>
                <w:sz w:val="20"/>
                <w:szCs w:val="20"/>
                <w:color w:val="auto"/>
              </w:rPr>
            </w:pPr>
            <w:r>
              <w:rPr>
                <w:rFonts w:ascii="Arial" w:cs="Arial" w:eastAsia="Arial" w:hAnsi="Arial"/>
                <w:sz w:val="16"/>
                <w:szCs w:val="16"/>
                <w:color w:val="auto"/>
              </w:rPr>
              <w:t>Net loss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(2,195,939)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(2,195,939)</w:t>
            </w:r>
          </w:p>
        </w:tc>
      </w:tr>
      <w:tr>
        <w:trPr>
          <w:trHeight w:val="185"/>
        </w:trPr>
        <w:tc>
          <w:tcPr>
            <w:tcW w:w="18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Balance, December 31,</w:t>
            </w: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760" w:type="dxa"/>
            <w:vAlign w:val="bottom"/>
          </w:tcPr>
          <w:p>
            <w:pPr>
              <w:spacing w:after="0"/>
              <w:rPr>
                <w:sz w:val="20"/>
                <w:szCs w:val="20"/>
                <w:color w:val="auto"/>
              </w:rPr>
            </w:pPr>
            <w:r>
              <w:rPr>
                <w:rFonts w:ascii="Arial" w:cs="Arial" w:eastAsia="Arial" w:hAnsi="Arial"/>
                <w:sz w:val="16"/>
                <w:szCs w:val="16"/>
                <w:color w:val="auto"/>
              </w:rPr>
              <w:t>2008</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24,150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24,150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17,500,559</w:t>
            </w: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323,750</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(20,812,106)</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(59,726)</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(3,023,373)</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Development Stage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STOCKHOLDERS’ DEFICIT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FROM JULY 27, 1999 (INCEPTION) TO DECEMBER 31, 2013</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340"/>
              <w:spacing w:after="0"/>
              <w:rPr>
                <w:sz w:val="20"/>
                <w:szCs w:val="20"/>
                <w:color w:val="auto"/>
              </w:rPr>
            </w:pPr>
            <w:r>
              <w:rPr>
                <w:rFonts w:ascii="Arial" w:cs="Arial" w:eastAsia="Arial" w:hAnsi="Arial"/>
                <w:sz w:val="16"/>
                <w:szCs w:val="16"/>
                <w:color w:val="auto"/>
              </w:rPr>
              <w:t>Deficit</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197"/>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Obligation</w:t>
            </w:r>
          </w:p>
        </w:tc>
        <w:tc>
          <w:tcPr>
            <w:tcW w:w="8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Accumulated</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Accumulated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4"/>
          </w:tcPr>
          <w:p>
            <w:pPr>
              <w:jc w:val="right"/>
              <w:ind w:right="1000"/>
              <w:spacing w:after="0"/>
              <w:rPr>
                <w:sz w:val="20"/>
                <w:szCs w:val="20"/>
                <w:color w:val="auto"/>
              </w:rPr>
            </w:pPr>
            <w:r>
              <w:rPr>
                <w:rFonts w:ascii="Arial" w:cs="Arial" w:eastAsia="Arial" w:hAnsi="Arial"/>
                <w:sz w:val="16"/>
                <w:szCs w:val="16"/>
                <w:color w:val="auto"/>
              </w:rPr>
              <w:t>Common Stock</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Additional</w:t>
            </w:r>
          </w:p>
        </w:tc>
        <w:tc>
          <w:tcPr>
            <w:tcW w:w="12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to Issue</w:t>
            </w:r>
          </w:p>
        </w:tc>
        <w:tc>
          <w:tcPr>
            <w:tcW w:w="8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During the</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Other</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Number of</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Paid In</w:t>
            </w:r>
          </w:p>
        </w:tc>
        <w:tc>
          <w:tcPr>
            <w:tcW w:w="120" w:type="dxa"/>
            <w:vAlign w:val="bottom"/>
          </w:tcPr>
          <w:p>
            <w:pPr>
              <w:spacing w:after="0"/>
              <w:rPr>
                <w:sz w:val="17"/>
                <w:szCs w:val="17"/>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color w:val="auto"/>
                <w:w w:val="87"/>
              </w:rPr>
              <w:t>Shares and</w:t>
            </w:r>
          </w:p>
        </w:tc>
        <w:tc>
          <w:tcPr>
            <w:tcW w:w="8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Development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Comprehensive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83"/>
              </w:rPr>
              <w:t>shares</w:t>
            </w:r>
          </w:p>
        </w:tc>
        <w:tc>
          <w:tcPr>
            <w:tcW w:w="1400" w:type="dxa"/>
            <w:vAlign w:val="bottom"/>
            <w:gridSpan w:val="2"/>
          </w:tcPr>
          <w:p>
            <w:pPr>
              <w:jc w:val="right"/>
              <w:ind w:right="560"/>
              <w:spacing w:after="0"/>
              <w:rPr>
                <w:sz w:val="20"/>
                <w:szCs w:val="20"/>
                <w:color w:val="auto"/>
              </w:rPr>
            </w:pPr>
            <w:r>
              <w:rPr>
                <w:rFonts w:ascii="Arial" w:cs="Arial" w:eastAsia="Arial" w:hAnsi="Arial"/>
                <w:sz w:val="16"/>
                <w:szCs w:val="16"/>
                <w:color w:val="auto"/>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Capital</w:t>
            </w: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Warrants</w:t>
            </w:r>
          </w:p>
        </w:tc>
        <w:tc>
          <w:tcPr>
            <w:tcW w:w="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5"/>
              </w:rPr>
              <w:t>Stage</w:t>
            </w: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Loss</w:t>
            </w:r>
          </w:p>
        </w:tc>
        <w:tc>
          <w:tcPr>
            <w:tcW w:w="1240" w:type="dxa"/>
            <w:vAlign w:val="bottom"/>
            <w:gridSpan w:val="2"/>
          </w:tcPr>
          <w:p>
            <w:pPr>
              <w:jc w:val="right"/>
              <w:ind w:right="500"/>
              <w:spacing w:after="0"/>
              <w:rPr>
                <w:sz w:val="20"/>
                <w:szCs w:val="20"/>
                <w:color w:val="auto"/>
              </w:rPr>
            </w:pPr>
            <w:r>
              <w:rPr>
                <w:rFonts w:ascii="Arial" w:cs="Arial" w:eastAsia="Arial" w:hAnsi="Arial"/>
                <w:sz w:val="16"/>
                <w:szCs w:val="16"/>
                <w:color w:val="auto"/>
              </w:rPr>
              <w:t>Total</w:t>
            </w:r>
          </w:p>
        </w:tc>
      </w:tr>
      <w:tr>
        <w:trPr>
          <w:trHeight w:val="202"/>
        </w:trPr>
        <w:tc>
          <w:tcPr>
            <w:tcW w:w="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998"/>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7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7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r>
      <w:tr>
        <w:trPr>
          <w:trHeight w:val="185"/>
        </w:trPr>
        <w:tc>
          <w:tcPr>
            <w:tcW w:w="1620" w:type="dxa"/>
            <w:vAlign w:val="bottom"/>
            <w:gridSpan w:val="3"/>
          </w:tcPr>
          <w:p>
            <w:pPr>
              <w:spacing w:after="0"/>
              <w:rPr>
                <w:sz w:val="20"/>
                <w:szCs w:val="20"/>
                <w:color w:val="auto"/>
              </w:rPr>
            </w:pPr>
            <w:r>
              <w:rPr>
                <w:rFonts w:ascii="Arial" w:cs="Arial" w:eastAsia="Arial" w:hAnsi="Arial"/>
                <w:sz w:val="16"/>
                <w:szCs w:val="16"/>
                <w:color w:val="auto"/>
                <w:w w:val="95"/>
              </w:rPr>
              <w:t>Balance, December 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700" w:type="dxa"/>
            <w:vAlign w:val="bottom"/>
          </w:tcPr>
          <w:p>
            <w:pPr>
              <w:spacing w:after="0"/>
              <w:rPr>
                <w:sz w:val="20"/>
                <w:szCs w:val="20"/>
                <w:color w:val="auto"/>
              </w:rPr>
            </w:pPr>
            <w:r>
              <w:rPr>
                <w:rFonts w:ascii="Arial" w:cs="Arial" w:eastAsia="Arial" w:hAnsi="Arial"/>
                <w:sz w:val="16"/>
                <w:szCs w:val="16"/>
                <w:color w:val="auto"/>
              </w:rPr>
              <w:t>2008</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24,150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24,150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17,500,559</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323,750</w:t>
            </w:r>
          </w:p>
        </w:tc>
        <w:tc>
          <w:tcPr>
            <w:tcW w:w="1340" w:type="dxa"/>
            <w:vAlign w:val="bottom"/>
            <w:gridSpan w:val="3"/>
          </w:tcPr>
          <w:p>
            <w:pPr>
              <w:ind w:left="420"/>
              <w:spacing w:after="0"/>
              <w:rPr>
                <w:sz w:val="20"/>
                <w:szCs w:val="20"/>
                <w:color w:val="auto"/>
              </w:rPr>
            </w:pPr>
            <w:r>
              <w:rPr>
                <w:rFonts w:ascii="Arial" w:cs="Arial" w:eastAsia="Arial" w:hAnsi="Arial"/>
                <w:sz w:val="16"/>
                <w:szCs w:val="16"/>
                <w:color w:val="auto"/>
                <w:w w:val="99"/>
              </w:rPr>
              <w:t>(20,812,106)</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(59,726)</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(3,023,373)</w:t>
            </w:r>
          </w:p>
        </w:tc>
      </w:tr>
      <w:tr>
        <w:trPr>
          <w:trHeight w:val="197"/>
        </w:trPr>
        <w:tc>
          <w:tcPr>
            <w:tcW w:w="940" w:type="dxa"/>
            <w:vAlign w:val="bottom"/>
            <w:gridSpan w:val="2"/>
          </w:tcPr>
          <w:p>
            <w:pPr>
              <w:spacing w:after="0"/>
              <w:rPr>
                <w:sz w:val="20"/>
                <w:szCs w:val="20"/>
                <w:color w:val="auto"/>
              </w:rPr>
            </w:pPr>
            <w:r>
              <w:rPr>
                <w:rFonts w:ascii="Arial" w:cs="Arial" w:eastAsia="Arial" w:hAnsi="Arial"/>
                <w:sz w:val="16"/>
                <w:szCs w:val="16"/>
                <w:color w:val="auto"/>
                <w:w w:val="99"/>
              </w:rPr>
              <w:t>Reverse split</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5"/>
          </w:tcPr>
          <w:p>
            <w:pPr>
              <w:spacing w:after="0"/>
              <w:rPr>
                <w:sz w:val="20"/>
                <w:szCs w:val="20"/>
                <w:color w:val="auto"/>
              </w:rPr>
            </w:pPr>
            <w:r>
              <w:rPr>
                <w:rFonts w:ascii="Arial" w:cs="Arial" w:eastAsia="Arial" w:hAnsi="Arial"/>
                <w:sz w:val="16"/>
                <w:szCs w:val="16"/>
                <w:color w:val="auto"/>
              </w:rPr>
              <w:t>recapitalization adjustment</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w w:val="98"/>
              </w:rPr>
              <w:t>(rounding) in July 2009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(21,735)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21,735</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Issued for cash</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 at $0.80 per share in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November 2009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8,750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875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875</w:t>
            </w: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Issued at fair value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pursuant to service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5"/>
          </w:tcPr>
          <w:p>
            <w:pPr>
              <w:spacing w:after="0"/>
              <w:rPr>
                <w:sz w:val="20"/>
                <w:szCs w:val="20"/>
                <w:color w:val="auto"/>
              </w:rPr>
            </w:pPr>
            <w:r>
              <w:rPr>
                <w:rFonts w:ascii="Arial" w:cs="Arial" w:eastAsia="Arial" w:hAnsi="Arial"/>
                <w:sz w:val="16"/>
                <w:szCs w:val="16"/>
                <w:color w:val="auto"/>
                <w:w w:val="99"/>
              </w:rPr>
              <w:t>agreements in August 2009</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250</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27,475</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27,500</w:t>
            </w: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Issued at fair value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940" w:type="dxa"/>
            <w:vAlign w:val="bottom"/>
            <w:gridSpan w:val="2"/>
          </w:tcPr>
          <w:p>
            <w:pPr>
              <w:spacing w:after="0"/>
              <w:rPr>
                <w:sz w:val="20"/>
                <w:szCs w:val="20"/>
                <w:color w:val="auto"/>
              </w:rPr>
            </w:pPr>
            <w:r>
              <w:rPr>
                <w:rFonts w:ascii="Arial" w:cs="Arial" w:eastAsia="Arial" w:hAnsi="Arial"/>
                <w:sz w:val="16"/>
                <w:szCs w:val="16"/>
                <w:color w:val="auto"/>
              </w:rPr>
              <w:t>pursuant to</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ind w:left="80"/>
              <w:spacing w:after="0"/>
              <w:rPr>
                <w:sz w:val="20"/>
                <w:szCs w:val="20"/>
                <w:color w:val="auto"/>
              </w:rPr>
            </w:pPr>
            <w:r>
              <w:rPr>
                <w:rFonts w:ascii="Arial" w:cs="Arial" w:eastAsia="Arial" w:hAnsi="Arial"/>
                <w:sz w:val="16"/>
                <w:szCs w:val="16"/>
                <w:color w:val="auto"/>
              </w:rPr>
              <w:t>debt settlement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w w:val="91"/>
              </w:rPr>
              <w:t>agreements in July 2009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00" w:type="dxa"/>
            <w:vAlign w:val="bottom"/>
          </w:tcPr>
          <w:p>
            <w:pPr>
              <w:spacing w:after="0"/>
              <w:rPr>
                <w:sz w:val="20"/>
                <w:szCs w:val="20"/>
                <w:color w:val="auto"/>
              </w:rPr>
            </w:pPr>
            <w:r>
              <w:rPr>
                <w:rFonts w:ascii="Arial" w:cs="Arial" w:eastAsia="Arial" w:hAnsi="Arial"/>
                <w:sz w:val="16"/>
                <w:szCs w:val="16"/>
                <w:color w:val="auto"/>
              </w:rPr>
              <w:t>(Note 3)</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338,121</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33,812</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15,181,618</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15,215,430</w:t>
            </w: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w w:val="89"/>
              </w:rPr>
              <w:t>Issued on the exercise of</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w w:val="97"/>
              </w:rPr>
              <w:t>warrants in August and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November 2009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12,345</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1,235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241,515</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242,750</w:t>
            </w:r>
          </w:p>
        </w:tc>
      </w:tr>
      <w:tr>
        <w:trPr>
          <w:trHeight w:val="197"/>
        </w:trPr>
        <w:tc>
          <w:tcPr>
            <w:tcW w:w="1960" w:type="dxa"/>
            <w:vAlign w:val="bottom"/>
            <w:gridSpan w:val="5"/>
          </w:tcPr>
          <w:p>
            <w:pPr>
              <w:spacing w:after="0"/>
              <w:rPr>
                <w:sz w:val="20"/>
                <w:szCs w:val="20"/>
                <w:color w:val="auto"/>
              </w:rPr>
            </w:pPr>
            <w:r>
              <w:rPr>
                <w:rFonts w:ascii="Arial" w:cs="Arial" w:eastAsia="Arial" w:hAnsi="Arial"/>
                <w:sz w:val="16"/>
                <w:szCs w:val="16"/>
                <w:color w:val="auto"/>
              </w:rPr>
              <w:t>Stock based compensation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in October 2009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2,091,900</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2,091,900</w:t>
            </w: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Fair value of warrants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5"/>
          </w:tcPr>
          <w:p>
            <w:pPr>
              <w:spacing w:after="0"/>
              <w:rPr>
                <w:sz w:val="20"/>
                <w:szCs w:val="20"/>
                <w:color w:val="auto"/>
              </w:rPr>
            </w:pPr>
            <w:r>
              <w:rPr>
                <w:rFonts w:ascii="Arial" w:cs="Arial" w:eastAsia="Arial" w:hAnsi="Arial"/>
                <w:sz w:val="16"/>
                <w:szCs w:val="16"/>
                <w:color w:val="auto"/>
              </w:rPr>
              <w:t>issued in February , May</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and June 2009 in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5"/>
          </w:tcPr>
          <w:p>
            <w:pPr>
              <w:spacing w:after="0"/>
              <w:rPr>
                <w:sz w:val="20"/>
                <w:szCs w:val="20"/>
                <w:color w:val="auto"/>
              </w:rPr>
            </w:pPr>
            <w:r>
              <w:rPr>
                <w:rFonts w:ascii="Arial" w:cs="Arial" w:eastAsia="Arial" w:hAnsi="Arial"/>
                <w:sz w:val="16"/>
                <w:szCs w:val="16"/>
                <w:color w:val="auto"/>
              </w:rPr>
              <w:t>connection with promissory</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00" w:type="dxa"/>
            <w:vAlign w:val="bottom"/>
          </w:tcPr>
          <w:p>
            <w:pPr>
              <w:spacing w:after="0"/>
              <w:rPr>
                <w:sz w:val="20"/>
                <w:szCs w:val="20"/>
                <w:color w:val="auto"/>
              </w:rPr>
            </w:pPr>
            <w:r>
              <w:rPr>
                <w:rFonts w:ascii="Arial" w:cs="Arial" w:eastAsia="Arial" w:hAnsi="Arial"/>
                <w:sz w:val="16"/>
                <w:szCs w:val="16"/>
                <w:color w:val="auto"/>
              </w:rPr>
              <w:t>notes</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725,669</w:t>
            </w:r>
          </w:p>
        </w:tc>
        <w:tc>
          <w:tcPr>
            <w:tcW w:w="1400" w:type="dxa"/>
            <w:vAlign w:val="bottom"/>
            <w:gridSpan w:val="3"/>
          </w:tcPr>
          <w:p>
            <w:pPr>
              <w:jc w:val="right"/>
              <w:ind w:right="100"/>
              <w:spacing w:after="0"/>
              <w:rPr>
                <w:sz w:val="20"/>
                <w:szCs w:val="20"/>
                <w:color w:val="auto"/>
              </w:rPr>
            </w:pPr>
            <w:r>
              <w:rPr>
                <w:rFonts w:ascii="Arial" w:cs="Arial" w:eastAsia="Arial" w:hAnsi="Arial"/>
                <w:sz w:val="16"/>
                <w:szCs w:val="16"/>
                <w:color w:val="auto"/>
              </w:rPr>
              <w:t>(300,350)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425,319</w:t>
            </w: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Beneficial conversion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feature on August and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5"/>
          </w:tcPr>
          <w:p>
            <w:pPr>
              <w:spacing w:after="0"/>
              <w:rPr>
                <w:sz w:val="20"/>
                <w:szCs w:val="20"/>
                <w:color w:val="auto"/>
              </w:rPr>
            </w:pPr>
            <w:r>
              <w:rPr>
                <w:rFonts w:ascii="Arial" w:cs="Arial" w:eastAsia="Arial" w:hAnsi="Arial"/>
                <w:sz w:val="16"/>
                <w:szCs w:val="16"/>
                <w:color w:val="auto"/>
              </w:rPr>
              <w:t>October 2009 convertible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00" w:type="dxa"/>
            <w:vAlign w:val="bottom"/>
          </w:tcPr>
          <w:p>
            <w:pPr>
              <w:spacing w:after="0"/>
              <w:rPr>
                <w:sz w:val="20"/>
                <w:szCs w:val="20"/>
                <w:color w:val="auto"/>
              </w:rPr>
            </w:pPr>
            <w:r>
              <w:rPr>
                <w:rFonts w:ascii="Arial" w:cs="Arial" w:eastAsia="Arial" w:hAnsi="Arial"/>
                <w:sz w:val="16"/>
                <w:szCs w:val="16"/>
                <w:color w:val="auto"/>
              </w:rPr>
              <w:t>notes</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75,491</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75,491</w:t>
            </w: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Obligation to issue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warrants pursuant to</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service agreements in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December 2009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19,270</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19,270</w:t>
            </w:r>
          </w:p>
        </w:tc>
      </w:tr>
      <w:tr>
        <w:trPr>
          <w:trHeight w:val="197"/>
        </w:trPr>
        <w:tc>
          <w:tcPr>
            <w:tcW w:w="700" w:type="dxa"/>
            <w:vAlign w:val="bottom"/>
          </w:tcPr>
          <w:p>
            <w:pPr>
              <w:spacing w:after="0"/>
              <w:rPr>
                <w:sz w:val="20"/>
                <w:szCs w:val="20"/>
                <w:color w:val="auto"/>
              </w:rPr>
            </w:pPr>
            <w:r>
              <w:rPr>
                <w:rFonts w:ascii="Arial" w:cs="Arial" w:eastAsia="Arial" w:hAnsi="Arial"/>
                <w:sz w:val="16"/>
                <w:szCs w:val="16"/>
                <w:color w:val="auto"/>
                <w:w w:val="94"/>
              </w:rPr>
              <w:t>Obligation</w:t>
            </w:r>
          </w:p>
        </w:tc>
        <w:tc>
          <w:tcPr>
            <w:tcW w:w="240" w:type="dxa"/>
            <w:vAlign w:val="bottom"/>
          </w:tcPr>
          <w:p>
            <w:pPr>
              <w:ind w:left="80"/>
              <w:spacing w:after="0"/>
              <w:rPr>
                <w:sz w:val="20"/>
                <w:szCs w:val="20"/>
                <w:color w:val="auto"/>
              </w:rPr>
            </w:pPr>
            <w:r>
              <w:rPr>
                <w:rFonts w:ascii="Arial" w:cs="Arial" w:eastAsia="Arial" w:hAnsi="Arial"/>
                <w:sz w:val="16"/>
                <w:szCs w:val="16"/>
                <w:color w:val="auto"/>
              </w:rPr>
              <w:t>to</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w w:val="95"/>
              </w:rPr>
              <w:t>issue shares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940" w:type="dxa"/>
            <w:vAlign w:val="bottom"/>
            <w:gridSpan w:val="2"/>
          </w:tcPr>
          <w:p>
            <w:pPr>
              <w:spacing w:after="0"/>
              <w:rPr>
                <w:sz w:val="20"/>
                <w:szCs w:val="20"/>
                <w:color w:val="auto"/>
              </w:rPr>
            </w:pPr>
            <w:r>
              <w:rPr>
                <w:rFonts w:ascii="Arial" w:cs="Arial" w:eastAsia="Arial" w:hAnsi="Arial"/>
                <w:sz w:val="16"/>
                <w:szCs w:val="16"/>
                <w:color w:val="auto"/>
              </w:rPr>
              <w:t>at fair value</w:t>
            </w:r>
          </w:p>
        </w:tc>
        <w:tc>
          <w:tcPr>
            <w:tcW w:w="680" w:type="dxa"/>
            <w:vAlign w:val="bottom"/>
          </w:tcPr>
          <w:p>
            <w:pPr>
              <w:ind w:left="120"/>
              <w:spacing w:after="0"/>
              <w:rPr>
                <w:sz w:val="20"/>
                <w:szCs w:val="20"/>
                <w:color w:val="auto"/>
              </w:rPr>
            </w:pPr>
            <w:r>
              <w:rPr>
                <w:rFonts w:ascii="Arial" w:cs="Arial" w:eastAsia="Arial" w:hAnsi="Arial"/>
                <w:sz w:val="16"/>
                <w:szCs w:val="16"/>
                <w:color w:val="auto"/>
                <w:w w:val="86"/>
              </w:rPr>
              <w:t>pursuant</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to</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00" w:type="dxa"/>
            <w:vAlign w:val="bottom"/>
          </w:tcPr>
          <w:p>
            <w:pPr>
              <w:spacing w:after="0"/>
              <w:rPr>
                <w:sz w:val="20"/>
                <w:szCs w:val="20"/>
                <w:color w:val="auto"/>
              </w:rPr>
            </w:pPr>
            <w:r>
              <w:rPr>
                <w:rFonts w:ascii="Arial" w:cs="Arial" w:eastAsia="Arial" w:hAnsi="Arial"/>
                <w:sz w:val="16"/>
                <w:szCs w:val="16"/>
                <w:color w:val="auto"/>
              </w:rPr>
              <w:t>service</w:t>
            </w:r>
          </w:p>
        </w:tc>
        <w:tc>
          <w:tcPr>
            <w:tcW w:w="920" w:type="dxa"/>
            <w:vAlign w:val="bottom"/>
            <w:gridSpan w:val="2"/>
          </w:tcPr>
          <w:p>
            <w:pPr>
              <w:jc w:val="center"/>
              <w:ind w:right="78"/>
              <w:spacing w:after="0"/>
              <w:rPr>
                <w:sz w:val="20"/>
                <w:szCs w:val="20"/>
                <w:color w:val="auto"/>
              </w:rPr>
            </w:pPr>
            <w:r>
              <w:rPr>
                <w:rFonts w:ascii="Arial" w:cs="Arial" w:eastAsia="Arial" w:hAnsi="Arial"/>
                <w:sz w:val="16"/>
                <w:szCs w:val="16"/>
                <w:color w:val="auto"/>
                <w:w w:val="89"/>
              </w:rPr>
              <w:t>agreements</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in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December 2009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246,533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246,533</w:t>
            </w:r>
          </w:p>
        </w:tc>
      </w:tr>
      <w:tr>
        <w:trPr>
          <w:trHeight w:val="197"/>
        </w:trPr>
        <w:tc>
          <w:tcPr>
            <w:tcW w:w="700" w:type="dxa"/>
            <w:vAlign w:val="bottom"/>
          </w:tcPr>
          <w:p>
            <w:pPr>
              <w:spacing w:after="0"/>
              <w:rPr>
                <w:sz w:val="20"/>
                <w:szCs w:val="20"/>
                <w:color w:val="auto"/>
              </w:rPr>
            </w:pPr>
            <w:r>
              <w:rPr>
                <w:rFonts w:ascii="Arial" w:cs="Arial" w:eastAsia="Arial" w:hAnsi="Arial"/>
                <w:sz w:val="16"/>
                <w:szCs w:val="16"/>
                <w:color w:val="auto"/>
                <w:w w:val="94"/>
              </w:rPr>
              <w:t>Obligation</w:t>
            </w:r>
          </w:p>
        </w:tc>
        <w:tc>
          <w:tcPr>
            <w:tcW w:w="240" w:type="dxa"/>
            <w:vAlign w:val="bottom"/>
          </w:tcPr>
          <w:p>
            <w:pPr>
              <w:ind w:left="80"/>
              <w:spacing w:after="0"/>
              <w:rPr>
                <w:sz w:val="20"/>
                <w:szCs w:val="20"/>
                <w:color w:val="auto"/>
              </w:rPr>
            </w:pPr>
            <w:r>
              <w:rPr>
                <w:rFonts w:ascii="Arial" w:cs="Arial" w:eastAsia="Arial" w:hAnsi="Arial"/>
                <w:sz w:val="16"/>
                <w:szCs w:val="16"/>
                <w:color w:val="auto"/>
              </w:rPr>
              <w:t>to</w:t>
            </w: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w w:val="95"/>
              </w:rPr>
              <w:t>issue shares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940" w:type="dxa"/>
            <w:vAlign w:val="bottom"/>
            <w:gridSpan w:val="2"/>
          </w:tcPr>
          <w:p>
            <w:pPr>
              <w:spacing w:after="0"/>
              <w:rPr>
                <w:sz w:val="20"/>
                <w:szCs w:val="20"/>
                <w:color w:val="auto"/>
              </w:rPr>
            </w:pPr>
            <w:r>
              <w:rPr>
                <w:rFonts w:ascii="Arial" w:cs="Arial" w:eastAsia="Arial" w:hAnsi="Arial"/>
                <w:sz w:val="16"/>
                <w:szCs w:val="16"/>
                <w:color w:val="auto"/>
              </w:rPr>
              <w:t>at fair value</w:t>
            </w:r>
          </w:p>
        </w:tc>
        <w:tc>
          <w:tcPr>
            <w:tcW w:w="680" w:type="dxa"/>
            <w:vAlign w:val="bottom"/>
          </w:tcPr>
          <w:p>
            <w:pPr>
              <w:ind w:left="20"/>
              <w:spacing w:after="0"/>
              <w:rPr>
                <w:sz w:val="20"/>
                <w:szCs w:val="20"/>
                <w:color w:val="auto"/>
              </w:rPr>
            </w:pPr>
            <w:r>
              <w:rPr>
                <w:rFonts w:ascii="Arial" w:cs="Arial" w:eastAsia="Arial" w:hAnsi="Arial"/>
                <w:sz w:val="16"/>
                <w:szCs w:val="16"/>
                <w:color w:val="auto"/>
              </w:rPr>
              <w:t>pursuant</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to</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960" w:type="dxa"/>
            <w:vAlign w:val="bottom"/>
            <w:gridSpan w:val="5"/>
          </w:tcPr>
          <w:p>
            <w:pPr>
              <w:spacing w:after="0"/>
              <w:rPr>
                <w:sz w:val="20"/>
                <w:szCs w:val="20"/>
                <w:color w:val="auto"/>
              </w:rPr>
            </w:pPr>
            <w:r>
              <w:rPr>
                <w:rFonts w:ascii="Arial" w:cs="Arial" w:eastAsia="Arial" w:hAnsi="Arial"/>
                <w:sz w:val="16"/>
                <w:szCs w:val="16"/>
                <w:color w:val="auto"/>
                <w:w w:val="97"/>
              </w:rPr>
              <w:t>debt settlement agreements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620" w:type="dxa"/>
            <w:vAlign w:val="bottom"/>
            <w:gridSpan w:val="3"/>
          </w:tcPr>
          <w:p>
            <w:pPr>
              <w:spacing w:after="0"/>
              <w:rPr>
                <w:sz w:val="20"/>
                <w:szCs w:val="20"/>
                <w:color w:val="auto"/>
              </w:rPr>
            </w:pPr>
            <w:r>
              <w:rPr>
                <w:rFonts w:ascii="Arial" w:cs="Arial" w:eastAsia="Arial" w:hAnsi="Arial"/>
                <w:sz w:val="16"/>
                <w:szCs w:val="16"/>
                <w:color w:val="auto"/>
              </w:rPr>
              <w:t>in September 2009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243,800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243,800</w:t>
            </w:r>
          </w:p>
        </w:tc>
      </w:tr>
      <w:tr>
        <w:trPr>
          <w:trHeight w:val="214"/>
        </w:trPr>
        <w:tc>
          <w:tcPr>
            <w:tcW w:w="70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gridSpan w:val="3"/>
          </w:tcPr>
          <w:p>
            <w:pPr>
              <w:ind w:left="420"/>
              <w:spacing w:after="0"/>
              <w:rPr>
                <w:sz w:val="20"/>
                <w:szCs w:val="20"/>
                <w:color w:val="auto"/>
              </w:rPr>
            </w:pPr>
            <w:r>
              <w:rPr>
                <w:rFonts w:ascii="Arial" w:cs="Arial" w:eastAsia="Arial" w:hAnsi="Arial"/>
                <w:sz w:val="16"/>
                <w:szCs w:val="16"/>
                <w:color w:val="auto"/>
                <w:w w:val="99"/>
              </w:rPr>
              <w:t>(17,348,546)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(17,348,546)</w:t>
            </w:r>
          </w:p>
        </w:tc>
      </w:tr>
      <w:tr>
        <w:trPr>
          <w:trHeight w:val="185"/>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w:t>
            </w:r>
          </w:p>
        </w:tc>
        <w:tc>
          <w:tcPr>
            <w:tcW w:w="920" w:type="dxa"/>
            <w:vAlign w:val="bottom"/>
            <w:tcBorders>
              <w:top w:val="single" w:sz="8" w:color="auto"/>
            </w:tcBorders>
            <w:gridSpan w:val="2"/>
          </w:tcPr>
          <w:p>
            <w:pPr>
              <w:jc w:val="center"/>
              <w:ind w:right="38"/>
              <w:spacing w:after="0"/>
              <w:rPr>
                <w:sz w:val="20"/>
                <w:szCs w:val="20"/>
                <w:color w:val="auto"/>
              </w:rPr>
            </w:pPr>
            <w:r>
              <w:rPr>
                <w:rFonts w:ascii="Arial" w:cs="Arial" w:eastAsia="Arial" w:hAnsi="Arial"/>
                <w:sz w:val="16"/>
                <w:szCs w:val="16"/>
                <w:color w:val="auto"/>
                <w:w w:val="92"/>
              </w:rPr>
              <w:t>December</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0"/>
              </w:rPr>
              <w:t>31,</w:t>
            </w: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700" w:type="dxa"/>
            <w:vAlign w:val="bottom"/>
          </w:tcPr>
          <w:p>
            <w:pPr>
              <w:spacing w:after="0"/>
              <w:rPr>
                <w:sz w:val="20"/>
                <w:szCs w:val="20"/>
                <w:color w:val="auto"/>
              </w:rPr>
            </w:pPr>
            <w:r>
              <w:rPr>
                <w:rFonts w:ascii="Arial" w:cs="Arial" w:eastAsia="Arial" w:hAnsi="Arial"/>
                <w:sz w:val="16"/>
                <w:szCs w:val="16"/>
                <w:color w:val="auto"/>
              </w:rPr>
              <w:t>2009</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383,617</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38,362</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35,885,232</w:t>
            </w:r>
          </w:p>
        </w:tc>
        <w:tc>
          <w:tcPr>
            <w:tcW w:w="1400" w:type="dxa"/>
            <w:vAlign w:val="bottom"/>
            <w:gridSpan w:val="3"/>
          </w:tcPr>
          <w:p>
            <w:pPr>
              <w:jc w:val="right"/>
              <w:ind w:right="140"/>
              <w:spacing w:after="0"/>
              <w:rPr>
                <w:sz w:val="20"/>
                <w:szCs w:val="20"/>
                <w:color w:val="auto"/>
              </w:rPr>
            </w:pPr>
            <w:r>
              <w:rPr>
                <w:rFonts w:ascii="Arial" w:cs="Arial" w:eastAsia="Arial" w:hAnsi="Arial"/>
                <w:sz w:val="16"/>
                <w:szCs w:val="16"/>
                <w:color w:val="auto"/>
              </w:rPr>
              <w:t>513,733</w:t>
            </w:r>
          </w:p>
        </w:tc>
        <w:tc>
          <w:tcPr>
            <w:tcW w:w="1340" w:type="dxa"/>
            <w:vAlign w:val="bottom"/>
            <w:gridSpan w:val="3"/>
          </w:tcPr>
          <w:p>
            <w:pPr>
              <w:ind w:left="420"/>
              <w:spacing w:after="0"/>
              <w:rPr>
                <w:sz w:val="20"/>
                <w:szCs w:val="20"/>
                <w:color w:val="auto"/>
              </w:rPr>
            </w:pPr>
            <w:r>
              <w:rPr>
                <w:rFonts w:ascii="Arial" w:cs="Arial" w:eastAsia="Arial" w:hAnsi="Arial"/>
                <w:sz w:val="16"/>
                <w:szCs w:val="16"/>
                <w:color w:val="auto"/>
                <w:w w:val="99"/>
              </w:rPr>
              <w:t>(38,160,652)</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(59,726)</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(1,783,051)</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Development Stage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STOCKHOLDERS’ DEFICIT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FROM JULY 27, 1999 (INCEPTION) TO DECEMBER 31, 2013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6"/>
                <w:szCs w:val="16"/>
                <w:color w:val="auto"/>
                <w:w w:val="98"/>
              </w:rPr>
              <w:t>Deficit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197"/>
        </w:trPr>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6"/>
                <w:szCs w:val="16"/>
                <w:color w:val="auto"/>
                <w:w w:val="99"/>
              </w:rPr>
              <w:t>Obligation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6"/>
                <w:szCs w:val="16"/>
                <w:color w:val="auto"/>
                <w:w w:val="95"/>
              </w:rPr>
              <w:t>Accumulated</w:t>
            </w: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color w:val="auto"/>
                <w:w w:val="95"/>
              </w:rPr>
              <w:t>Accumulated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gridSpan w:val="7"/>
          </w:tcPr>
          <w:p>
            <w:pPr>
              <w:jc w:val="right"/>
              <w:ind w:right="640"/>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17"/>
                <w:szCs w:val="17"/>
                <w:color w:val="auto"/>
              </w:rPr>
            </w:pPr>
          </w:p>
        </w:tc>
        <w:tc>
          <w:tcPr>
            <w:tcW w:w="1120" w:type="dxa"/>
            <w:vAlign w:val="bottom"/>
            <w:gridSpan w:val="4"/>
          </w:tcPr>
          <w:p>
            <w:pPr>
              <w:jc w:val="right"/>
              <w:ind w:right="320"/>
              <w:spacing w:after="0"/>
              <w:rPr>
                <w:sz w:val="20"/>
                <w:szCs w:val="20"/>
                <w:color w:val="auto"/>
              </w:rPr>
            </w:pPr>
            <w:r>
              <w:rPr>
                <w:rFonts w:ascii="Arial" w:cs="Arial" w:eastAsia="Arial" w:hAnsi="Arial"/>
                <w:sz w:val="16"/>
                <w:szCs w:val="16"/>
                <w:color w:val="auto"/>
              </w:rPr>
              <w:t>Additional</w:t>
            </w:r>
          </w:p>
        </w:tc>
        <w:tc>
          <w:tcPr>
            <w:tcW w:w="160" w:type="dxa"/>
            <w:vAlign w:val="bottom"/>
          </w:tcPr>
          <w:p>
            <w:pPr>
              <w:spacing w:after="0"/>
              <w:rPr>
                <w:sz w:val="17"/>
                <w:szCs w:val="17"/>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6"/>
                <w:szCs w:val="16"/>
                <w:color w:val="auto"/>
                <w:w w:val="92"/>
              </w:rPr>
              <w:t>to Issue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6"/>
                <w:szCs w:val="16"/>
                <w:color w:val="auto"/>
                <w:w w:val="93"/>
              </w:rPr>
              <w:t>Deferred</w:t>
            </w:r>
          </w:p>
        </w:tc>
        <w:tc>
          <w:tcPr>
            <w:tcW w:w="20" w:type="dxa"/>
            <w:vAlign w:val="bottom"/>
          </w:tcPr>
          <w:p>
            <w:pPr>
              <w:spacing w:after="0"/>
              <w:rPr>
                <w:sz w:val="17"/>
                <w:szCs w:val="17"/>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6"/>
                <w:szCs w:val="16"/>
                <w:color w:val="auto"/>
                <w:w w:val="97"/>
              </w:rPr>
              <w:t>During the</w:t>
            </w:r>
          </w:p>
        </w:tc>
        <w:tc>
          <w:tcPr>
            <w:tcW w:w="12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Other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6"/>
                <w:szCs w:val="16"/>
                <w:color w:val="auto"/>
                <w:w w:val="96"/>
              </w:rPr>
              <w:t>Number of</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6"/>
                <w:szCs w:val="16"/>
                <w:color w:val="auto"/>
              </w:rPr>
              <w:t>Paid In</w:t>
            </w:r>
          </w:p>
        </w:tc>
        <w:tc>
          <w:tcPr>
            <w:tcW w:w="1080" w:type="dxa"/>
            <w:vAlign w:val="bottom"/>
            <w:gridSpan w:val="4"/>
          </w:tcPr>
          <w:p>
            <w:pPr>
              <w:jc w:val="center"/>
              <w:ind w:right="200"/>
              <w:spacing w:after="0"/>
              <w:rPr>
                <w:sz w:val="20"/>
                <w:szCs w:val="20"/>
                <w:color w:val="auto"/>
              </w:rPr>
            </w:pPr>
            <w:r>
              <w:rPr>
                <w:rFonts w:ascii="Arial" w:cs="Arial" w:eastAsia="Arial" w:hAnsi="Arial"/>
                <w:sz w:val="16"/>
                <w:szCs w:val="16"/>
                <w:color w:val="auto"/>
                <w:w w:val="87"/>
              </w:rPr>
              <w:t>Shares and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6"/>
                <w:szCs w:val="16"/>
                <w:color w:val="auto"/>
                <w:w w:val="93"/>
              </w:rPr>
              <w:t>Development</w:t>
            </w: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color w:val="auto"/>
                <w:w w:val="91"/>
              </w:rPr>
              <w:t>Comprehensive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6"/>
                <w:szCs w:val="16"/>
                <w:color w:val="auto"/>
                <w:w w:val="83"/>
              </w:rPr>
              <w:t>shares</w:t>
            </w:r>
          </w:p>
        </w:tc>
        <w:tc>
          <w:tcPr>
            <w:tcW w:w="80" w:type="dxa"/>
            <w:vAlign w:val="bottom"/>
          </w:tcPr>
          <w:p>
            <w:pPr>
              <w:spacing w:after="0"/>
              <w:rPr>
                <w:sz w:val="17"/>
                <w:szCs w:val="17"/>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6"/>
                <w:szCs w:val="16"/>
                <w:color w:val="auto"/>
              </w:rPr>
              <w:t>Capital</w:t>
            </w:r>
          </w:p>
        </w:tc>
        <w:tc>
          <w:tcPr>
            <w:tcW w:w="1080" w:type="dxa"/>
            <w:vAlign w:val="bottom"/>
            <w:gridSpan w:val="4"/>
          </w:tcPr>
          <w:p>
            <w:pPr>
              <w:jc w:val="center"/>
              <w:ind w:right="200"/>
              <w:spacing w:after="0"/>
              <w:rPr>
                <w:sz w:val="20"/>
                <w:szCs w:val="20"/>
                <w:color w:val="auto"/>
              </w:rPr>
            </w:pPr>
            <w:r>
              <w:rPr>
                <w:rFonts w:ascii="Arial" w:cs="Arial" w:eastAsia="Arial" w:hAnsi="Arial"/>
                <w:sz w:val="16"/>
                <w:szCs w:val="16"/>
                <w:color w:val="auto"/>
                <w:w w:val="92"/>
              </w:rPr>
              <w:t>Warrants</w:t>
            </w:r>
          </w:p>
        </w:tc>
        <w:tc>
          <w:tcPr>
            <w:tcW w:w="1180" w:type="dxa"/>
            <w:vAlign w:val="bottom"/>
            <w:gridSpan w:val="5"/>
          </w:tcPr>
          <w:p>
            <w:pPr>
              <w:jc w:val="right"/>
              <w:ind w:right="200"/>
              <w:spacing w:after="0"/>
              <w:rPr>
                <w:sz w:val="20"/>
                <w:szCs w:val="20"/>
                <w:color w:val="auto"/>
              </w:rPr>
            </w:pPr>
            <w:r>
              <w:rPr>
                <w:rFonts w:ascii="Arial" w:cs="Arial" w:eastAsia="Arial" w:hAnsi="Arial"/>
                <w:sz w:val="16"/>
                <w:szCs w:val="16"/>
                <w:color w:val="auto"/>
                <w:w w:val="93"/>
              </w:rPr>
              <w:t>Compensation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6"/>
                <w:szCs w:val="16"/>
                <w:color w:val="auto"/>
                <w:w w:val="85"/>
              </w:rPr>
              <w:t>Stage</w:t>
            </w:r>
          </w:p>
        </w:tc>
        <w:tc>
          <w:tcPr>
            <w:tcW w:w="12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color w:val="auto"/>
                <w:w w:val="88"/>
              </w:rPr>
              <w:t>Loss</w:t>
            </w: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Total</w:t>
            </w:r>
          </w:p>
        </w:tc>
      </w:tr>
      <w:tr>
        <w:trPr>
          <w:trHeight w:val="214"/>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718"/>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73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r>
      <w:tr>
        <w:trPr>
          <w:trHeight w:val="185"/>
        </w:trPr>
        <w:tc>
          <w:tcPr>
            <w:tcW w:w="22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383,617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38,362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35,885,232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513,733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99"/>
              </w:rPr>
              <w:t>(38,160,652)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(59,726)</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(1,783,051)</w:t>
            </w:r>
          </w:p>
        </w:tc>
        <w:tc>
          <w:tcPr>
            <w:tcW w:w="100" w:type="dxa"/>
            <w:vAlign w:val="bottom"/>
          </w:tcPr>
          <w:p>
            <w:pPr>
              <w:spacing w:after="0"/>
              <w:rPr>
                <w:sz w:val="16"/>
                <w:szCs w:val="16"/>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Notes converted into shares</w:t>
            </w:r>
          </w:p>
        </w:tc>
        <w:tc>
          <w:tcPr>
            <w:tcW w:w="1060" w:type="dxa"/>
            <w:vAlign w:val="bottom"/>
            <w:gridSpan w:val="5"/>
          </w:tcPr>
          <w:p>
            <w:pPr>
              <w:jc w:val="right"/>
              <w:ind w:right="60"/>
              <w:spacing w:after="0"/>
              <w:rPr>
                <w:sz w:val="20"/>
                <w:szCs w:val="20"/>
                <w:color w:val="auto"/>
              </w:rPr>
            </w:pPr>
            <w:r>
              <w:rPr>
                <w:rFonts w:ascii="Arial" w:cs="Arial" w:eastAsia="Arial" w:hAnsi="Arial"/>
                <w:sz w:val="16"/>
                <w:szCs w:val="16"/>
                <w:color w:val="auto"/>
              </w:rPr>
              <w:t>9,523</w:t>
            </w:r>
          </w:p>
        </w:tc>
        <w:tc>
          <w:tcPr>
            <w:tcW w:w="16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952</w:t>
            </w:r>
          </w:p>
        </w:tc>
        <w:tc>
          <w:tcPr>
            <w:tcW w:w="6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427,003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(243,800)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184,155</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Stock based compensation 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2010</w:t>
            </w:r>
          </w:p>
        </w:tc>
        <w:tc>
          <w:tcPr>
            <w:tcW w:w="1060" w:type="dxa"/>
            <w:vAlign w:val="bottom"/>
            <w:gridSpan w:val="5"/>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1,134,477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1,134,477</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w w:val="98"/>
              </w:rPr>
              <w:t>Obligation to issue shares at fair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ind w:left="80"/>
              <w:spacing w:after="0"/>
              <w:rPr>
                <w:sz w:val="20"/>
                <w:szCs w:val="20"/>
                <w:color w:val="auto"/>
              </w:rPr>
            </w:pPr>
            <w:r>
              <w:rPr>
                <w:rFonts w:ascii="Arial" w:cs="Arial" w:eastAsia="Arial" w:hAnsi="Arial"/>
                <w:sz w:val="16"/>
                <w:szCs w:val="16"/>
                <w:color w:val="auto"/>
                <w:w w:val="97"/>
              </w:rPr>
              <w:t>pursuant to service agreements</w:t>
            </w:r>
          </w:p>
        </w:tc>
        <w:tc>
          <w:tcPr>
            <w:tcW w:w="1060" w:type="dxa"/>
            <w:vAlign w:val="bottom"/>
            <w:gridSpan w:val="5"/>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28,220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28,220</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Issued at fair value pursuant to</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ind w:left="80"/>
              <w:spacing w:after="0"/>
              <w:rPr>
                <w:sz w:val="20"/>
                <w:szCs w:val="20"/>
                <w:color w:val="auto"/>
              </w:rPr>
            </w:pPr>
            <w:r>
              <w:rPr>
                <w:rFonts w:ascii="Arial" w:cs="Arial" w:eastAsia="Arial" w:hAnsi="Arial"/>
                <w:sz w:val="16"/>
                <w:szCs w:val="16"/>
                <w:color w:val="auto"/>
              </w:rPr>
              <w:t>debt settlement agreements</w:t>
            </w:r>
          </w:p>
        </w:tc>
        <w:tc>
          <w:tcPr>
            <w:tcW w:w="1060" w:type="dxa"/>
            <w:vAlign w:val="bottom"/>
            <w:gridSpan w:val="5"/>
          </w:tcPr>
          <w:p>
            <w:pPr>
              <w:jc w:val="right"/>
              <w:ind w:right="60"/>
              <w:spacing w:after="0"/>
              <w:rPr>
                <w:sz w:val="20"/>
                <w:szCs w:val="20"/>
                <w:color w:val="auto"/>
              </w:rPr>
            </w:pPr>
            <w:r>
              <w:rPr>
                <w:rFonts w:ascii="Arial" w:cs="Arial" w:eastAsia="Arial" w:hAnsi="Arial"/>
                <w:sz w:val="16"/>
                <w:szCs w:val="16"/>
                <w:color w:val="auto"/>
              </w:rPr>
              <w:t>3,616</w:t>
            </w:r>
          </w:p>
        </w:tc>
        <w:tc>
          <w:tcPr>
            <w:tcW w:w="16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372</w:t>
            </w:r>
          </w:p>
        </w:tc>
        <w:tc>
          <w:tcPr>
            <w:tcW w:w="60" w:type="dxa"/>
            <w:vAlign w:val="bottom"/>
          </w:tcPr>
          <w:p>
            <w:pPr>
              <w:spacing w:after="0"/>
              <w:rPr>
                <w:sz w:val="17"/>
                <w:szCs w:val="17"/>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6"/>
                <w:szCs w:val="16"/>
                <w:color w:val="auto"/>
              </w:rPr>
              <w:t>90,040</w:t>
            </w:r>
          </w:p>
        </w:tc>
        <w:tc>
          <w:tcPr>
            <w:tcW w:w="8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90,412</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Issued at fair value pursuant to</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service agreements</w:t>
            </w:r>
          </w:p>
        </w:tc>
        <w:tc>
          <w:tcPr>
            <w:tcW w:w="1060" w:type="dxa"/>
            <w:vAlign w:val="bottom"/>
            <w:gridSpan w:val="5"/>
          </w:tcPr>
          <w:p>
            <w:pPr>
              <w:jc w:val="right"/>
              <w:ind w:right="60"/>
              <w:spacing w:after="0"/>
              <w:rPr>
                <w:sz w:val="20"/>
                <w:szCs w:val="20"/>
                <w:color w:val="auto"/>
              </w:rPr>
            </w:pPr>
            <w:r>
              <w:rPr>
                <w:rFonts w:ascii="Arial" w:cs="Arial" w:eastAsia="Arial" w:hAnsi="Arial"/>
                <w:sz w:val="16"/>
                <w:szCs w:val="16"/>
                <w:color w:val="auto"/>
              </w:rPr>
              <w:t>5,700</w:t>
            </w:r>
          </w:p>
        </w:tc>
        <w:tc>
          <w:tcPr>
            <w:tcW w:w="16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570</w:t>
            </w:r>
          </w:p>
        </w:tc>
        <w:tc>
          <w:tcPr>
            <w:tcW w:w="6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275,306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(263,173)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12,703</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Untraceable shares reissued</w:t>
            </w:r>
          </w:p>
        </w:tc>
        <w:tc>
          <w:tcPr>
            <w:tcW w:w="1060" w:type="dxa"/>
            <w:vAlign w:val="bottom"/>
            <w:gridSpan w:val="5"/>
          </w:tcPr>
          <w:p>
            <w:pPr>
              <w:jc w:val="right"/>
              <w:ind w:right="60"/>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Foreign exchange translation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adjustment</w:t>
            </w:r>
          </w:p>
        </w:tc>
        <w:tc>
          <w:tcPr>
            <w:tcW w:w="1060" w:type="dxa"/>
            <w:vAlign w:val="bottom"/>
            <w:gridSpan w:val="5"/>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6"/>
                <w:szCs w:val="16"/>
                <w:color w:val="auto"/>
              </w:rPr>
              <w:t>(1,169)</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(1,169)</w:t>
            </w:r>
          </w:p>
        </w:tc>
      </w:tr>
      <w:tr>
        <w:trPr>
          <w:trHeight w:val="214"/>
        </w:trPr>
        <w:tc>
          <w:tcPr>
            <w:tcW w:w="2280" w:type="dxa"/>
            <w:vAlign w:val="bottom"/>
          </w:tcPr>
          <w:p>
            <w:pPr>
              <w:spacing w:after="0"/>
              <w:rPr>
                <w:sz w:val="20"/>
                <w:szCs w:val="20"/>
                <w:color w:val="auto"/>
              </w:rPr>
            </w:pPr>
            <w:r>
              <w:rPr>
                <w:rFonts w:ascii="Arial" w:cs="Arial" w:eastAsia="Arial" w:hAnsi="Arial"/>
                <w:sz w:val="16"/>
                <w:szCs w:val="16"/>
                <w:color w:val="auto"/>
              </w:rPr>
              <w:t>Net loss</w:t>
            </w:r>
          </w:p>
        </w:tc>
        <w:tc>
          <w:tcPr>
            <w:tcW w:w="1060" w:type="dxa"/>
            <w:vAlign w:val="bottom"/>
            <w:gridSpan w:val="5"/>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6"/>
                <w:szCs w:val="16"/>
                <w:color w:val="auto"/>
              </w:rPr>
              <w:t>(3,532,623)</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(3,532,623)</w:t>
            </w:r>
          </w:p>
        </w:tc>
      </w:tr>
      <w:tr>
        <w:trPr>
          <w:trHeight w:val="208"/>
        </w:trPr>
        <w:tc>
          <w:tcPr>
            <w:tcW w:w="2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 2010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402,560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40,256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37,812,058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34,980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99"/>
              </w:rPr>
              <w:t>(41,693,275)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(60,895)</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(3,866,876)</w:t>
            </w:r>
          </w:p>
        </w:tc>
        <w:tc>
          <w:tcPr>
            <w:tcW w:w="100" w:type="dxa"/>
            <w:vAlign w:val="bottom"/>
          </w:tcPr>
          <w:p>
            <w:pPr>
              <w:spacing w:after="0"/>
              <w:rPr>
                <w:sz w:val="18"/>
                <w:szCs w:val="18"/>
                <w:color w:val="auto"/>
              </w:rPr>
            </w:pPr>
          </w:p>
        </w:tc>
      </w:tr>
      <w:tr>
        <w:trPr>
          <w:trHeight w:val="395"/>
        </w:trPr>
        <w:tc>
          <w:tcPr>
            <w:tcW w:w="2280" w:type="dxa"/>
            <w:vAlign w:val="bottom"/>
          </w:tcPr>
          <w:p>
            <w:pPr>
              <w:spacing w:after="0"/>
              <w:rPr>
                <w:sz w:val="20"/>
                <w:szCs w:val="20"/>
                <w:color w:val="auto"/>
              </w:rPr>
            </w:pPr>
            <w:r>
              <w:rPr>
                <w:rFonts w:ascii="Arial" w:cs="Arial" w:eastAsia="Arial" w:hAnsi="Arial"/>
                <w:sz w:val="16"/>
                <w:szCs w:val="16"/>
                <w:color w:val="auto"/>
              </w:rPr>
              <w:t>Notes converted into shares</w:t>
            </w:r>
          </w:p>
        </w:tc>
        <w:tc>
          <w:tcPr>
            <w:tcW w:w="1220" w:type="dxa"/>
            <w:vAlign w:val="bottom"/>
            <w:gridSpan w:val="6"/>
          </w:tcPr>
          <w:p>
            <w:pPr>
              <w:jc w:val="right"/>
              <w:ind w:right="160"/>
              <w:spacing w:after="0"/>
              <w:rPr>
                <w:sz w:val="20"/>
                <w:szCs w:val="20"/>
                <w:color w:val="auto"/>
              </w:rPr>
            </w:pPr>
            <w:r>
              <w:rPr>
                <w:rFonts w:ascii="Arial" w:cs="Arial" w:eastAsia="Arial" w:hAnsi="Arial"/>
                <w:sz w:val="16"/>
                <w:szCs w:val="16"/>
                <w:color w:val="auto"/>
              </w:rPr>
              <w:t>21,027</w:t>
            </w: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2,102</w:t>
            </w:r>
          </w:p>
        </w:tc>
        <w:tc>
          <w:tcPr>
            <w:tcW w:w="1200" w:type="dxa"/>
            <w:vAlign w:val="bottom"/>
            <w:gridSpan w:val="5"/>
          </w:tcPr>
          <w:p>
            <w:pPr>
              <w:jc w:val="right"/>
              <w:ind w:right="80"/>
              <w:spacing w:after="0"/>
              <w:rPr>
                <w:sz w:val="20"/>
                <w:szCs w:val="20"/>
                <w:color w:val="auto"/>
              </w:rPr>
            </w:pPr>
            <w:r>
              <w:rPr>
                <w:rFonts w:ascii="Arial" w:cs="Arial" w:eastAsia="Arial" w:hAnsi="Arial"/>
                <w:sz w:val="16"/>
                <w:szCs w:val="16"/>
                <w:color w:val="auto"/>
              </w:rPr>
              <w:t>428,992</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5"/>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431,094</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w w:val="90"/>
              </w:rPr>
              <w:t>Stock based compensation in 2011</w:t>
            </w:r>
          </w:p>
        </w:tc>
        <w:tc>
          <w:tcPr>
            <w:tcW w:w="1060" w:type="dxa"/>
            <w:vAlign w:val="bottom"/>
            <w:gridSpan w:val="5"/>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6"/>
                <w:szCs w:val="16"/>
                <w:color w:val="auto"/>
              </w:rPr>
              <w:t>456,081</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5"/>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456,081</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w w:val="95"/>
              </w:rPr>
              <w:t>Fair value of warrants recognized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as derivative liabilities</w:t>
            </w:r>
          </w:p>
        </w:tc>
        <w:tc>
          <w:tcPr>
            <w:tcW w:w="1060" w:type="dxa"/>
            <w:vAlign w:val="bottom"/>
            <w:gridSpan w:val="5"/>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6"/>
                <w:szCs w:val="16"/>
                <w:color w:val="auto"/>
              </w:rPr>
              <w:t>(500,170)</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5"/>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(500,170)</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w w:val="98"/>
              </w:rPr>
              <w:t>Obligation to issue shares at fair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ind w:left="80"/>
              <w:spacing w:after="0"/>
              <w:rPr>
                <w:sz w:val="20"/>
                <w:szCs w:val="20"/>
                <w:color w:val="auto"/>
              </w:rPr>
            </w:pPr>
            <w:r>
              <w:rPr>
                <w:rFonts w:ascii="Arial" w:cs="Arial" w:eastAsia="Arial" w:hAnsi="Arial"/>
                <w:sz w:val="16"/>
                <w:szCs w:val="16"/>
                <w:color w:val="auto"/>
                <w:w w:val="97"/>
              </w:rPr>
              <w:t>pursuant to service agreements</w:t>
            </w:r>
          </w:p>
        </w:tc>
        <w:tc>
          <w:tcPr>
            <w:tcW w:w="1060" w:type="dxa"/>
            <w:vAlign w:val="bottom"/>
            <w:gridSpan w:val="5"/>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1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198,971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5"/>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198,971</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Shares issued for subscriptions</w:t>
            </w:r>
          </w:p>
        </w:tc>
        <w:tc>
          <w:tcPr>
            <w:tcW w:w="1220" w:type="dxa"/>
            <w:vAlign w:val="bottom"/>
            <w:gridSpan w:val="6"/>
          </w:tcPr>
          <w:p>
            <w:pPr>
              <w:jc w:val="right"/>
              <w:ind w:right="160"/>
              <w:spacing w:after="0"/>
              <w:rPr>
                <w:sz w:val="20"/>
                <w:szCs w:val="20"/>
                <w:color w:val="auto"/>
              </w:rPr>
            </w:pPr>
            <w:r>
              <w:rPr>
                <w:rFonts w:ascii="Arial" w:cs="Arial" w:eastAsia="Arial" w:hAnsi="Arial"/>
                <w:sz w:val="16"/>
                <w:szCs w:val="16"/>
                <w:color w:val="auto"/>
              </w:rPr>
              <w:t>800</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80</w:t>
            </w:r>
          </w:p>
        </w:tc>
        <w:tc>
          <w:tcPr>
            <w:tcW w:w="60" w:type="dxa"/>
            <w:vAlign w:val="bottom"/>
          </w:tcPr>
          <w:p>
            <w:pPr>
              <w:spacing w:after="0"/>
              <w:rPr>
                <w:sz w:val="17"/>
                <w:szCs w:val="17"/>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6"/>
                <w:szCs w:val="16"/>
                <w:color w:val="auto"/>
              </w:rPr>
              <w:t>12,852</w:t>
            </w:r>
          </w:p>
        </w:tc>
        <w:tc>
          <w:tcPr>
            <w:tcW w:w="1280" w:type="dxa"/>
            <w:vAlign w:val="bottom"/>
            <w:gridSpan w:val="6"/>
          </w:tcPr>
          <w:p>
            <w:pPr>
              <w:jc w:val="right"/>
              <w:ind w:right="160"/>
              <w:spacing w:after="0"/>
              <w:rPr>
                <w:sz w:val="20"/>
                <w:szCs w:val="20"/>
                <w:color w:val="auto"/>
              </w:rPr>
            </w:pPr>
            <w:r>
              <w:rPr>
                <w:rFonts w:ascii="Arial" w:cs="Arial" w:eastAsia="Arial" w:hAnsi="Arial"/>
                <w:sz w:val="16"/>
                <w:szCs w:val="16"/>
                <w:color w:val="auto"/>
              </w:rPr>
              <w:t>(12,932)</w:t>
            </w: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5"/>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Issued at fair value pursuant to</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ind w:left="80"/>
              <w:spacing w:after="0"/>
              <w:rPr>
                <w:sz w:val="20"/>
                <w:szCs w:val="20"/>
                <w:color w:val="auto"/>
              </w:rPr>
            </w:pPr>
            <w:r>
              <w:rPr>
                <w:rFonts w:ascii="Arial" w:cs="Arial" w:eastAsia="Arial" w:hAnsi="Arial"/>
                <w:sz w:val="16"/>
                <w:szCs w:val="16"/>
                <w:color w:val="auto"/>
              </w:rPr>
              <w:t>debt settlement agreements</w:t>
            </w:r>
          </w:p>
        </w:tc>
        <w:tc>
          <w:tcPr>
            <w:tcW w:w="1220" w:type="dxa"/>
            <w:vAlign w:val="bottom"/>
            <w:gridSpan w:val="6"/>
          </w:tcPr>
          <w:p>
            <w:pPr>
              <w:jc w:val="right"/>
              <w:ind w:right="160"/>
              <w:spacing w:after="0"/>
              <w:rPr>
                <w:sz w:val="20"/>
                <w:szCs w:val="20"/>
                <w:color w:val="auto"/>
              </w:rPr>
            </w:pPr>
            <w:r>
              <w:rPr>
                <w:rFonts w:ascii="Arial" w:cs="Arial" w:eastAsia="Arial" w:hAnsi="Arial"/>
                <w:sz w:val="16"/>
                <w:szCs w:val="16"/>
                <w:color w:val="auto"/>
              </w:rPr>
              <w:t>25,903</w:t>
            </w: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2,590</w:t>
            </w:r>
          </w:p>
        </w:tc>
        <w:tc>
          <w:tcPr>
            <w:tcW w:w="1200" w:type="dxa"/>
            <w:vAlign w:val="bottom"/>
            <w:gridSpan w:val="5"/>
          </w:tcPr>
          <w:p>
            <w:pPr>
              <w:jc w:val="right"/>
              <w:ind w:right="80"/>
              <w:spacing w:after="0"/>
              <w:rPr>
                <w:sz w:val="20"/>
                <w:szCs w:val="20"/>
                <w:color w:val="auto"/>
              </w:rPr>
            </w:pPr>
            <w:r>
              <w:rPr>
                <w:rFonts w:ascii="Arial" w:cs="Arial" w:eastAsia="Arial" w:hAnsi="Arial"/>
                <w:sz w:val="16"/>
                <w:szCs w:val="16"/>
                <w:color w:val="auto"/>
              </w:rPr>
              <w:t>483,789</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5"/>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486,379</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Issued at fair value pursuant to</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service agreements</w:t>
            </w:r>
          </w:p>
        </w:tc>
        <w:tc>
          <w:tcPr>
            <w:tcW w:w="1220" w:type="dxa"/>
            <w:vAlign w:val="bottom"/>
            <w:gridSpan w:val="6"/>
          </w:tcPr>
          <w:p>
            <w:pPr>
              <w:jc w:val="right"/>
              <w:ind w:right="160"/>
              <w:spacing w:after="0"/>
              <w:rPr>
                <w:sz w:val="20"/>
                <w:szCs w:val="20"/>
                <w:color w:val="auto"/>
              </w:rPr>
            </w:pPr>
            <w:r>
              <w:rPr>
                <w:rFonts w:ascii="Arial" w:cs="Arial" w:eastAsia="Arial" w:hAnsi="Arial"/>
                <w:sz w:val="16"/>
                <w:szCs w:val="16"/>
                <w:color w:val="auto"/>
              </w:rPr>
              <w:t>25,944</w:t>
            </w: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2,594</w:t>
            </w:r>
          </w:p>
        </w:tc>
        <w:tc>
          <w:tcPr>
            <w:tcW w:w="1200" w:type="dxa"/>
            <w:vAlign w:val="bottom"/>
            <w:gridSpan w:val="5"/>
          </w:tcPr>
          <w:p>
            <w:pPr>
              <w:jc w:val="right"/>
              <w:ind w:right="80"/>
              <w:spacing w:after="0"/>
              <w:rPr>
                <w:sz w:val="20"/>
                <w:szCs w:val="20"/>
                <w:color w:val="auto"/>
              </w:rPr>
            </w:pPr>
            <w:r>
              <w:rPr>
                <w:rFonts w:ascii="Arial" w:cs="Arial" w:eastAsia="Arial" w:hAnsi="Arial"/>
                <w:sz w:val="16"/>
                <w:szCs w:val="16"/>
                <w:color w:val="auto"/>
              </w:rPr>
              <w:t>570,773</w:t>
            </w:r>
          </w:p>
        </w:tc>
        <w:tc>
          <w:tcPr>
            <w:tcW w:w="1280" w:type="dxa"/>
            <w:vAlign w:val="bottom"/>
            <w:gridSpan w:val="6"/>
          </w:tcPr>
          <w:p>
            <w:pPr>
              <w:jc w:val="right"/>
              <w:ind w:right="160"/>
              <w:spacing w:after="0"/>
              <w:rPr>
                <w:sz w:val="20"/>
                <w:szCs w:val="20"/>
                <w:color w:val="auto"/>
              </w:rPr>
            </w:pPr>
            <w:r>
              <w:rPr>
                <w:rFonts w:ascii="Arial" w:cs="Arial" w:eastAsia="Arial" w:hAnsi="Arial"/>
                <w:sz w:val="16"/>
                <w:szCs w:val="16"/>
                <w:color w:val="auto"/>
              </w:rPr>
              <w:t>(27,000)</w:t>
            </w: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(35,968)</w:t>
            </w:r>
          </w:p>
        </w:tc>
        <w:tc>
          <w:tcPr>
            <w:tcW w:w="1160" w:type="dxa"/>
            <w:vAlign w:val="bottom"/>
            <w:gridSpan w:val="5"/>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510,399</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Shares due for interest costs</w:t>
            </w:r>
          </w:p>
        </w:tc>
        <w:tc>
          <w:tcPr>
            <w:tcW w:w="1060" w:type="dxa"/>
            <w:vAlign w:val="bottom"/>
            <w:gridSpan w:val="5"/>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1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6"/>
                <w:szCs w:val="16"/>
                <w:color w:val="auto"/>
              </w:rPr>
              <w:t>28,887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5"/>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28,887</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Private placement</w:t>
            </w:r>
          </w:p>
        </w:tc>
        <w:tc>
          <w:tcPr>
            <w:tcW w:w="1220" w:type="dxa"/>
            <w:vAlign w:val="bottom"/>
            <w:gridSpan w:val="6"/>
          </w:tcPr>
          <w:p>
            <w:pPr>
              <w:jc w:val="right"/>
              <w:ind w:right="160"/>
              <w:spacing w:after="0"/>
              <w:rPr>
                <w:sz w:val="20"/>
                <w:szCs w:val="20"/>
                <w:color w:val="auto"/>
              </w:rPr>
            </w:pPr>
            <w:r>
              <w:rPr>
                <w:rFonts w:ascii="Arial" w:cs="Arial" w:eastAsia="Arial" w:hAnsi="Arial"/>
                <w:sz w:val="16"/>
                <w:szCs w:val="16"/>
                <w:color w:val="auto"/>
              </w:rPr>
              <w:t>44,500</w:t>
            </w: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4,450</w:t>
            </w:r>
          </w:p>
        </w:tc>
        <w:tc>
          <w:tcPr>
            <w:tcW w:w="1200" w:type="dxa"/>
            <w:vAlign w:val="bottom"/>
            <w:gridSpan w:val="5"/>
          </w:tcPr>
          <w:p>
            <w:pPr>
              <w:jc w:val="right"/>
              <w:ind w:right="80"/>
              <w:spacing w:after="0"/>
              <w:rPr>
                <w:sz w:val="20"/>
                <w:szCs w:val="20"/>
                <w:color w:val="auto"/>
              </w:rPr>
            </w:pPr>
            <w:r>
              <w:rPr>
                <w:rFonts w:ascii="Arial" w:cs="Arial" w:eastAsia="Arial" w:hAnsi="Arial"/>
                <w:sz w:val="16"/>
                <w:szCs w:val="16"/>
                <w:color w:val="auto"/>
              </w:rPr>
              <w:t>690,550</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140,000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5"/>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835,000</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w w:val="95"/>
              </w:rPr>
              <w:t>Finders’ fee on private placement</w:t>
            </w:r>
          </w:p>
        </w:tc>
        <w:tc>
          <w:tcPr>
            <w:tcW w:w="1060" w:type="dxa"/>
            <w:vAlign w:val="bottom"/>
            <w:gridSpan w:val="5"/>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6"/>
                <w:szCs w:val="16"/>
                <w:color w:val="auto"/>
              </w:rPr>
              <w:t>(11,551)</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5"/>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(11,551)</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Foreign exchange translation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adjustment</w:t>
            </w:r>
          </w:p>
        </w:tc>
        <w:tc>
          <w:tcPr>
            <w:tcW w:w="1060" w:type="dxa"/>
            <w:vAlign w:val="bottom"/>
            <w:gridSpan w:val="5"/>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1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5"/>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6"/>
                <w:szCs w:val="16"/>
                <w:color w:val="auto"/>
              </w:rPr>
              <w:t>367</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367</w:t>
            </w:r>
          </w:p>
        </w:tc>
      </w:tr>
      <w:tr>
        <w:trPr>
          <w:trHeight w:val="214"/>
        </w:trPr>
        <w:tc>
          <w:tcPr>
            <w:tcW w:w="2280" w:type="dxa"/>
            <w:vAlign w:val="bottom"/>
          </w:tcPr>
          <w:p>
            <w:pPr>
              <w:spacing w:after="0"/>
              <w:rPr>
                <w:sz w:val="20"/>
                <w:szCs w:val="20"/>
                <w:color w:val="auto"/>
              </w:rPr>
            </w:pPr>
            <w:r>
              <w:rPr>
                <w:rFonts w:ascii="Arial" w:cs="Arial" w:eastAsia="Arial" w:hAnsi="Arial"/>
                <w:sz w:val="16"/>
                <w:szCs w:val="16"/>
                <w:color w:val="auto"/>
              </w:rPr>
              <w:t>Net loss</w:t>
            </w:r>
          </w:p>
        </w:tc>
        <w:tc>
          <w:tcPr>
            <w:tcW w:w="1060" w:type="dxa"/>
            <w:vAlign w:val="bottom"/>
            <w:gridSpan w:val="5"/>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5"/>
          </w:tcPr>
          <w:p>
            <w:pPr>
              <w:jc w:val="right"/>
              <w:ind w:right="40"/>
              <w:spacing w:after="0"/>
              <w:rPr>
                <w:sz w:val="20"/>
                <w:szCs w:val="20"/>
                <w:color w:val="auto"/>
              </w:rPr>
            </w:pPr>
            <w:r>
              <w:rPr>
                <w:rFonts w:ascii="Arial" w:cs="Arial" w:eastAsia="Arial" w:hAnsi="Arial"/>
                <w:sz w:val="16"/>
                <w:szCs w:val="16"/>
                <w:color w:val="auto"/>
              </w:rPr>
              <w:t>(2,028,941)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(2,028,941)</w:t>
            </w:r>
          </w:p>
        </w:tc>
      </w:tr>
      <w:tr>
        <w:trPr>
          <w:trHeight w:val="208"/>
        </w:trPr>
        <w:tc>
          <w:tcPr>
            <w:tcW w:w="2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 2011</w:t>
            </w:r>
          </w:p>
        </w:tc>
        <w:tc>
          <w:tcPr>
            <w:tcW w:w="20" w:type="dxa"/>
            <w:vAlign w:val="bottom"/>
            <w:tcBorders>
              <w:top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520,734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52,072</w:t>
            </w:r>
          </w:p>
        </w:tc>
        <w:tc>
          <w:tcPr>
            <w:tcW w:w="6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39,943,374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362,906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(35,968)</w:t>
            </w:r>
          </w:p>
        </w:tc>
        <w:tc>
          <w:tcPr>
            <w:tcW w:w="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99"/>
              </w:rPr>
              <w:t>(43,722,216)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(60,528)</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(3,460,360)</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TAPIMMUNE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Development Stage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STOCKHOLDERS’ DEFICIT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FROM JULY 27, 1999 (INCEPTION) TO DECEMBER 31, 2013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179"/>
              <w:spacing w:after="0"/>
              <w:rPr>
                <w:sz w:val="20"/>
                <w:szCs w:val="20"/>
                <w:color w:val="auto"/>
              </w:rPr>
            </w:pPr>
            <w:r>
              <w:rPr>
                <w:rFonts w:ascii="Arial" w:cs="Arial" w:eastAsia="Arial" w:hAnsi="Arial"/>
                <w:sz w:val="16"/>
                <w:szCs w:val="16"/>
                <w:color w:val="auto"/>
                <w:w w:val="98"/>
              </w:rPr>
              <w:t>Deficit</w:t>
            </w: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197"/>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Obligation</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79"/>
              <w:spacing w:after="0"/>
              <w:rPr>
                <w:sz w:val="20"/>
                <w:szCs w:val="20"/>
                <w:color w:val="auto"/>
              </w:rPr>
            </w:pPr>
            <w:r>
              <w:rPr>
                <w:rFonts w:ascii="Arial" w:cs="Arial" w:eastAsia="Arial" w:hAnsi="Arial"/>
                <w:sz w:val="16"/>
                <w:szCs w:val="16"/>
                <w:color w:val="auto"/>
                <w:w w:val="95"/>
              </w:rPr>
              <w:t>Accumulated</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95"/>
              </w:rPr>
              <w:t>Accumulated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4"/>
          </w:tcPr>
          <w:p>
            <w:pPr>
              <w:jc w:val="right"/>
              <w:ind w:right="600"/>
              <w:spacing w:after="0"/>
              <w:rPr>
                <w:sz w:val="20"/>
                <w:szCs w:val="20"/>
                <w:color w:val="auto"/>
              </w:rPr>
            </w:pPr>
            <w:r>
              <w:rPr>
                <w:rFonts w:ascii="Arial" w:cs="Arial" w:eastAsia="Arial" w:hAnsi="Arial"/>
                <w:sz w:val="16"/>
                <w:szCs w:val="16"/>
                <w:color w:val="auto"/>
              </w:rPr>
              <w:t>Common Stock</w:t>
            </w:r>
          </w:p>
        </w:tc>
        <w:tc>
          <w:tcPr>
            <w:tcW w:w="12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Additional</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to Issue</w:t>
            </w:r>
          </w:p>
        </w:tc>
        <w:tc>
          <w:tcPr>
            <w:tcW w:w="10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Deferred</w:t>
            </w:r>
          </w:p>
        </w:tc>
        <w:tc>
          <w:tcPr>
            <w:tcW w:w="80" w:type="dxa"/>
            <w:vAlign w:val="bottom"/>
          </w:tcPr>
          <w:p>
            <w:pPr>
              <w:spacing w:after="0"/>
              <w:rPr>
                <w:sz w:val="17"/>
                <w:szCs w:val="17"/>
                <w:color w:val="auto"/>
              </w:rPr>
            </w:pPr>
          </w:p>
        </w:tc>
        <w:tc>
          <w:tcPr>
            <w:tcW w:w="1140" w:type="dxa"/>
            <w:vAlign w:val="bottom"/>
            <w:gridSpan w:val="2"/>
          </w:tcPr>
          <w:p>
            <w:pPr>
              <w:jc w:val="center"/>
              <w:ind w:right="179"/>
              <w:spacing w:after="0"/>
              <w:rPr>
                <w:sz w:val="20"/>
                <w:szCs w:val="20"/>
                <w:color w:val="auto"/>
              </w:rPr>
            </w:pPr>
            <w:r>
              <w:rPr>
                <w:rFonts w:ascii="Arial" w:cs="Arial" w:eastAsia="Arial" w:hAnsi="Arial"/>
                <w:sz w:val="16"/>
                <w:szCs w:val="16"/>
                <w:color w:val="auto"/>
                <w:w w:val="97"/>
              </w:rPr>
              <w:t>During the</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Other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Number of</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color w:val="auto"/>
              </w:rPr>
              <w:t>Paid In</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87"/>
              </w:rPr>
              <w:t>Shares and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79"/>
              <w:spacing w:after="0"/>
              <w:rPr>
                <w:sz w:val="20"/>
                <w:szCs w:val="20"/>
                <w:color w:val="auto"/>
              </w:rPr>
            </w:pPr>
            <w:r>
              <w:rPr>
                <w:rFonts w:ascii="Arial" w:cs="Arial" w:eastAsia="Arial" w:hAnsi="Arial"/>
                <w:sz w:val="16"/>
                <w:szCs w:val="16"/>
                <w:color w:val="auto"/>
                <w:w w:val="93"/>
              </w:rPr>
              <w:t>Development</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Comprehensive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shares</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Amount</w:t>
            </w:r>
          </w:p>
        </w:tc>
        <w:tc>
          <w:tcPr>
            <w:tcW w:w="12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color w:val="auto"/>
              </w:rPr>
              <w:t>Capital</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Warrants</w:t>
            </w:r>
          </w:p>
        </w:tc>
        <w:tc>
          <w:tcPr>
            <w:tcW w:w="1180" w:type="dxa"/>
            <w:vAlign w:val="bottom"/>
            <w:gridSpan w:val="3"/>
          </w:tcPr>
          <w:p>
            <w:pPr>
              <w:ind w:left="100"/>
              <w:spacing w:after="0"/>
              <w:rPr>
                <w:sz w:val="20"/>
                <w:szCs w:val="20"/>
                <w:color w:val="auto"/>
              </w:rPr>
            </w:pPr>
            <w:r>
              <w:rPr>
                <w:rFonts w:ascii="Arial" w:cs="Arial" w:eastAsia="Arial" w:hAnsi="Arial"/>
                <w:sz w:val="16"/>
                <w:szCs w:val="16"/>
                <w:color w:val="auto"/>
              </w:rPr>
              <w:t>Compensation</w:t>
            </w:r>
          </w:p>
        </w:tc>
        <w:tc>
          <w:tcPr>
            <w:tcW w:w="80" w:type="dxa"/>
            <w:vAlign w:val="bottom"/>
          </w:tcPr>
          <w:p>
            <w:pPr>
              <w:spacing w:after="0"/>
              <w:rPr>
                <w:sz w:val="17"/>
                <w:szCs w:val="17"/>
                <w:color w:val="auto"/>
              </w:rPr>
            </w:pPr>
          </w:p>
        </w:tc>
        <w:tc>
          <w:tcPr>
            <w:tcW w:w="1140" w:type="dxa"/>
            <w:vAlign w:val="bottom"/>
            <w:gridSpan w:val="2"/>
          </w:tcPr>
          <w:p>
            <w:pPr>
              <w:jc w:val="center"/>
              <w:ind w:right="179"/>
              <w:spacing w:after="0"/>
              <w:rPr>
                <w:sz w:val="20"/>
                <w:szCs w:val="20"/>
                <w:color w:val="auto"/>
              </w:rPr>
            </w:pPr>
            <w:r>
              <w:rPr>
                <w:rFonts w:ascii="Arial" w:cs="Arial" w:eastAsia="Arial" w:hAnsi="Arial"/>
                <w:sz w:val="16"/>
                <w:szCs w:val="16"/>
                <w:color w:val="auto"/>
                <w:w w:val="85"/>
              </w:rPr>
              <w:t>Stage</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Loss</w:t>
            </w:r>
          </w:p>
        </w:tc>
        <w:tc>
          <w:tcPr>
            <w:tcW w:w="1000" w:type="dxa"/>
            <w:vAlign w:val="bottom"/>
            <w:gridSpan w:val="2"/>
          </w:tcPr>
          <w:p>
            <w:pPr>
              <w:jc w:val="right"/>
              <w:ind w:right="298"/>
              <w:spacing w:after="0"/>
              <w:rPr>
                <w:sz w:val="20"/>
                <w:szCs w:val="20"/>
                <w:color w:val="auto"/>
              </w:rPr>
            </w:pPr>
            <w:r>
              <w:rPr>
                <w:rFonts w:ascii="Arial" w:cs="Arial" w:eastAsia="Arial" w:hAnsi="Arial"/>
                <w:sz w:val="16"/>
                <w:szCs w:val="16"/>
                <w:color w:val="auto"/>
              </w:rPr>
              <w:t>Total</w:t>
            </w:r>
          </w:p>
        </w:tc>
      </w:tr>
      <w:tr>
        <w:trPr>
          <w:trHeight w:val="214"/>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718"/>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1000" w:type="dxa"/>
            <w:vAlign w:val="bottom"/>
            <w:gridSpan w:val="2"/>
          </w:tcPr>
          <w:p>
            <w:pPr>
              <w:jc w:val="right"/>
              <w:ind w:right="71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ind w:right="738"/>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75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ind w:right="858"/>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900" w:type="dxa"/>
            <w:vAlign w:val="bottom"/>
          </w:tcPr>
          <w:p>
            <w:pPr>
              <w:jc w:val="right"/>
              <w:ind w:right="738"/>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r>
      <w:tr>
        <w:trPr>
          <w:trHeight w:val="185"/>
        </w:trPr>
        <w:tc>
          <w:tcPr>
            <w:tcW w:w="2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 2011</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520,734</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52,072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39,943,374</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362,906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(35,968)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(43,722,216)</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(60,528)</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(3,460,360)</w:t>
            </w:r>
          </w:p>
        </w:tc>
        <w:tc>
          <w:tcPr>
            <w:tcW w:w="100" w:type="dxa"/>
            <w:vAlign w:val="bottom"/>
          </w:tcPr>
          <w:p>
            <w:pPr>
              <w:spacing w:after="0"/>
              <w:rPr>
                <w:sz w:val="16"/>
                <w:szCs w:val="16"/>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Notes converted into shares</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23,412</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2,341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234,721</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237,062</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Stock based compensation in</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2012</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204,427</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204,427</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w w:val="98"/>
              </w:rPr>
              <w:t>Obligation to issue shares at fair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value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ind w:left="80"/>
              <w:spacing w:after="0"/>
              <w:rPr>
                <w:sz w:val="20"/>
                <w:szCs w:val="20"/>
                <w:color w:val="auto"/>
              </w:rPr>
            </w:pPr>
            <w:r>
              <w:rPr>
                <w:rFonts w:ascii="Arial" w:cs="Arial" w:eastAsia="Arial" w:hAnsi="Arial"/>
                <w:sz w:val="16"/>
                <w:szCs w:val="16"/>
                <w:color w:val="auto"/>
                <w:w w:val="97"/>
              </w:rPr>
              <w:t>pursuant to service agreements</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214,083</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214,083</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Issued at fair value pursuant to</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ind w:left="80"/>
              <w:spacing w:after="0"/>
              <w:rPr>
                <w:sz w:val="20"/>
                <w:szCs w:val="20"/>
                <w:color w:val="auto"/>
              </w:rPr>
            </w:pPr>
            <w:r>
              <w:rPr>
                <w:rFonts w:ascii="Arial" w:cs="Arial" w:eastAsia="Arial" w:hAnsi="Arial"/>
                <w:sz w:val="16"/>
                <w:szCs w:val="16"/>
                <w:color w:val="auto"/>
              </w:rPr>
              <w:t>debt settlement agreements</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8,333</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833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138,866</w:t>
            </w: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(33,130)</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106,569</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Issued at fair value pursuant to</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service agreements</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145,352</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14,536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1,983,434</w:t>
            </w: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(6,000)</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1,992,000</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Shares issued for interest costs</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16,531</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1,655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244,062</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245,717</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Private placement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49,667</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4,967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735,033</w:t>
            </w: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(185,000)</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555,000</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w w:val="94"/>
              </w:rPr>
              <w:t>Deferred compensation expensed</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35,968</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35,968</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Foreign exchange translation</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adjustment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(1,120)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(1,120)</w:t>
            </w:r>
          </w:p>
        </w:tc>
      </w:tr>
      <w:tr>
        <w:trPr>
          <w:trHeight w:val="214"/>
        </w:trPr>
        <w:tc>
          <w:tcPr>
            <w:tcW w:w="2280" w:type="dxa"/>
            <w:vAlign w:val="bottom"/>
          </w:tcPr>
          <w:p>
            <w:pPr>
              <w:spacing w:after="0"/>
              <w:rPr>
                <w:sz w:val="20"/>
                <w:szCs w:val="20"/>
                <w:color w:val="auto"/>
              </w:rPr>
            </w:pPr>
            <w:r>
              <w:rPr>
                <w:rFonts w:ascii="Arial" w:cs="Arial" w:eastAsia="Arial" w:hAnsi="Arial"/>
                <w:sz w:val="16"/>
                <w:szCs w:val="16"/>
                <w:color w:val="auto"/>
              </w:rPr>
              <w:t>Net loss</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39"/>
              <w:spacing w:after="0"/>
              <w:rPr>
                <w:sz w:val="20"/>
                <w:szCs w:val="20"/>
                <w:color w:val="auto"/>
              </w:rPr>
            </w:pPr>
            <w:r>
              <w:rPr>
                <w:rFonts w:ascii="Arial" w:cs="Arial" w:eastAsia="Arial" w:hAnsi="Arial"/>
                <w:sz w:val="16"/>
                <w:szCs w:val="16"/>
                <w:color w:val="auto"/>
              </w:rPr>
              <w:t>(6,171,867)</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(6,171,867)</w:t>
            </w:r>
          </w:p>
        </w:tc>
      </w:tr>
      <w:tr>
        <w:trPr>
          <w:trHeight w:val="185"/>
        </w:trPr>
        <w:tc>
          <w:tcPr>
            <w:tcW w:w="22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6"/>
              </w:rPr>
              <w:t>Balance, December 31, 2012 (as</w:t>
            </w: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2280" w:type="dxa"/>
            <w:vAlign w:val="bottom"/>
          </w:tcPr>
          <w:p>
            <w:pPr>
              <w:spacing w:after="0"/>
              <w:rPr>
                <w:sz w:val="20"/>
                <w:szCs w:val="20"/>
                <w:color w:val="auto"/>
              </w:rPr>
            </w:pPr>
            <w:r>
              <w:rPr>
                <w:rFonts w:ascii="Arial" w:cs="Arial" w:eastAsia="Arial" w:hAnsi="Arial"/>
                <w:sz w:val="16"/>
                <w:szCs w:val="16"/>
                <w:color w:val="auto"/>
              </w:rPr>
              <w:t>restated)</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764,029</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76,404</w:t>
            </w:r>
          </w:p>
        </w:tc>
        <w:tc>
          <w:tcPr>
            <w:tcW w:w="1240" w:type="dxa"/>
            <w:vAlign w:val="bottom"/>
            <w:gridSpan w:val="3"/>
          </w:tcPr>
          <w:p>
            <w:pPr>
              <w:jc w:val="right"/>
              <w:ind w:right="240"/>
              <w:spacing w:after="0"/>
              <w:rPr>
                <w:sz w:val="20"/>
                <w:szCs w:val="20"/>
                <w:color w:val="auto"/>
              </w:rPr>
            </w:pPr>
            <w:r>
              <w:rPr>
                <w:rFonts w:ascii="Arial" w:cs="Arial" w:eastAsia="Arial" w:hAnsi="Arial"/>
                <w:sz w:val="16"/>
                <w:szCs w:val="16"/>
                <w:color w:val="auto"/>
              </w:rPr>
              <w:t>43,483,947</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352,859</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39"/>
              <w:spacing w:after="0"/>
              <w:rPr>
                <w:sz w:val="20"/>
                <w:szCs w:val="20"/>
                <w:color w:val="auto"/>
              </w:rPr>
            </w:pPr>
            <w:r>
              <w:rPr>
                <w:rFonts w:ascii="Arial" w:cs="Arial" w:eastAsia="Arial" w:hAnsi="Arial"/>
                <w:sz w:val="16"/>
                <w:szCs w:val="16"/>
                <w:color w:val="auto"/>
              </w:rPr>
              <w:t>(49,894,083)</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(61,648)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(6,042,521)</w:t>
            </w:r>
          </w:p>
        </w:tc>
      </w:tr>
      <w:tr>
        <w:trPr>
          <w:trHeight w:val="383"/>
        </w:trPr>
        <w:tc>
          <w:tcPr>
            <w:tcW w:w="2280" w:type="dxa"/>
            <w:vAlign w:val="bottom"/>
          </w:tcPr>
          <w:p>
            <w:pPr>
              <w:spacing w:after="0"/>
              <w:rPr>
                <w:sz w:val="20"/>
                <w:szCs w:val="20"/>
                <w:color w:val="auto"/>
              </w:rPr>
            </w:pPr>
            <w:r>
              <w:rPr>
                <w:rFonts w:ascii="Arial" w:cs="Arial" w:eastAsia="Arial" w:hAnsi="Arial"/>
                <w:sz w:val="16"/>
                <w:szCs w:val="16"/>
                <w:color w:val="auto"/>
              </w:rPr>
              <w:t>Notes converted into shares</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412,047</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41,204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1,536,383</w:t>
            </w:r>
          </w:p>
        </w:tc>
        <w:tc>
          <w:tcPr>
            <w:tcW w:w="24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(100,000)</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1,477,587</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Stock based compensation in</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2013</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240"/>
              <w:spacing w:after="0"/>
              <w:rPr>
                <w:sz w:val="20"/>
                <w:szCs w:val="20"/>
                <w:color w:val="auto"/>
              </w:rPr>
            </w:pPr>
            <w:r>
              <w:rPr>
                <w:rFonts w:ascii="Arial" w:cs="Arial" w:eastAsia="Arial" w:hAnsi="Arial"/>
                <w:sz w:val="16"/>
                <w:szCs w:val="16"/>
                <w:color w:val="auto"/>
              </w:rPr>
              <w:t>46,840</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46,840</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w w:val="98"/>
              </w:rPr>
              <w:t>Obligation to issue shares at fair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value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ind w:left="80"/>
              <w:spacing w:after="0"/>
              <w:rPr>
                <w:sz w:val="20"/>
                <w:szCs w:val="20"/>
                <w:color w:val="auto"/>
              </w:rPr>
            </w:pPr>
            <w:r>
              <w:rPr>
                <w:rFonts w:ascii="Arial" w:cs="Arial" w:eastAsia="Arial" w:hAnsi="Arial"/>
                <w:sz w:val="16"/>
                <w:szCs w:val="16"/>
                <w:color w:val="auto"/>
                <w:w w:val="97"/>
              </w:rPr>
              <w:t>pursuant to service agreements</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31,891</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38,141</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Issued at fair value pursuant to</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ind w:left="80"/>
              <w:spacing w:after="0"/>
              <w:rPr>
                <w:sz w:val="20"/>
                <w:szCs w:val="20"/>
                <w:color w:val="auto"/>
              </w:rPr>
            </w:pPr>
            <w:r>
              <w:rPr>
                <w:rFonts w:ascii="Arial" w:cs="Arial" w:eastAsia="Arial" w:hAnsi="Arial"/>
                <w:sz w:val="16"/>
                <w:szCs w:val="16"/>
                <w:color w:val="auto"/>
              </w:rPr>
              <w:t>debt settlement agreements</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264,649</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26,465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1,185,162</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1,211,627</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Finders’ fee</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6"/>
                <w:szCs w:val="16"/>
                <w:color w:val="auto"/>
              </w:rPr>
              <w:t>(11,300)</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(11,300)</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Issued at fair value pursuant to</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service agreements</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3,500</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349</w:t>
            </w:r>
          </w:p>
        </w:tc>
        <w:tc>
          <w:tcPr>
            <w:tcW w:w="1240" w:type="dxa"/>
            <w:vAlign w:val="bottom"/>
            <w:gridSpan w:val="3"/>
          </w:tcPr>
          <w:p>
            <w:pPr>
              <w:jc w:val="right"/>
              <w:ind w:right="240"/>
              <w:spacing w:after="0"/>
              <w:rPr>
                <w:sz w:val="20"/>
                <w:szCs w:val="20"/>
                <w:color w:val="auto"/>
              </w:rPr>
            </w:pPr>
            <w:r>
              <w:rPr>
                <w:rFonts w:ascii="Arial" w:cs="Arial" w:eastAsia="Arial" w:hAnsi="Arial"/>
                <w:sz w:val="16"/>
                <w:szCs w:val="16"/>
                <w:color w:val="auto"/>
              </w:rPr>
              <w:t>38,587</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38,936</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Shares issued for director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compensation</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2,500</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250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7,925</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8,175</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Non-cash exercise of warrants</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18,986</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Foreign exchange translation</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adjustment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3,314</w:t>
            </w:r>
          </w:p>
        </w:tc>
        <w:tc>
          <w:tcPr>
            <w:tcW w:w="1000" w:type="dxa"/>
            <w:vAlign w:val="bottom"/>
            <w:gridSpan w:val="2"/>
          </w:tcPr>
          <w:p>
            <w:pPr>
              <w:jc w:val="right"/>
              <w:ind w:right="18"/>
              <w:spacing w:after="0"/>
              <w:rPr>
                <w:sz w:val="20"/>
                <w:szCs w:val="20"/>
                <w:color w:val="auto"/>
              </w:rPr>
            </w:pPr>
            <w:r>
              <w:rPr>
                <w:rFonts w:ascii="Arial" w:cs="Arial" w:eastAsia="Arial" w:hAnsi="Arial"/>
                <w:sz w:val="16"/>
                <w:szCs w:val="16"/>
                <w:color w:val="auto"/>
              </w:rPr>
              <w:t>3,314</w:t>
            </w:r>
          </w:p>
        </w:tc>
      </w:tr>
      <w:tr>
        <w:trPr>
          <w:trHeight w:val="214"/>
        </w:trPr>
        <w:tc>
          <w:tcPr>
            <w:tcW w:w="2280" w:type="dxa"/>
            <w:vAlign w:val="bottom"/>
          </w:tcPr>
          <w:p>
            <w:pPr>
              <w:spacing w:after="0"/>
              <w:rPr>
                <w:sz w:val="20"/>
                <w:szCs w:val="20"/>
                <w:color w:val="auto"/>
              </w:rPr>
            </w:pPr>
            <w:r>
              <w:rPr>
                <w:rFonts w:ascii="Arial" w:cs="Arial" w:eastAsia="Arial" w:hAnsi="Arial"/>
                <w:sz w:val="16"/>
                <w:szCs w:val="16"/>
                <w:color w:val="auto"/>
              </w:rPr>
              <w:t>Net loss</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39"/>
              <w:spacing w:after="0"/>
              <w:rPr>
                <w:sz w:val="20"/>
                <w:szCs w:val="20"/>
                <w:color w:val="auto"/>
              </w:rPr>
            </w:pPr>
            <w:r>
              <w:rPr>
                <w:rFonts w:ascii="Arial" w:cs="Arial" w:eastAsia="Arial" w:hAnsi="Arial"/>
                <w:sz w:val="16"/>
                <w:szCs w:val="16"/>
                <w:color w:val="auto"/>
              </w:rPr>
              <w:t>(5,532,552)</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(5,532,552)</w:t>
            </w:r>
          </w:p>
        </w:tc>
      </w:tr>
      <w:tr>
        <w:trPr>
          <w:trHeight w:val="197"/>
        </w:trPr>
        <w:tc>
          <w:tcPr>
            <w:tcW w:w="2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Balance, December 31, 2013</w:t>
            </w: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1,465,711</w:t>
            </w:r>
          </w:p>
        </w:tc>
        <w:tc>
          <w:tcPr>
            <w:tcW w:w="2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144,672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46,287,544</w:t>
            </w:r>
          </w:p>
        </w:tc>
        <w:tc>
          <w:tcPr>
            <w:tcW w:w="2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284,750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(55,426,635</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(58,334)</w:t>
            </w:r>
          </w:p>
        </w:tc>
        <w:tc>
          <w:tcPr>
            <w:tcW w:w="2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(8,768,003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90805</wp:posOffset>
            </wp:positionV>
            <wp:extent cx="726376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i w:val="1"/>
          <w:iCs w:val="1"/>
          <w:color w:val="auto"/>
        </w:rPr>
        <w:t>TAPIMMUNE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Development Stage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118"/>
              <w:spacing w:after="0"/>
              <w:rPr>
                <w:sz w:val="20"/>
                <w:szCs w:val="20"/>
                <w:color w:val="auto"/>
              </w:rPr>
            </w:pPr>
            <w:r>
              <w:rPr>
                <w:rFonts w:ascii="Arial" w:cs="Arial" w:eastAsia="Arial" w:hAnsi="Arial"/>
                <w:sz w:val="16"/>
                <w:szCs w:val="16"/>
                <w:color w:val="auto"/>
                <w:w w:val="94"/>
              </w:rPr>
              <w:t>Period from</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18"/>
              <w:spacing w:after="0"/>
              <w:rPr>
                <w:sz w:val="20"/>
                <w:szCs w:val="20"/>
                <w:color w:val="auto"/>
              </w:rPr>
            </w:pPr>
            <w:r>
              <w:rPr>
                <w:rFonts w:ascii="Arial" w:cs="Arial" w:eastAsia="Arial" w:hAnsi="Arial"/>
                <w:sz w:val="16"/>
                <w:szCs w:val="16"/>
                <w:color w:val="auto"/>
                <w:w w:val="94"/>
              </w:rPr>
              <w:t>July 27, 1999</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Year Ended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Year Ended</w:t>
            </w:r>
          </w:p>
        </w:tc>
        <w:tc>
          <w:tcPr>
            <w:tcW w:w="100" w:type="dxa"/>
            <w:vAlign w:val="bottom"/>
          </w:tcPr>
          <w:p>
            <w:pPr>
              <w:spacing w:after="0"/>
              <w:rPr>
                <w:sz w:val="17"/>
                <w:szCs w:val="17"/>
                <w:color w:val="auto"/>
              </w:rPr>
            </w:pPr>
          </w:p>
        </w:tc>
        <w:tc>
          <w:tcPr>
            <w:tcW w:w="1140" w:type="dxa"/>
            <w:vAlign w:val="bottom"/>
            <w:gridSpan w:val="2"/>
          </w:tcPr>
          <w:p>
            <w:pPr>
              <w:jc w:val="center"/>
              <w:ind w:right="118"/>
              <w:spacing w:after="0"/>
              <w:rPr>
                <w:sz w:val="20"/>
                <w:szCs w:val="20"/>
                <w:color w:val="auto"/>
              </w:rPr>
            </w:pPr>
            <w:r>
              <w:rPr>
                <w:rFonts w:ascii="Arial" w:cs="Arial" w:eastAsia="Arial" w:hAnsi="Arial"/>
                <w:sz w:val="16"/>
                <w:szCs w:val="16"/>
                <w:color w:val="auto"/>
                <w:w w:val="97"/>
              </w:rPr>
              <w:t>(inception) to</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98"/>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214"/>
        </w:trPr>
        <w:tc>
          <w:tcPr>
            <w:tcW w:w="7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89"/>
              </w:rPr>
              <w:t>2013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2012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(As restated)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Net loss</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(5,532,552)</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(6,171,867)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(55,426,635)</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Adjustments to reconcile net loss to</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net cash from operating activities: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213,228</w:t>
            </w: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Non-cash loss on debt financing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104,550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1,373,263</w:t>
            </w: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Changes in fair value of derivative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(1,546,257)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(229,252)</w:t>
            </w:r>
          </w:p>
        </w:tc>
        <w:tc>
          <w:tcPr>
            <w:tcW w:w="1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(5,850,649)</w:t>
            </w: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Loss on settlement of debt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2,560,045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59,219</w:t>
            </w:r>
          </w:p>
        </w:tc>
        <w:tc>
          <w:tcPr>
            <w:tcW w:w="100" w:type="dxa"/>
            <w:vAlign w:val="bottom"/>
          </w:tcPr>
          <w:p>
            <w:pPr>
              <w:spacing w:after="0"/>
              <w:rPr>
                <w:sz w:val="17"/>
                <w:szCs w:val="17"/>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14,250,846</w:t>
            </w: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Gain on extinguishment of derivative liabilities - warrants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(290,500)</w:t>
            </w: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Loss on disposal of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5,399</w:t>
            </w: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Non-cash interest and finance charges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1,110,831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6,579,330</w:t>
            </w: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132,093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2,440,228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13,247,713</w:t>
            </w: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Due from government agency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Prepaid expenses and deposits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41,623</w:t>
            </w:r>
          </w:p>
        </w:tc>
        <w:tc>
          <w:tcPr>
            <w:tcW w:w="1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(39,004)</w:t>
            </w: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Deferred financing costs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24,013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(5,161)</w:t>
            </w:r>
          </w:p>
        </w:tc>
        <w:tc>
          <w:tcPr>
            <w:tcW w:w="100" w:type="dxa"/>
            <w:vAlign w:val="bottom"/>
          </w:tcPr>
          <w:p>
            <w:pPr>
              <w:spacing w:after="0"/>
              <w:rPr>
                <w:sz w:val="17"/>
                <w:szCs w:val="17"/>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11,810</w:t>
            </w:r>
          </w:p>
        </w:tc>
        <w:tc>
          <w:tcPr>
            <w:tcW w:w="0" w:type="dxa"/>
            <w:vAlign w:val="bottom"/>
          </w:tcPr>
          <w:p>
            <w:pPr>
              <w:spacing w:after="0"/>
              <w:rPr>
                <w:sz w:val="1"/>
                <w:szCs w:val="1"/>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2,480,877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2,015,805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8,063,408</w:t>
            </w:r>
          </w:p>
        </w:tc>
        <w:tc>
          <w:tcPr>
            <w:tcW w:w="0" w:type="dxa"/>
            <w:vAlign w:val="bottom"/>
          </w:tcPr>
          <w:p>
            <w:pPr>
              <w:spacing w:after="0"/>
              <w:rPr>
                <w:sz w:val="1"/>
                <w:szCs w:val="1"/>
                <w:color w:val="auto"/>
              </w:rPr>
            </w:pPr>
          </w:p>
        </w:tc>
      </w:tr>
      <w:tr>
        <w:trPr>
          <w:trHeight w:val="214"/>
        </w:trPr>
        <w:tc>
          <w:tcPr>
            <w:tcW w:w="7320" w:type="dxa"/>
            <w:vAlign w:val="bottom"/>
          </w:tcPr>
          <w:p>
            <w:pPr>
              <w:ind w:left="80"/>
              <w:spacing w:after="0"/>
              <w:rPr>
                <w:sz w:val="20"/>
                <w:szCs w:val="20"/>
                <w:color w:val="auto"/>
              </w:rPr>
            </w:pPr>
            <w:r>
              <w:rPr>
                <w:rFonts w:ascii="Arial" w:cs="Arial" w:eastAsia="Arial" w:hAnsi="Arial"/>
                <w:sz w:val="16"/>
                <w:szCs w:val="16"/>
                <w:color w:val="auto"/>
              </w:rPr>
              <w:t>Research agreement obligations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76,367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156,246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710,496</w:t>
            </w:r>
          </w:p>
        </w:tc>
        <w:tc>
          <w:tcPr>
            <w:tcW w:w="0" w:type="dxa"/>
            <w:vAlign w:val="bottom"/>
          </w:tcPr>
          <w:p>
            <w:pPr>
              <w:spacing w:after="0"/>
              <w:rPr>
                <w:sz w:val="1"/>
                <w:szCs w:val="1"/>
                <w:color w:val="auto"/>
              </w:rPr>
            </w:pPr>
          </w:p>
        </w:tc>
      </w:tr>
      <w:tr>
        <w:trPr>
          <w:trHeight w:val="202"/>
        </w:trPr>
        <w:tc>
          <w:tcPr>
            <w:tcW w:w="7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(694,583)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(1,588,587)</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(17,137,600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382"/>
        </w:trPr>
        <w:tc>
          <w:tcPr>
            <w:tcW w:w="73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Issuance of shares,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555,000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10,860,575</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Convertible notes,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728,000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602,000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2,851,906</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Proceeds from loans payable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32,200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460,200</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Notes and loans payable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919,845</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Advances from related parties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(30,867)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212,192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1,768,916</w:t>
            </w: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Repayment of convertible notes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14"/>
        </w:trPr>
        <w:tc>
          <w:tcPr>
            <w:tcW w:w="7320" w:type="dxa"/>
            <w:vAlign w:val="bottom"/>
          </w:tcPr>
          <w:p>
            <w:pPr>
              <w:spacing w:after="0"/>
              <w:rPr>
                <w:sz w:val="20"/>
                <w:szCs w:val="20"/>
                <w:color w:val="auto"/>
              </w:rPr>
            </w:pPr>
            <w:r>
              <w:rPr>
                <w:rFonts w:ascii="Arial" w:cs="Arial" w:eastAsia="Arial" w:hAnsi="Arial"/>
                <w:sz w:val="16"/>
                <w:szCs w:val="16"/>
                <w:color w:val="auto"/>
              </w:rPr>
              <w:t>Stock subscriptions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140,000</w:t>
            </w:r>
          </w:p>
        </w:tc>
        <w:tc>
          <w:tcPr>
            <w:tcW w:w="0" w:type="dxa"/>
            <w:vAlign w:val="bottom"/>
          </w:tcPr>
          <w:p>
            <w:pPr>
              <w:spacing w:after="0"/>
              <w:rPr>
                <w:sz w:val="1"/>
                <w:szCs w:val="1"/>
                <w:color w:val="auto"/>
              </w:rPr>
            </w:pPr>
          </w:p>
        </w:tc>
      </w:tr>
      <w:tr>
        <w:trPr>
          <w:trHeight w:val="202"/>
        </w:trPr>
        <w:tc>
          <w:tcPr>
            <w:tcW w:w="7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709,333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1,372,192</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16,981,442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73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Purchase of furniture and equipment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(218,626)</w:t>
            </w:r>
          </w:p>
        </w:tc>
        <w:tc>
          <w:tcPr>
            <w:tcW w:w="0" w:type="dxa"/>
            <w:vAlign w:val="bottom"/>
          </w:tcPr>
          <w:p>
            <w:pPr>
              <w:spacing w:after="0"/>
              <w:rPr>
                <w:sz w:val="1"/>
                <w:szCs w:val="1"/>
                <w:color w:val="auto"/>
              </w:rPr>
            </w:pPr>
          </w:p>
        </w:tc>
      </w:tr>
      <w:tr>
        <w:trPr>
          <w:trHeight w:val="214"/>
        </w:trPr>
        <w:tc>
          <w:tcPr>
            <w:tcW w:w="7320" w:type="dxa"/>
            <w:vAlign w:val="bottom"/>
          </w:tcPr>
          <w:p>
            <w:pPr>
              <w:spacing w:after="0"/>
              <w:rPr>
                <w:sz w:val="20"/>
                <w:szCs w:val="20"/>
                <w:color w:val="auto"/>
              </w:rPr>
            </w:pPr>
            <w:r>
              <w:rPr>
                <w:rFonts w:ascii="Arial" w:cs="Arial" w:eastAsia="Arial" w:hAnsi="Arial"/>
                <w:sz w:val="16"/>
                <w:szCs w:val="16"/>
                <w:color w:val="auto"/>
              </w:rPr>
              <w:t>Cash acquired on reverse acquisition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423,373</w:t>
            </w:r>
          </w:p>
        </w:tc>
        <w:tc>
          <w:tcPr>
            <w:tcW w:w="0" w:type="dxa"/>
            <w:vAlign w:val="bottom"/>
          </w:tcPr>
          <w:p>
            <w:pPr>
              <w:spacing w:after="0"/>
              <w:rPr>
                <w:sz w:val="1"/>
                <w:szCs w:val="1"/>
                <w:color w:val="auto"/>
              </w:rPr>
            </w:pPr>
          </w:p>
        </w:tc>
      </w:tr>
      <w:tr>
        <w:trPr>
          <w:trHeight w:val="202"/>
        </w:trPr>
        <w:tc>
          <w:tcPr>
            <w:tcW w:w="7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NET CASH PROVIDED FROM INVESTING ACTIVITIES</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204,747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7320" w:type="dxa"/>
            <w:vAlign w:val="bottom"/>
          </w:tcPr>
          <w:p>
            <w:pPr>
              <w:spacing w:after="0"/>
              <w:rPr>
                <w:sz w:val="20"/>
                <w:szCs w:val="20"/>
                <w:color w:val="auto"/>
              </w:rPr>
            </w:pPr>
            <w:r>
              <w:rPr>
                <w:rFonts w:ascii="Arial" w:cs="Arial" w:eastAsia="Arial" w:hAnsi="Arial"/>
                <w:sz w:val="16"/>
                <w:szCs w:val="16"/>
                <w:b w:val="1"/>
                <w:bCs w:val="1"/>
                <w:color w:val="auto"/>
              </w:rPr>
              <w:t>INCREASE (DECREASE) IN CASH</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14,750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(216,395)</w:t>
            </w:r>
          </w:p>
        </w:tc>
        <w:tc>
          <w:tcPr>
            <w:tcW w:w="100" w:type="dxa"/>
            <w:vAlign w:val="bottom"/>
          </w:tcPr>
          <w:p>
            <w:pPr>
              <w:spacing w:after="0"/>
              <w:rPr>
                <w:sz w:val="24"/>
                <w:szCs w:val="24"/>
                <w:color w:val="auto"/>
              </w:rPr>
            </w:pP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48,589</w:t>
            </w:r>
          </w:p>
        </w:tc>
        <w:tc>
          <w:tcPr>
            <w:tcW w:w="0" w:type="dxa"/>
            <w:vAlign w:val="bottom"/>
          </w:tcPr>
          <w:p>
            <w:pPr>
              <w:spacing w:after="0"/>
              <w:rPr>
                <w:sz w:val="1"/>
                <w:szCs w:val="1"/>
                <w:color w:val="auto"/>
              </w:rPr>
            </w:pPr>
          </w:p>
        </w:tc>
      </w:tr>
      <w:tr>
        <w:trPr>
          <w:trHeight w:val="400"/>
        </w:trPr>
        <w:tc>
          <w:tcPr>
            <w:tcW w:w="7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CASH, BEGINNING OF YEAR</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33,839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250,234</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7320" w:type="dxa"/>
            <w:vAlign w:val="bottom"/>
          </w:tcPr>
          <w:p>
            <w:pPr>
              <w:spacing w:after="0"/>
              <w:rPr>
                <w:sz w:val="20"/>
                <w:szCs w:val="20"/>
                <w:color w:val="auto"/>
              </w:rPr>
            </w:pPr>
            <w:r>
              <w:rPr>
                <w:rFonts w:ascii="Arial" w:cs="Arial" w:eastAsia="Arial" w:hAnsi="Arial"/>
                <w:sz w:val="16"/>
                <w:szCs w:val="16"/>
                <w:b w:val="1"/>
                <w:bCs w:val="1"/>
                <w:color w:val="auto"/>
              </w:rPr>
              <w:t>CASH, END OF YEAR</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48,589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33,839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
              <w:spacing w:after="0"/>
              <w:rPr>
                <w:sz w:val="20"/>
                <w:szCs w:val="20"/>
                <w:color w:val="auto"/>
              </w:rPr>
            </w:pPr>
            <w:r>
              <w:rPr>
                <w:rFonts w:ascii="Arial" w:cs="Arial" w:eastAsia="Arial" w:hAnsi="Arial"/>
                <w:sz w:val="16"/>
                <w:szCs w:val="16"/>
                <w:color w:val="auto"/>
              </w:rPr>
              <w:t>48,589</w:t>
            </w:r>
          </w:p>
        </w:tc>
        <w:tc>
          <w:tcPr>
            <w:tcW w:w="0" w:type="dxa"/>
            <w:vAlign w:val="bottom"/>
          </w:tcPr>
          <w:p>
            <w:pPr>
              <w:spacing w:after="0"/>
              <w:rPr>
                <w:sz w:val="1"/>
                <w:szCs w:val="1"/>
                <w:color w:val="auto"/>
              </w:rPr>
            </w:pP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320" w:type="dxa"/>
            <w:vAlign w:val="bottom"/>
          </w:tcPr>
          <w:p>
            <w:pPr>
              <w:spacing w:after="0"/>
              <w:rPr>
                <w:sz w:val="20"/>
                <w:szCs w:val="20"/>
                <w:color w:val="auto"/>
              </w:rPr>
            </w:pPr>
            <w:r>
              <w:rPr>
                <w:rFonts w:ascii="Arial" w:cs="Arial" w:eastAsia="Arial" w:hAnsi="Arial"/>
                <w:sz w:val="16"/>
                <w:szCs w:val="16"/>
                <w:color w:val="auto"/>
              </w:rPr>
              <w:t>Supplemental cash flow information and non-cash investing and financing activities: (Note 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i w:val="1"/>
          <w:iCs w:val="1"/>
          <w:color w:val="auto"/>
        </w:rPr>
        <w:t>TAPIMMUNE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Development Stage Company)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2013</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NOTE 1:</w:t>
        <w:tab/>
        <w:t>NATURE OF OPERATIONS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TapImmune Inc. (the “Company”), a Nevada corporation incorporated in 1992, is a clinical-stage immunotherapy specializing in the development of innovative peptide and gene-based immunotherapeutics and vaccines for the treatment of oncology and infectious disease. Unlike other vaccine technologies that narrowly address the initiation of an immune response, TapImmune's ("Prime" and "Boost") approach broadly stimulates the cellular immune system by enhancing the function of killer T-cells and T-helper cells and by restoring antigen presentation in tumor cells allowing their recognition and killing by the immune system.</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Phase I study at the Mayo Clinic is currently evaluating the safety and immune responses of a set of proprietary Her2/neu antigens that will be part of the "Prime" for a Her2/neu breast cancer vaccine.</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 second Phase 1 trial is underway at the Mayo in Ovarian and breast cancer (Folate Alpha).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 Negative Breast Cancer. Both of these diseases have few treatment options if any beyond surgery and chemotherapy and therefore the Company is hopeful that it might be an ideal candidate for orphan drug status in these indications.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Phase 2 advancement will be assessed in late 2014. TapImmune has a exclusive option to license this set of peptides after successful phase 1 trials.</w:t>
      </w:r>
    </w:p>
    <w:p>
      <w:pPr>
        <w:spacing w:after="0" w:line="23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168" w:lineRule="exact"/>
        <w:rPr>
          <w:sz w:val="20"/>
          <w:szCs w:val="20"/>
          <w:color w:val="auto"/>
        </w:rPr>
      </w:pPr>
    </w:p>
    <w:p>
      <w:pPr>
        <w:jc w:val="both"/>
        <w:ind w:firstLine="46"/>
        <w:spacing w:after="0" w:line="288" w:lineRule="auto"/>
        <w:rPr>
          <w:sz w:val="20"/>
          <w:szCs w:val="20"/>
          <w:color w:val="auto"/>
        </w:rPr>
      </w:pPr>
      <w:r>
        <w:rPr>
          <w:rFonts w:ascii="Arial" w:cs="Arial" w:eastAsia="Arial" w:hAnsi="Arial"/>
          <w:sz w:val="16"/>
          <w:szCs w:val="16"/>
          <w:color w:val="auto"/>
        </w:rPr>
        <w:t>The Company is also exploiting the emerging field of vaccinomics for the development of vaccines applicable to a broad patient population. TapImmune's immunotherapy technologies are also aimed at the prevention of emerging viral pathogens for pandemics and biodefense.</w:t>
      </w:r>
    </w:p>
    <w:p>
      <w:pPr>
        <w:spacing w:after="0" w:line="174"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These consolidated financial statements have been prepared on the basis of a going concern which contemplates the realization of assets and the satisfaction of liabilities in the normal course of business. As at December 31, 2013, the Company had a working capital deficiency of $8,768,003 and has incurred significant losses since inception in the development of its business. Further losses are anticipated in the development stage raising substantial doubt as to the Company’s ability to continue as a going concern. The ability of the Company to continue as a going concern is dependent on raising additional capital to fund clinical trials, ongoing research and development, maintenance and protection of patents, accommodation from certain debt obligations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35" w:name="page36"/>
    <w:bookmarkEnd w:id="35"/>
    <w:p>
      <w:pPr>
        <w:jc w:val="both"/>
        <w:spacing w:after="0" w:line="290" w:lineRule="auto"/>
        <w:rPr>
          <w:sz w:val="20"/>
          <w:szCs w:val="20"/>
          <w:color w:val="auto"/>
        </w:rPr>
      </w:pPr>
      <w:r>
        <w:rPr>
          <w:rFonts w:ascii="Arial" w:cs="Arial" w:eastAsia="Arial" w:hAnsi="Arial"/>
          <w:sz w:val="15"/>
          <w:szCs w:val="15"/>
          <w:color w:val="auto"/>
        </w:rPr>
        <w:t>Additional funding was raised through equity and debt placements in 2012 and 2013, and in early 2014 the Company has completed significant restructuring of outstanding debt and equity instruments into equity. Refer to Note 15, Subsequent Events.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There is no certainty that the Company will be able to arrange sufficient funding to satisfy current debt obligations or to continue development of products to marketability.</w:t>
      </w:r>
    </w:p>
    <w:p>
      <w:pPr>
        <w:spacing w:after="0" w:line="24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NOTE 2:</w:t>
        <w:tab/>
        <w:t>SUMMARY OF SIGNIFICANT ACCOUNTING POLICIES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These financial statements are presented in United States dollars and have been prepared in accordance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These financial statements include the accounts of the Company and its wholly-owned subsidiaries GeneMax Pharmaceuticals Inc. (“GPI”) and GeneMax Pharmaceuticals Canada Inc. (“GPC”). All significant intercompany balances and transactions are eliminated upon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Preparation of the Company’s financial statements in conformity with accounting principles generally accepted in the United States of America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foreign exchange gains and losses, and accrued liabilities. Matters impacting the company’s ability to continue as a going concern and contingencies also involve the use of estimates and assumptions.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The objective of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is to increase consistency and comparability in fair value measurements and to expand disclosures about fair value measurements. ASC 820 defines fair value, establishes a framework for measuring fair value in generally accepted accounting principles, and expands disclosures about fair value measurements. ASC 820 applies under other accounting pronouncements that require or permit fair value measurements and does not require any new fair value measurements.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Translation</w:t>
      </w:r>
    </w:p>
    <w:p>
      <w:pPr>
        <w:spacing w:after="0" w:line="28"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 xml:space="preserve">The functional currency of the Company, including its US subsidiary, is United States dollars. GPC maintains its accounting records in its local currency (Canadian dollar). In accordance with ASC 830, </w:t>
      </w:r>
      <w:r>
        <w:rPr>
          <w:rFonts w:ascii="Arial" w:cs="Arial" w:eastAsia="Arial" w:hAnsi="Arial"/>
          <w:sz w:val="14"/>
          <w:szCs w:val="14"/>
          <w:i w:val="1"/>
          <w:iCs w:val="1"/>
          <w:color w:val="auto"/>
        </w:rPr>
        <w:t>Foreign Currency Matters</w:t>
      </w:r>
      <w:r>
        <w:rPr>
          <w:rFonts w:ascii="Arial" w:cs="Arial" w:eastAsia="Arial" w:hAnsi="Arial"/>
          <w:sz w:val="14"/>
          <w:szCs w:val="14"/>
          <w:color w:val="auto"/>
        </w:rPr>
        <w:t>, the financial statements of the Company's subsidiary is translated into United States dollars using period end exchange rates for monetary assets and liabilities and average exchange rates over the period for revenues and expenses. Non-monetary assets are translated at their historical exchange rates. Exchange gains or losses from such translations are included in accumulated comprehensive income (loss), as a separate component of stockholders' equity.</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gains and losses resulting from foreign currency exchange gains and losses on transactions occurring in a currency other than the Company's functional currency are included in the determination of net income in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and Concentration of Credit Risk</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classified as financial instruments.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Impairment of Long-Lived Assets</w:t>
      </w:r>
    </w:p>
    <w:p>
      <w:pPr>
        <w:spacing w:after="0" w:line="239"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Long-lived assets are reviewed for impairment whenever events or changes in circumstances indicate the carrying amount of an asset may not be recoverable. Circumstances which could trigger a review include, but are not limited to: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 forecast of continuing losses associated with the use of the asset; and current expectation that the asset will more likely than not be sold or disposed significantly before the end of its estimated useful life. Recoverability of these assets is measured by comparison of carrying amounts to future undiscounted cash flows the assets are expected to generate. An impairment loss is recognized when the carrying amount exceeds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Company uses the Black-Scholes option-pricing model to determine the grant date fair-value of stock-based awards under ASC 718,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The fair value is recorded in income depending on the terms and conditions of the award, and the nature of the relationship of the recipient of the award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The Company records the grant date fair value in income in line with the period over which it was earned. For employees and management this is typically considered to be the vesting period of the award. For consultants the fair value of the award is recorded in income over the term of the service period, and unvested amounts are revalued at each reporting period over the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Financing Costs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Company follows the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enactment. The Company recognizes deferred taxes on unrealized gains directly within other comprehensive income, and concurrently releases part of the related valuation allowance resulting in nil impact within OCI or on the balance sheet. As at December 31, 2013, the Company had net operating loss carry forwards; however, due to the uncertainty of realization, the Company has provided a full valuation allowance for the potential deferred tax assets resulting from these loss carry forwards.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Warrant Liability</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Company evaluates its convertible debt, options, warrants or other contracts to determine if those contracts or embedded components of those contracts qualify as derivatives to be separately accounted for in accordance with ASC 810-10-05-4 and 815-40.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9"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37" w:name="page38"/>
    <w:bookmarkEnd w:id="37"/>
    <w:p>
      <w:pPr>
        <w:ind w:right="320"/>
        <w:spacing w:after="0" w:line="267" w:lineRule="auto"/>
        <w:rPr>
          <w:sz w:val="20"/>
          <w:szCs w:val="20"/>
          <w:color w:val="auto"/>
        </w:rPr>
      </w:pPr>
      <w:r>
        <w:rPr>
          <w:rFonts w:ascii="Arial" w:cs="Arial" w:eastAsia="Arial" w:hAnsi="Arial"/>
          <w:sz w:val="16"/>
          <w:szCs w:val="16"/>
          <w:color w:val="auto"/>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evaluating the application of ASC 815-40, management must determine whether an instrument (or an embedded feature) is indexed to the Company’s own stock. ASC 815-40-15 provides that an entity should use a two-step approach to evaluate whether an equity-linked financial instrument (or embedded feature) is indexed to its own stock, including evaluating the instrument’s contingent exercise and settlement provisions. The application of ASC 815-40-15 has affected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Company follows ASC paragraph 825-10-50-10 for disclosures about fair value of its financial instruments and ASC paragraph 820-10-35-37 to measure the fair value of its financial instruments. 820-10-35-37 establishes a framework for measuring fair value pursuant to GAAP and expands disclosures about fair value measurements. To increase consistency and comparability in fair value measurements and related disclosures, paragraph 820-10-35-37 further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are described below:</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Level 1</w:t>
      </w:r>
      <w:r>
        <w:rPr>
          <w:sz w:val="20"/>
          <w:szCs w:val="20"/>
          <w:color w:val="auto"/>
        </w:rPr>
        <w:tab/>
      </w:r>
      <w:r>
        <w:rPr>
          <w:rFonts w:ascii="Arial" w:cs="Arial" w:eastAsia="Arial" w:hAnsi="Arial"/>
          <w:sz w:val="14"/>
          <w:szCs w:val="14"/>
          <w:color w:val="auto"/>
        </w:rPr>
        <w:t>Quoted market prices available in active markets for identical assets or liabilities as of the reporting date.</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Level 2</w:t>
      </w:r>
      <w:r>
        <w:rPr>
          <w:sz w:val="20"/>
          <w:szCs w:val="20"/>
          <w:color w:val="auto"/>
        </w:rPr>
        <w:tab/>
      </w:r>
      <w:r>
        <w:rPr>
          <w:rFonts w:ascii="Arial" w:cs="Arial" w:eastAsia="Arial" w:hAnsi="Arial"/>
          <w:sz w:val="15"/>
          <w:szCs w:val="15"/>
          <w:color w:val="auto"/>
        </w:rPr>
        <w:t>Pricing inputs other than quoted prices in active markets included in Level 1, which are either directly or indirectly observable as of the reporting date.</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Level 3</w:t>
      </w:r>
      <w:r>
        <w:rPr>
          <w:sz w:val="20"/>
          <w:szCs w:val="20"/>
          <w:color w:val="auto"/>
        </w:rPr>
        <w:tab/>
      </w:r>
      <w:r>
        <w:rPr>
          <w:rFonts w:ascii="Arial" w:cs="Arial" w:eastAsia="Arial" w:hAnsi="Arial"/>
          <w:sz w:val="14"/>
          <w:szCs w:val="14"/>
          <w:color w:val="auto"/>
        </w:rPr>
        <w:t>Pricing inputs that are generally observable inputs and not corroborated by market data.</w:t>
      </w:r>
    </w:p>
    <w:p>
      <w:pPr>
        <w:spacing w:after="0" w:line="21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carrying amounts of the Company’s financial assets and liabilities, such as cash, due from government agency, accounts payable and accrued liabilities, research agreement obligations, and due to related parties, approximate their fair values because of their short term maturity. The Company’s convertible notes payable approximate fair value based upon management’s estimate of comparable interest rates that would be available to the Company for similar financial arrangements.</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revalues its derivative warrant and derivative conversion option liabilities at each reporting period and recognizes gains or losses in the consolidated statements of operations that are attributable to the change in the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per Common Share</w:t>
      </w:r>
    </w:p>
    <w:p>
      <w:pPr>
        <w:spacing w:after="0" w:line="23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239"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On April 1, 2012, the Company adopted new guidance related to the presentation of comprehensive income. The main provisions of the new guidance provide that an entity that reports items of other comprehensive income has the option to present comprehensive income as (i) a single statement that presents the components of net income and total net income, the components of other comprehensive income and total other comprehensive income and a total for comprehensive income or (ii) in two separate but consecutive statements, whereby an entity must present the components of net income and total net income in the first statement and that statement is immediately followed by a financial statement that presents the components of other comprehensive income, a total for other comprehensive income and a total for comprehensive income. The new rules eliminate the option to present the components of other comprehensive income as part of the statement of stockholders' equity. These new rules have been applied retrospectively and became effective for fiscal years, and interim periods within those fiscal years, beginning on or after December 15, 2011 (January 1, 2012 for the Company), with early adoption permitted. The adoption of this new guidance did not have a material impact on our Consolidated Financial Statements.</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reviewed recently issued accounting pronouncements and plans to adopt those that are applicable to it. It does not expect the adoption of these pronouncements to have a material impact on its financial position, results of operations or cash flows.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38" w:name="page39"/>
    <w:bookmarkEnd w:id="38"/>
    <w:p>
      <w:pPr>
        <w:spacing w:after="0"/>
        <w:tabs>
          <w:tab w:leader="none" w:pos="820" w:val="left"/>
        </w:tabs>
        <w:rPr>
          <w:sz w:val="20"/>
          <w:szCs w:val="20"/>
          <w:color w:val="auto"/>
        </w:rPr>
      </w:pPr>
      <w:r>
        <w:rPr>
          <w:rFonts w:ascii="Arial" w:cs="Arial" w:eastAsia="Arial" w:hAnsi="Arial"/>
          <w:sz w:val="16"/>
          <w:szCs w:val="16"/>
          <w:b w:val="1"/>
          <w:bCs w:val="1"/>
          <w:color w:val="auto"/>
        </w:rPr>
        <w:t>NOTE 3:</w:t>
        <w:tab/>
        <w:t>RESEARCH AGREEMENTS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Crucell Holland B.V. (“Crucell”) – Research License and Option Agreement</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Effective August 7, 2003, Crucell and the Company’s subsidiary GPI entered into a five-year research license and option agreement. In addition, retroactively effective August 7, 2008, the Company negotiated an amended license agreement for the use of Crucell’s adenovirus technology. The Company was required to make annual license payments on the anniversary of the effective date for the three year term equal to €75,000 per annum for three years through December 2011. As at December 31, 2013, the Company accrued $492,365 (€378,384) under the amended agreement, inclusive of interest on outstanding amounts.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not made use of the Crucell technology in its current work and has not asked for nor received any work product. Management hopes to settle the outstanding amounts with Crucell in 2014 and formally terminate the research license.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Mayo Clinic –License Option Agreement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For details regarding the license option agreement with Mayo Clinic, please refer to Note 12.</w:t>
      </w: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NOTE 4:</w:t>
        <w:tab/>
        <w:t>DERIVATIVE WARRANT LIABILITY AND FAIR VALUE</w:t>
      </w:r>
    </w:p>
    <w:p>
      <w:pPr>
        <w:spacing w:after="0" w:line="239"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 xml:space="preserve">The Company has evaluated the application ASC 480-10 </w:t>
      </w:r>
      <w:r>
        <w:rPr>
          <w:rFonts w:ascii="Arial" w:cs="Arial" w:eastAsia="Arial" w:hAnsi="Arial"/>
          <w:sz w:val="15"/>
          <w:szCs w:val="15"/>
          <w:i w:val="1"/>
          <w:iCs w:val="1"/>
          <w:color w:val="auto"/>
        </w:rPr>
        <w:t>Distinguishing liabilities from equity</w:t>
      </w:r>
      <w:r>
        <w:rPr>
          <w:rFonts w:ascii="Arial" w:cs="Arial" w:eastAsia="Arial" w:hAnsi="Arial"/>
          <w:sz w:val="15"/>
          <w:szCs w:val="15"/>
          <w:color w:val="auto"/>
        </w:rPr>
        <w:t xml:space="preserve">, ASC 815-40 </w:t>
      </w:r>
      <w:r>
        <w:rPr>
          <w:rFonts w:ascii="Arial" w:cs="Arial" w:eastAsia="Arial" w:hAnsi="Arial"/>
          <w:sz w:val="15"/>
          <w:szCs w:val="15"/>
          <w:i w:val="1"/>
          <w:iCs w:val="1"/>
          <w:color w:val="auto"/>
        </w:rPr>
        <w:t>Contracts in an Entity’s Own Equity</w:t>
      </w:r>
      <w:r>
        <w:rPr>
          <w:rFonts w:ascii="Arial" w:cs="Arial" w:eastAsia="Arial" w:hAnsi="Arial"/>
          <w:sz w:val="15"/>
          <w:szCs w:val="15"/>
          <w:color w:val="auto"/>
        </w:rPr>
        <w:t xml:space="preserve"> and ASC 718-10 </w:t>
      </w:r>
      <w:r>
        <w:rPr>
          <w:rFonts w:ascii="Arial" w:cs="Arial" w:eastAsia="Arial" w:hAnsi="Arial"/>
          <w:sz w:val="15"/>
          <w:szCs w:val="15"/>
          <w:i w:val="1"/>
          <w:iCs w:val="1"/>
          <w:color w:val="auto"/>
        </w:rPr>
        <w:t xml:space="preserve">Compensation – Stock Compensation </w:t>
      </w:r>
      <w:r>
        <w:rPr>
          <w:rFonts w:ascii="Arial" w:cs="Arial" w:eastAsia="Arial" w:hAnsi="Arial"/>
          <w:sz w:val="15"/>
          <w:szCs w:val="15"/>
          <w:color w:val="auto"/>
        </w:rPr>
        <w:t>to the issued and outstanding warrants to purchase common stock that were issued with the convertible notes, private placements,</w:t>
      </w:r>
      <w:r>
        <w:rPr>
          <w:rFonts w:ascii="Arial" w:cs="Arial" w:eastAsia="Arial" w:hAnsi="Arial"/>
          <w:sz w:val="15"/>
          <w:szCs w:val="15"/>
          <w:i w:val="1"/>
          <w:iCs w:val="1"/>
          <w:color w:val="auto"/>
        </w:rPr>
        <w:t xml:space="preserve"> </w:t>
      </w:r>
      <w:r>
        <w:rPr>
          <w:rFonts w:ascii="Arial" w:cs="Arial" w:eastAsia="Arial" w:hAnsi="Arial"/>
          <w:sz w:val="15"/>
          <w:szCs w:val="15"/>
          <w:color w:val="auto"/>
        </w:rPr>
        <w:t>consulting agreements, and various debt settlements during 2009 through 2012.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and minimize the use of unobservable inputs when measuring fair value. ASC 820-10 describes three levels of inputs that may be used to measure fair value: Level 1 – Quoted prices in active markets for identical assets or liabilities; Level 2 – Observable inputs other than Level 1 prices, such as quoted prices for similar assets or liabilities; or other inputs that are observable or can be corroborated by observable market data for substantially the full term of the assets or liabilities; and Level 3 –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The Company’s Level 3 liabilities consist of the derivative liabilities associated with the warrants and conversion options issued with the convertible notes during the year ended December 31, 2013. At December 31, 2013, all of the Company’s derivative liabilities were categorized as Level 3 fair value liabilities. If the inputs used to measure the financial assets and liabilities fall within more than one level described above, the categorization is based on the lowest level input that is significant to the fair value measurement of the instrument.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Level 3 Valuation Techniques</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Financial liabilities are considered Level 3 when their fair values are determined using pricing models, discounted cash flow methodologies or similar techniques and at least one significant model assumption or input is unobservable. Level 3 financial liabilities consist of the notes and warrants for which there is no current market for these securities such that the determination of fair value requires significant judgment or estimation.</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Determining fair value of share purchase warrants and conversion options, given the Company’s stage of development and financial position, is highly subjective and identifying appropriate measurement criteria and models is subject to uncertainty. There are several generally accepted pricing models for warrants and options and derivative provisions. The Company has chosen to value the warrants and conversion option on the notes that contain ratchet down provisions using the Binomial model under the following assumptions: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4"/>
        </w:trPr>
        <w:tc>
          <w:tcPr>
            <w:tcW w:w="2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ind w:left="340"/>
              <w:spacing w:after="0"/>
              <w:rPr>
                <w:sz w:val="20"/>
                <w:szCs w:val="20"/>
                <w:color w:val="auto"/>
              </w:rPr>
            </w:pPr>
            <w:r>
              <w:rPr>
                <w:rFonts w:ascii="Arial" w:cs="Arial" w:eastAsia="Arial" w:hAnsi="Arial"/>
                <w:sz w:val="16"/>
                <w:szCs w:val="16"/>
                <w:color w:val="auto"/>
              </w:rPr>
              <w:t>December 31, 2012</w:t>
            </w: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6"/>
                <w:szCs w:val="16"/>
                <w:color w:val="auto"/>
              </w:rPr>
              <w:t>December 31, 2013</w:t>
            </w: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Expected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Risk free</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6"/>
                <w:szCs w:val="16"/>
                <w:color w:val="auto"/>
                <w:w w:val="96"/>
              </w:rPr>
              <w:t>Dividend</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Expected</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Risk free</w:t>
            </w:r>
          </w:p>
        </w:tc>
        <w:tc>
          <w:tcPr>
            <w:tcW w:w="22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Dividend</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Life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Rate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6"/>
                <w:szCs w:val="16"/>
                <w:color w:val="auto"/>
                <w:w w:val="97"/>
              </w:rPr>
              <w:t>yield</w:t>
            </w:r>
          </w:p>
        </w:tc>
        <w:tc>
          <w:tcPr>
            <w:tcW w:w="4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6"/>
                <w:szCs w:val="16"/>
                <w:color w:val="auto"/>
              </w:rPr>
              <w:t>Volatility</w:t>
            </w: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Life (Years)</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Rate</w:t>
            </w:r>
          </w:p>
        </w:tc>
        <w:tc>
          <w:tcPr>
            <w:tcW w:w="2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yield</w:t>
            </w: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Volatility</w:t>
            </w:r>
          </w:p>
        </w:tc>
        <w:tc>
          <w:tcPr>
            <w:tcW w:w="0" w:type="dxa"/>
            <w:vAlign w:val="bottom"/>
          </w:tcPr>
          <w:p>
            <w:pPr>
              <w:spacing w:after="0"/>
              <w:rPr>
                <w:sz w:val="1"/>
                <w:szCs w:val="1"/>
                <w:color w:val="auto"/>
              </w:rPr>
            </w:pPr>
          </w:p>
        </w:tc>
      </w:tr>
      <w:tr>
        <w:trPr>
          <w:trHeight w:val="20"/>
        </w:trPr>
        <w:tc>
          <w:tcPr>
            <w:tcW w:w="2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94"/>
              </w:rPr>
              <w:t>0.02% to</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jc w:val="center"/>
              <w:spacing w:after="0" w:line="175" w:lineRule="exact"/>
              <w:rPr>
                <w:sz w:val="20"/>
                <w:szCs w:val="20"/>
                <w:color w:val="auto"/>
              </w:rPr>
            </w:pPr>
            <w:r>
              <w:rPr>
                <w:rFonts w:ascii="Arial" w:cs="Arial" w:eastAsia="Arial" w:hAnsi="Arial"/>
                <w:sz w:val="16"/>
                <w:szCs w:val="16"/>
                <w:color w:val="auto"/>
                <w:w w:val="91"/>
              </w:rPr>
              <w:t>0.13% to</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Arial" w:cs="Arial" w:eastAsia="Arial" w:hAnsi="Arial"/>
                <w:sz w:val="16"/>
                <w:szCs w:val="16"/>
                <w:color w:val="auto"/>
              </w:rPr>
              <w:t>Share purchase warrants</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0.08 to 3.21</w:t>
            </w:r>
          </w:p>
        </w:tc>
        <w:tc>
          <w:tcPr>
            <w:tcW w:w="220" w:type="dxa"/>
            <w:vAlign w:val="bottom"/>
            <w:gridSpan w:val="2"/>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92"/>
              </w:rPr>
              <w:t>0.36%</w:t>
            </w:r>
          </w:p>
        </w:tc>
        <w:tc>
          <w:tcPr>
            <w:tcW w:w="220" w:type="dxa"/>
            <w:vAlign w:val="bottom"/>
            <w:gridSpan w:val="2"/>
          </w:tcPr>
          <w:p>
            <w:pPr>
              <w:spacing w:after="0"/>
              <w:rPr>
                <w:sz w:val="18"/>
                <w:szCs w:val="18"/>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6"/>
                <w:szCs w:val="16"/>
                <w:color w:val="auto"/>
              </w:rPr>
              <w:t>0.00%</w:t>
            </w:r>
          </w:p>
        </w:tc>
        <w:tc>
          <w:tcPr>
            <w:tcW w:w="1160" w:type="dxa"/>
            <w:vAlign w:val="bottom"/>
            <w:gridSpan w:val="4"/>
          </w:tcPr>
          <w:p>
            <w:pPr>
              <w:jc w:val="right"/>
              <w:ind w:right="120"/>
              <w:spacing w:after="0"/>
              <w:rPr>
                <w:sz w:val="20"/>
                <w:szCs w:val="20"/>
                <w:color w:val="auto"/>
              </w:rPr>
            </w:pPr>
            <w:r>
              <w:rPr>
                <w:rFonts w:ascii="Arial" w:cs="Arial" w:eastAsia="Arial" w:hAnsi="Arial"/>
                <w:sz w:val="16"/>
                <w:szCs w:val="16"/>
                <w:color w:val="auto"/>
              </w:rPr>
              <w:t>199%</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0.85 to 2.78</w:t>
            </w:r>
          </w:p>
        </w:tc>
        <w:tc>
          <w:tcPr>
            <w:tcW w:w="1120" w:type="dxa"/>
            <w:vAlign w:val="bottom"/>
            <w:gridSpan w:val="2"/>
          </w:tcPr>
          <w:p>
            <w:pPr>
              <w:jc w:val="center"/>
              <w:ind w:left="138"/>
              <w:spacing w:after="0"/>
              <w:rPr>
                <w:sz w:val="20"/>
                <w:szCs w:val="20"/>
                <w:color w:val="auto"/>
              </w:rPr>
            </w:pPr>
            <w:r>
              <w:rPr>
                <w:rFonts w:ascii="Arial" w:cs="Arial" w:eastAsia="Arial" w:hAnsi="Arial"/>
                <w:sz w:val="16"/>
                <w:szCs w:val="16"/>
                <w:color w:val="auto"/>
                <w:w w:val="92"/>
              </w:rPr>
              <w:t>0.78%</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
        </w:trPr>
        <w:tc>
          <w:tcPr>
            <w:tcW w:w="2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ind w:left="360"/>
              <w:spacing w:after="0"/>
              <w:rPr>
                <w:sz w:val="20"/>
                <w:szCs w:val="20"/>
                <w:color w:val="auto"/>
              </w:rPr>
            </w:pPr>
            <w:r>
              <w:rPr>
                <w:rFonts w:ascii="Arial" w:cs="Arial" w:eastAsia="Arial" w:hAnsi="Arial"/>
                <w:sz w:val="16"/>
                <w:szCs w:val="16"/>
                <w:color w:val="auto"/>
              </w:rPr>
              <w:t>December 31, 2012</w:t>
            </w: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6"/>
                <w:szCs w:val="16"/>
                <w:color w:val="auto"/>
              </w:rPr>
              <w:t>December 31, 2013</w:t>
            </w: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6"/>
                <w:szCs w:val="16"/>
                <w:color w:val="auto"/>
              </w:rPr>
              <w:t>1</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Expected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Risk free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color w:val="auto"/>
                <w:w w:val="99"/>
              </w:rPr>
              <w:t>Dividend</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Expected</w:t>
            </w:r>
          </w:p>
        </w:tc>
        <w:tc>
          <w:tcPr>
            <w:tcW w:w="2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Risk free</w:t>
            </w:r>
          </w:p>
        </w:tc>
        <w:tc>
          <w:tcPr>
            <w:tcW w:w="2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Dividend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Life (Years)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Rate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color w:val="auto"/>
              </w:rPr>
              <w:t>yield</w:t>
            </w:r>
          </w:p>
        </w:tc>
        <w:tc>
          <w:tcPr>
            <w:tcW w:w="4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color w:val="auto"/>
              </w:rPr>
              <w:t>Volatility</w:t>
            </w: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Life (Years)</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8"/>
              </w:rPr>
              <w:t>Rate</w:t>
            </w:r>
          </w:p>
        </w:tc>
        <w:tc>
          <w:tcPr>
            <w:tcW w:w="2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yield</w:t>
            </w: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Volatility</w:t>
            </w:r>
          </w:p>
        </w:tc>
        <w:tc>
          <w:tcPr>
            <w:tcW w:w="0" w:type="dxa"/>
            <w:vAlign w:val="bottom"/>
          </w:tcPr>
          <w:p>
            <w:pPr>
              <w:spacing w:after="0"/>
              <w:rPr>
                <w:sz w:val="1"/>
                <w:szCs w:val="1"/>
                <w:color w:val="auto"/>
              </w:rPr>
            </w:pPr>
          </w:p>
        </w:tc>
      </w:tr>
      <w:tr>
        <w:trPr>
          <w:trHeight w:val="20"/>
        </w:trPr>
        <w:tc>
          <w:tcPr>
            <w:tcW w:w="2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860" w:type="dxa"/>
            <w:vAlign w:val="bottom"/>
          </w:tcPr>
          <w:p>
            <w:pPr>
              <w:jc w:val="center"/>
              <w:spacing w:after="0" w:line="175" w:lineRule="exact"/>
              <w:rPr>
                <w:sz w:val="20"/>
                <w:szCs w:val="20"/>
                <w:color w:val="auto"/>
              </w:rPr>
            </w:pPr>
            <w:r>
              <w:rPr>
                <w:rFonts w:ascii="Arial" w:cs="Arial" w:eastAsia="Arial" w:hAnsi="Arial"/>
                <w:sz w:val="16"/>
                <w:szCs w:val="16"/>
                <w:color w:val="auto"/>
                <w:w w:val="91"/>
              </w:rPr>
              <w:t>0.05% to</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900" w:type="dxa"/>
            <w:vAlign w:val="bottom"/>
            <w:gridSpan w:val="2"/>
          </w:tcPr>
          <w:p>
            <w:pPr>
              <w:jc w:val="center"/>
              <w:spacing w:after="0" w:line="175" w:lineRule="exact"/>
              <w:rPr>
                <w:sz w:val="20"/>
                <w:szCs w:val="20"/>
                <w:color w:val="auto"/>
              </w:rPr>
            </w:pPr>
            <w:r>
              <w:rPr>
                <w:rFonts w:ascii="Arial" w:cs="Arial" w:eastAsia="Arial" w:hAnsi="Arial"/>
                <w:sz w:val="16"/>
                <w:szCs w:val="16"/>
                <w:color w:val="auto"/>
                <w:w w:val="91"/>
              </w:rPr>
              <w:t>100.88% to</w:t>
            </w: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line="175" w:lineRule="exact"/>
              <w:rPr>
                <w:sz w:val="20"/>
                <w:szCs w:val="20"/>
                <w:color w:val="auto"/>
              </w:rPr>
            </w:pPr>
            <w:r>
              <w:rPr>
                <w:rFonts w:ascii="Arial" w:cs="Arial" w:eastAsia="Arial" w:hAnsi="Arial"/>
                <w:sz w:val="16"/>
                <w:szCs w:val="16"/>
                <w:color w:val="auto"/>
                <w:w w:val="91"/>
              </w:rPr>
              <w:t>0.04% to</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Arial" w:cs="Arial" w:eastAsia="Arial" w:hAnsi="Arial"/>
                <w:sz w:val="16"/>
                <w:szCs w:val="16"/>
                <w:color w:val="auto"/>
              </w:rPr>
              <w:t>Conversion option</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0.003 to 0.89</w:t>
            </w:r>
          </w:p>
        </w:tc>
        <w:tc>
          <w:tcPr>
            <w:tcW w:w="1120" w:type="dxa"/>
            <w:vAlign w:val="bottom"/>
            <w:gridSpan w:val="4"/>
          </w:tcPr>
          <w:p>
            <w:pPr>
              <w:jc w:val="center"/>
              <w:ind w:left="218"/>
              <w:spacing w:after="0"/>
              <w:rPr>
                <w:sz w:val="20"/>
                <w:szCs w:val="20"/>
                <w:color w:val="auto"/>
              </w:rPr>
            </w:pPr>
            <w:r>
              <w:rPr>
                <w:rFonts w:ascii="Arial" w:cs="Arial" w:eastAsia="Arial" w:hAnsi="Arial"/>
                <w:sz w:val="16"/>
                <w:szCs w:val="16"/>
                <w:color w:val="auto"/>
                <w:w w:val="92"/>
              </w:rPr>
              <w:t>0.19%</w:t>
            </w:r>
          </w:p>
        </w:tc>
        <w:tc>
          <w:tcPr>
            <w:tcW w:w="1380" w:type="dxa"/>
            <w:vAlign w:val="bottom"/>
            <w:gridSpan w:val="6"/>
          </w:tcPr>
          <w:p>
            <w:pPr>
              <w:jc w:val="right"/>
              <w:ind w:right="80"/>
              <w:spacing w:after="0"/>
              <w:rPr>
                <w:sz w:val="20"/>
                <w:szCs w:val="20"/>
                <w:color w:val="auto"/>
              </w:rPr>
            </w:pPr>
            <w:r>
              <w:rPr>
                <w:rFonts w:ascii="Arial" w:cs="Arial" w:eastAsia="Arial" w:hAnsi="Arial"/>
                <w:sz w:val="16"/>
                <w:szCs w:val="16"/>
                <w:color w:val="auto"/>
              </w:rPr>
              <w:t>0.00%</w:t>
            </w: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91"/>
              </w:rPr>
              <w:t>141.21%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0.16 to 0.53</w:t>
            </w:r>
          </w:p>
        </w:tc>
        <w:tc>
          <w:tcPr>
            <w:tcW w:w="1120" w:type="dxa"/>
            <w:vAlign w:val="bottom"/>
            <w:gridSpan w:val="2"/>
          </w:tcPr>
          <w:p>
            <w:pPr>
              <w:jc w:val="center"/>
              <w:ind w:left="138"/>
              <w:spacing w:after="0"/>
              <w:rPr>
                <w:sz w:val="20"/>
                <w:szCs w:val="20"/>
                <w:color w:val="auto"/>
              </w:rPr>
            </w:pPr>
            <w:r>
              <w:rPr>
                <w:rFonts w:ascii="Arial" w:cs="Arial" w:eastAsia="Arial" w:hAnsi="Arial"/>
                <w:sz w:val="16"/>
                <w:szCs w:val="16"/>
                <w:color w:val="auto"/>
                <w:w w:val="92"/>
              </w:rPr>
              <w:t>0.10%</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
        </w:trPr>
        <w:tc>
          <w:tcPr>
            <w:tcW w:w="2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Assets and Liabilities Measured at Fair Value on a Recurring Basis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Financial assets and liabilities measured at fair value on a recurring basis are summarized below and disclosed on the balance sheet under Derivative liability – warrants and</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Derivative liability – conversion option:</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60" w:type="dxa"/>
            <w:vAlign w:val="bottom"/>
            <w:tcBorders>
              <w:top w:val="single" w:sz="8" w:color="auto"/>
            </w:tcBorders>
          </w:tcPr>
          <w:p>
            <w:pPr>
              <w:spacing w:after="0"/>
              <w:rPr>
                <w:sz w:val="19"/>
                <w:szCs w:val="19"/>
                <w:color w:val="auto"/>
              </w:rPr>
            </w:pPr>
          </w:p>
        </w:tc>
        <w:tc>
          <w:tcPr>
            <w:tcW w:w="2020" w:type="dxa"/>
            <w:vAlign w:val="bottom"/>
            <w:tcBorders>
              <w:top w:val="single" w:sz="8" w:color="auto"/>
              <w:bottom w:val="single" w:sz="8" w:color="auto"/>
            </w:tcBorders>
            <w:gridSpan w:val="2"/>
          </w:tcPr>
          <w:p>
            <w:pPr>
              <w:jc w:val="right"/>
              <w:ind w:right="218"/>
              <w:spacing w:after="0"/>
              <w:rPr>
                <w:sz w:val="20"/>
                <w:szCs w:val="20"/>
                <w:color w:val="auto"/>
              </w:rPr>
            </w:pPr>
            <w:r>
              <w:rPr>
                <w:rFonts w:ascii="Arial" w:cs="Arial" w:eastAsia="Arial" w:hAnsi="Arial"/>
                <w:sz w:val="16"/>
                <w:szCs w:val="16"/>
                <w:b w:val="1"/>
                <w:bCs w:val="1"/>
                <w:color w:val="auto"/>
                <w:w w:val="90"/>
              </w:rPr>
              <w:t>As of December 31, 2013</w:t>
            </w:r>
          </w:p>
        </w:tc>
        <w:tc>
          <w:tcPr>
            <w:tcW w:w="13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r>
      <w:tr>
        <w:trPr>
          <w:trHeight w:val="202"/>
        </w:trPr>
        <w:tc>
          <w:tcPr>
            <w:tcW w:w="3960" w:type="dxa"/>
            <w:vAlign w:val="bottom"/>
            <w:tcBorders>
              <w:bottom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2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auto"/>
              </w:rPr>
              <w:t>Fair Value Measurements</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85"/>
        </w:trPr>
        <w:tc>
          <w:tcPr>
            <w:tcW w:w="3960" w:type="dxa"/>
            <w:vAlign w:val="bottom"/>
          </w:tcPr>
          <w:p>
            <w:pPr>
              <w:spacing w:after="0"/>
              <w:rPr>
                <w:sz w:val="16"/>
                <w:szCs w:val="16"/>
                <w:color w:val="auto"/>
              </w:rPr>
            </w:pPr>
          </w:p>
        </w:tc>
        <w:tc>
          <w:tcPr>
            <w:tcW w:w="2020" w:type="dxa"/>
            <w:vAlign w:val="bottom"/>
            <w:gridSpan w:val="2"/>
          </w:tcPr>
          <w:p>
            <w:pPr>
              <w:jc w:val="right"/>
              <w:ind w:right="658"/>
              <w:spacing w:after="0"/>
              <w:rPr>
                <w:sz w:val="20"/>
                <w:szCs w:val="20"/>
                <w:color w:val="auto"/>
              </w:rPr>
            </w:pPr>
            <w:r>
              <w:rPr>
                <w:rFonts w:ascii="Arial" w:cs="Arial" w:eastAsia="Arial" w:hAnsi="Arial"/>
                <w:sz w:val="16"/>
                <w:szCs w:val="16"/>
                <w:b w:val="1"/>
                <w:bCs w:val="1"/>
                <w:color w:val="auto"/>
              </w:rPr>
              <w:t>Carrying Value</w:t>
            </w:r>
          </w:p>
        </w:tc>
        <w:tc>
          <w:tcPr>
            <w:tcW w:w="1360" w:type="dxa"/>
            <w:vAlign w:val="bottom"/>
          </w:tcPr>
          <w:p>
            <w:pPr>
              <w:jc w:val="right"/>
              <w:ind w:right="478"/>
              <w:spacing w:after="0"/>
              <w:rPr>
                <w:sz w:val="20"/>
                <w:szCs w:val="20"/>
                <w:color w:val="auto"/>
              </w:rPr>
            </w:pPr>
            <w:r>
              <w:rPr>
                <w:rFonts w:ascii="Arial" w:cs="Arial" w:eastAsia="Arial" w:hAnsi="Arial"/>
                <w:sz w:val="16"/>
                <w:szCs w:val="16"/>
                <w:b w:val="1"/>
                <w:bCs w:val="1"/>
                <w:color w:val="auto"/>
              </w:rPr>
              <w:t>Level 1</w:t>
            </w:r>
          </w:p>
        </w:tc>
        <w:tc>
          <w:tcPr>
            <w:tcW w:w="1560" w:type="dxa"/>
            <w:vAlign w:val="bottom"/>
          </w:tcPr>
          <w:p>
            <w:pPr>
              <w:jc w:val="right"/>
              <w:ind w:right="418"/>
              <w:spacing w:after="0"/>
              <w:rPr>
                <w:sz w:val="20"/>
                <w:szCs w:val="20"/>
                <w:color w:val="auto"/>
              </w:rPr>
            </w:pPr>
            <w:r>
              <w:rPr>
                <w:rFonts w:ascii="Arial" w:cs="Arial" w:eastAsia="Arial" w:hAnsi="Arial"/>
                <w:sz w:val="16"/>
                <w:szCs w:val="16"/>
                <w:b w:val="1"/>
                <w:bCs w:val="1"/>
                <w:color w:val="auto"/>
              </w:rPr>
              <w:t>Level 2</w:t>
            </w:r>
          </w:p>
        </w:tc>
        <w:tc>
          <w:tcPr>
            <w:tcW w:w="440" w:type="dxa"/>
            <w:vAlign w:val="bottom"/>
          </w:tcPr>
          <w:p>
            <w:pPr>
              <w:spacing w:after="0"/>
              <w:rPr>
                <w:sz w:val="16"/>
                <w:szCs w:val="16"/>
                <w:color w:val="auto"/>
              </w:rPr>
            </w:pPr>
          </w:p>
        </w:tc>
        <w:tc>
          <w:tcPr>
            <w:tcW w:w="980" w:type="dxa"/>
            <w:vAlign w:val="bottom"/>
          </w:tcPr>
          <w:p>
            <w:pPr>
              <w:jc w:val="right"/>
              <w:ind w:right="318"/>
              <w:spacing w:after="0"/>
              <w:rPr>
                <w:sz w:val="20"/>
                <w:szCs w:val="20"/>
                <w:color w:val="auto"/>
              </w:rPr>
            </w:pPr>
            <w:r>
              <w:rPr>
                <w:rFonts w:ascii="Arial" w:cs="Arial" w:eastAsia="Arial" w:hAnsi="Arial"/>
                <w:sz w:val="16"/>
                <w:szCs w:val="16"/>
                <w:b w:val="1"/>
                <w:bCs w:val="1"/>
                <w:color w:val="auto"/>
              </w:rPr>
              <w:t>Level 3</w:t>
            </w:r>
          </w:p>
        </w:tc>
        <w:tc>
          <w:tcPr>
            <w:tcW w:w="5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197"/>
        </w:trPr>
        <w:tc>
          <w:tcPr>
            <w:tcW w:w="3960" w:type="dxa"/>
            <w:vAlign w:val="bottom"/>
          </w:tcPr>
          <w:p>
            <w:pPr>
              <w:spacing w:after="0"/>
              <w:rPr>
                <w:sz w:val="20"/>
                <w:szCs w:val="20"/>
                <w:color w:val="auto"/>
              </w:rPr>
            </w:pPr>
            <w:r>
              <w:rPr>
                <w:rFonts w:ascii="Arial" w:cs="Arial" w:eastAsia="Arial" w:hAnsi="Arial"/>
                <w:sz w:val="16"/>
                <w:szCs w:val="16"/>
                <w:color w:val="auto"/>
              </w:rPr>
              <w:t>Derivative liability - warrants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58"/>
              <w:spacing w:after="0"/>
              <w:rPr>
                <w:sz w:val="20"/>
                <w:szCs w:val="20"/>
                <w:color w:val="auto"/>
              </w:rPr>
            </w:pPr>
            <w:r>
              <w:rPr>
                <w:rFonts w:ascii="Arial" w:cs="Arial" w:eastAsia="Arial" w:hAnsi="Arial"/>
                <w:sz w:val="16"/>
                <w:szCs w:val="16"/>
                <w:color w:val="auto"/>
                <w:w w:val="96"/>
              </w:rPr>
              <w:t>140,504</w:t>
            </w:r>
          </w:p>
        </w:tc>
        <w:tc>
          <w:tcPr>
            <w:tcW w:w="1360" w:type="dxa"/>
            <w:vAlign w:val="bottom"/>
          </w:tcPr>
          <w:p>
            <w:pPr>
              <w:jc w:val="right"/>
              <w:ind w:right="518"/>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58"/>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18"/>
              <w:spacing w:after="0"/>
              <w:rPr>
                <w:sz w:val="20"/>
                <w:szCs w:val="20"/>
                <w:color w:val="auto"/>
              </w:rPr>
            </w:pPr>
            <w:r>
              <w:rPr>
                <w:rFonts w:ascii="Arial" w:cs="Arial" w:eastAsia="Arial" w:hAnsi="Arial"/>
                <w:sz w:val="16"/>
                <w:szCs w:val="16"/>
                <w:color w:val="auto"/>
                <w:w w:val="96"/>
              </w:rPr>
              <w:t>140,504</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140,504</w:t>
            </w:r>
          </w:p>
        </w:tc>
      </w:tr>
      <w:tr>
        <w:trPr>
          <w:trHeight w:val="214"/>
        </w:trPr>
        <w:tc>
          <w:tcPr>
            <w:tcW w:w="3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Derivative liability – conversion option</w:t>
            </w: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color w:val="auto"/>
                <w:w w:val="96"/>
              </w:rPr>
              <w:t>582,300</w:t>
            </w:r>
          </w:p>
        </w:tc>
        <w:tc>
          <w:tcPr>
            <w:tcW w:w="136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w w:val="96"/>
              </w:rPr>
              <w:t>582,300</w:t>
            </w: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582,300</w:t>
            </w:r>
          </w:p>
        </w:tc>
      </w:tr>
      <w:tr>
        <w:trPr>
          <w:trHeight w:val="197"/>
        </w:trPr>
        <w:tc>
          <w:tcPr>
            <w:tcW w:w="3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color w:val="auto"/>
                <w:w w:val="96"/>
              </w:rPr>
              <w:t>722,804</w:t>
            </w:r>
          </w:p>
        </w:tc>
        <w:tc>
          <w:tcPr>
            <w:tcW w:w="136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w w:val="96"/>
              </w:rPr>
              <w:t>722,804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722,804</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60" w:type="dxa"/>
            <w:vAlign w:val="bottom"/>
            <w:tcBorders>
              <w:top w:val="single" w:sz="8" w:color="auto"/>
            </w:tcBorders>
          </w:tcPr>
          <w:p>
            <w:pPr>
              <w:spacing w:after="0"/>
              <w:rPr>
                <w:sz w:val="19"/>
                <w:szCs w:val="19"/>
                <w:color w:val="auto"/>
              </w:rPr>
            </w:pPr>
          </w:p>
        </w:tc>
        <w:tc>
          <w:tcPr>
            <w:tcW w:w="202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90"/>
              </w:rPr>
              <w:t>As of December 31, 2012</w:t>
            </w:r>
          </w:p>
        </w:tc>
        <w:tc>
          <w:tcPr>
            <w:tcW w:w="13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r>
      <w:tr>
        <w:trPr>
          <w:trHeight w:val="202"/>
        </w:trPr>
        <w:tc>
          <w:tcPr>
            <w:tcW w:w="396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2860" w:type="dxa"/>
            <w:vAlign w:val="bottom"/>
            <w:gridSpan w:val="2"/>
          </w:tcPr>
          <w:p>
            <w:pPr>
              <w:jc w:val="right"/>
              <w:ind w:right="178"/>
              <w:spacing w:after="0"/>
              <w:rPr>
                <w:sz w:val="20"/>
                <w:szCs w:val="20"/>
                <w:color w:val="auto"/>
              </w:rPr>
            </w:pPr>
            <w:r>
              <w:rPr>
                <w:rFonts w:ascii="Arial" w:cs="Arial" w:eastAsia="Arial" w:hAnsi="Arial"/>
                <w:sz w:val="16"/>
                <w:szCs w:val="16"/>
                <w:b w:val="1"/>
                <w:bCs w:val="1"/>
                <w:color w:val="auto"/>
              </w:rPr>
              <w:t>Fair Value Measurements</w:t>
            </w: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5"/>
        </w:trPr>
        <w:tc>
          <w:tcPr>
            <w:tcW w:w="3960" w:type="dxa"/>
            <w:vAlign w:val="bottom"/>
          </w:tcPr>
          <w:p>
            <w:pPr>
              <w:spacing w:after="0"/>
              <w:rPr>
                <w:sz w:val="16"/>
                <w:szCs w:val="16"/>
                <w:color w:val="auto"/>
              </w:rPr>
            </w:pPr>
          </w:p>
        </w:tc>
        <w:tc>
          <w:tcPr>
            <w:tcW w:w="2020" w:type="dxa"/>
            <w:vAlign w:val="bottom"/>
          </w:tcPr>
          <w:p>
            <w:pPr>
              <w:jc w:val="right"/>
              <w:ind w:right="658"/>
              <w:spacing w:after="0"/>
              <w:rPr>
                <w:sz w:val="20"/>
                <w:szCs w:val="20"/>
                <w:color w:val="auto"/>
              </w:rPr>
            </w:pPr>
            <w:r>
              <w:rPr>
                <w:rFonts w:ascii="Arial" w:cs="Arial" w:eastAsia="Arial" w:hAnsi="Arial"/>
                <w:sz w:val="16"/>
                <w:szCs w:val="16"/>
                <w:b w:val="1"/>
                <w:bCs w:val="1"/>
                <w:color w:val="auto"/>
              </w:rPr>
              <w:t>Carrying Value</w:t>
            </w:r>
          </w:p>
        </w:tc>
        <w:tc>
          <w:tcPr>
            <w:tcW w:w="1360" w:type="dxa"/>
            <w:vAlign w:val="bottom"/>
          </w:tcPr>
          <w:p>
            <w:pPr>
              <w:jc w:val="right"/>
              <w:ind w:right="478"/>
              <w:spacing w:after="0"/>
              <w:rPr>
                <w:sz w:val="20"/>
                <w:szCs w:val="20"/>
                <w:color w:val="auto"/>
              </w:rPr>
            </w:pPr>
            <w:r>
              <w:rPr>
                <w:rFonts w:ascii="Arial" w:cs="Arial" w:eastAsia="Arial" w:hAnsi="Arial"/>
                <w:sz w:val="16"/>
                <w:szCs w:val="16"/>
                <w:b w:val="1"/>
                <w:bCs w:val="1"/>
                <w:color w:val="auto"/>
              </w:rPr>
              <w:t>Level 1</w:t>
            </w:r>
          </w:p>
        </w:tc>
        <w:tc>
          <w:tcPr>
            <w:tcW w:w="1500" w:type="dxa"/>
            <w:vAlign w:val="bottom"/>
          </w:tcPr>
          <w:p>
            <w:pPr>
              <w:jc w:val="right"/>
              <w:ind w:right="358"/>
              <w:spacing w:after="0"/>
              <w:rPr>
                <w:sz w:val="20"/>
                <w:szCs w:val="20"/>
                <w:color w:val="auto"/>
              </w:rPr>
            </w:pPr>
            <w:r>
              <w:rPr>
                <w:rFonts w:ascii="Arial" w:cs="Arial" w:eastAsia="Arial" w:hAnsi="Arial"/>
                <w:sz w:val="16"/>
                <w:szCs w:val="16"/>
                <w:b w:val="1"/>
                <w:bCs w:val="1"/>
                <w:color w:val="auto"/>
              </w:rPr>
              <w:t>Level 2</w:t>
            </w:r>
          </w:p>
        </w:tc>
        <w:tc>
          <w:tcPr>
            <w:tcW w:w="1420" w:type="dxa"/>
            <w:vAlign w:val="bottom"/>
          </w:tcPr>
          <w:p>
            <w:pPr>
              <w:jc w:val="right"/>
              <w:ind w:right="258"/>
              <w:spacing w:after="0"/>
              <w:rPr>
                <w:sz w:val="20"/>
                <w:szCs w:val="20"/>
                <w:color w:val="auto"/>
              </w:rPr>
            </w:pPr>
            <w:r>
              <w:rPr>
                <w:rFonts w:ascii="Arial" w:cs="Arial" w:eastAsia="Arial" w:hAnsi="Arial"/>
                <w:sz w:val="16"/>
                <w:szCs w:val="16"/>
                <w:b w:val="1"/>
                <w:bCs w:val="1"/>
                <w:color w:val="auto"/>
              </w:rPr>
              <w:t>Level 3</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197"/>
        </w:trPr>
        <w:tc>
          <w:tcPr>
            <w:tcW w:w="3960" w:type="dxa"/>
            <w:vAlign w:val="bottom"/>
          </w:tcPr>
          <w:p>
            <w:pPr>
              <w:spacing w:after="0"/>
              <w:rPr>
                <w:sz w:val="20"/>
                <w:szCs w:val="20"/>
                <w:color w:val="auto"/>
              </w:rPr>
            </w:pPr>
            <w:r>
              <w:rPr>
                <w:rFonts w:ascii="Arial" w:cs="Arial" w:eastAsia="Arial" w:hAnsi="Arial"/>
                <w:sz w:val="16"/>
                <w:szCs w:val="16"/>
                <w:color w:val="auto"/>
              </w:rPr>
              <w:t>Derivative liability - warrants</w:t>
            </w:r>
          </w:p>
        </w:tc>
        <w:tc>
          <w:tcPr>
            <w:tcW w:w="2020" w:type="dxa"/>
            <w:vAlign w:val="bottom"/>
          </w:tcPr>
          <w:p>
            <w:pPr>
              <w:jc w:val="right"/>
              <w:ind w:right="458"/>
              <w:spacing w:after="0"/>
              <w:rPr>
                <w:sz w:val="20"/>
                <w:szCs w:val="20"/>
                <w:color w:val="auto"/>
              </w:rPr>
            </w:pPr>
            <w:r>
              <w:rPr>
                <w:rFonts w:ascii="Arial" w:cs="Arial" w:eastAsia="Arial" w:hAnsi="Arial"/>
                <w:sz w:val="16"/>
                <w:szCs w:val="16"/>
                <w:color w:val="auto"/>
              </w:rPr>
              <w:t>$ 977,086</w:t>
            </w:r>
          </w:p>
        </w:tc>
        <w:tc>
          <w:tcPr>
            <w:tcW w:w="1360" w:type="dxa"/>
            <w:vAlign w:val="bottom"/>
          </w:tcPr>
          <w:p>
            <w:pPr>
              <w:jc w:val="right"/>
              <w:ind w:right="518"/>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8"/>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58"/>
              <w:spacing w:after="0"/>
              <w:rPr>
                <w:sz w:val="20"/>
                <w:szCs w:val="20"/>
                <w:color w:val="auto"/>
              </w:rPr>
            </w:pPr>
            <w:r>
              <w:rPr>
                <w:rFonts w:ascii="Arial" w:cs="Arial" w:eastAsia="Arial" w:hAnsi="Arial"/>
                <w:sz w:val="16"/>
                <w:szCs w:val="16"/>
                <w:color w:val="auto"/>
              </w:rPr>
              <w:t>$ 977,086</w:t>
            </w:r>
          </w:p>
        </w:tc>
        <w:tc>
          <w:tcPr>
            <w:tcW w:w="1160" w:type="dxa"/>
            <w:vAlign w:val="bottom"/>
          </w:tcPr>
          <w:p>
            <w:pPr>
              <w:jc w:val="right"/>
              <w:spacing w:after="0"/>
              <w:rPr>
                <w:sz w:val="20"/>
                <w:szCs w:val="20"/>
                <w:color w:val="auto"/>
              </w:rPr>
            </w:pPr>
            <w:r>
              <w:rPr>
                <w:rFonts w:ascii="Arial" w:cs="Arial" w:eastAsia="Arial" w:hAnsi="Arial"/>
                <w:sz w:val="16"/>
                <w:szCs w:val="16"/>
                <w:color w:val="auto"/>
              </w:rPr>
              <w:t>$ 977,086</w:t>
            </w:r>
          </w:p>
        </w:tc>
      </w:tr>
      <w:tr>
        <w:trPr>
          <w:trHeight w:val="214"/>
        </w:trPr>
        <w:tc>
          <w:tcPr>
            <w:tcW w:w="3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Derivative liability – conversion option</w:t>
            </w:r>
          </w:p>
        </w:tc>
        <w:tc>
          <w:tcPr>
            <w:tcW w:w="202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color w:val="auto"/>
              </w:rPr>
              <w:t>867,575</w:t>
            </w:r>
          </w:p>
        </w:tc>
        <w:tc>
          <w:tcPr>
            <w:tcW w:w="136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867,575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867,575</w:t>
            </w:r>
          </w:p>
        </w:tc>
      </w:tr>
      <w:tr>
        <w:trPr>
          <w:trHeight w:val="197"/>
        </w:trPr>
        <w:tc>
          <w:tcPr>
            <w:tcW w:w="3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color w:val="auto"/>
              </w:rPr>
              <w:t>$ 1,844,661</w:t>
            </w:r>
          </w:p>
        </w:tc>
        <w:tc>
          <w:tcPr>
            <w:tcW w:w="136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$ 1,844,661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$ 1,844,661</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40" w:name="page41"/>
    <w:bookmarkEnd w:id="40"/>
    <w:p>
      <w:pPr>
        <w:ind w:right="60"/>
        <w:spacing w:after="0" w:line="264" w:lineRule="auto"/>
        <w:rPr>
          <w:sz w:val="20"/>
          <w:szCs w:val="20"/>
          <w:color w:val="auto"/>
        </w:rPr>
      </w:pPr>
      <w:r>
        <w:rPr>
          <w:rFonts w:ascii="Arial" w:cs="Arial" w:eastAsia="Arial" w:hAnsi="Arial"/>
          <w:sz w:val="16"/>
          <w:szCs w:val="16"/>
          <w:color w:val="auto"/>
        </w:rPr>
        <w:t>The table below provides a summary of the changes in fair value, including net transfers, in and/or out, of financial assets and liabilities measured at fair value on a recurring basis using significant unobservable inputs (Level 3) during the years ended December 31, 2013 and 2012: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gridSpan w:val="9"/>
          </w:tcPr>
          <w:p>
            <w:pPr>
              <w:jc w:val="center"/>
              <w:ind w:right="200"/>
              <w:spacing w:after="0"/>
              <w:rPr>
                <w:sz w:val="20"/>
                <w:szCs w:val="20"/>
                <w:color w:val="auto"/>
              </w:rPr>
            </w:pPr>
            <w:r>
              <w:rPr>
                <w:rFonts w:ascii="Arial" w:cs="Arial" w:eastAsia="Arial" w:hAnsi="Arial"/>
                <w:sz w:val="16"/>
                <w:szCs w:val="16"/>
                <w:b w:val="1"/>
                <w:bCs w:val="1"/>
                <w:color w:val="auto"/>
                <w:w w:val="92"/>
              </w:rPr>
              <w:t>Fair Value Measurements Using Level 3 Inputs</w:t>
            </w:r>
          </w:p>
        </w:tc>
      </w:tr>
      <w:tr>
        <w:trPr>
          <w:trHeight w:val="181"/>
        </w:trPr>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340"/>
              <w:spacing w:after="0" w:line="181" w:lineRule="exact"/>
              <w:rPr>
                <w:sz w:val="20"/>
                <w:szCs w:val="20"/>
                <w:color w:val="auto"/>
              </w:rPr>
            </w:pPr>
            <w:r>
              <w:rPr>
                <w:rFonts w:ascii="Arial" w:cs="Arial" w:eastAsia="Arial" w:hAnsi="Arial"/>
                <w:sz w:val="16"/>
                <w:szCs w:val="16"/>
                <w:b w:val="1"/>
                <w:bCs w:val="1"/>
                <w:color w:val="auto"/>
                <w:w w:val="94"/>
              </w:rPr>
              <w:t>Derivative</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liability –</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liability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conversion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8"/>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warrants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option</w:t>
            </w:r>
          </w:p>
        </w:tc>
        <w:tc>
          <w:tcPr>
            <w:tcW w:w="2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r>
      <w:tr>
        <w:trPr>
          <w:trHeight w:val="185"/>
        </w:trPr>
        <w:tc>
          <w:tcPr>
            <w:tcW w:w="7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 2011</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1,317,834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1,317,834</w:t>
            </w:r>
          </w:p>
        </w:tc>
        <w:tc>
          <w:tcPr>
            <w:tcW w:w="60" w:type="dxa"/>
            <w:vAlign w:val="bottom"/>
          </w:tcPr>
          <w:p>
            <w:pPr>
              <w:spacing w:after="0"/>
              <w:rPr>
                <w:sz w:val="16"/>
                <w:szCs w:val="16"/>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Additions during the year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737,700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1,037,700</w:t>
            </w: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Total unrealized (gains) or losses included in net loss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(597,127)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129,875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(467,252)</w:t>
            </w: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Debt settlement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(43,621)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(43,621)</w:t>
            </w:r>
          </w:p>
        </w:tc>
      </w:tr>
      <w:tr>
        <w:trPr>
          <w:trHeight w:val="214"/>
        </w:trPr>
        <w:tc>
          <w:tcPr>
            <w:tcW w:w="7320" w:type="dxa"/>
            <w:vAlign w:val="bottom"/>
          </w:tcPr>
          <w:p>
            <w:pPr>
              <w:spacing w:after="0"/>
              <w:rPr>
                <w:sz w:val="20"/>
                <w:szCs w:val="20"/>
                <w:color w:val="auto"/>
              </w:rPr>
            </w:pPr>
            <w:r>
              <w:rPr>
                <w:rFonts w:ascii="Arial" w:cs="Arial" w:eastAsia="Arial" w:hAnsi="Arial"/>
                <w:sz w:val="16"/>
                <w:szCs w:val="16"/>
                <w:color w:val="auto"/>
              </w:rPr>
              <w:t>Transfers in and/or out of Level 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85"/>
        </w:trPr>
        <w:tc>
          <w:tcPr>
            <w:tcW w:w="7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Balance, December 31, 2012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977,086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867,575</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1,844,661</w:t>
            </w:r>
          </w:p>
        </w:tc>
        <w:tc>
          <w:tcPr>
            <w:tcW w:w="60" w:type="dxa"/>
            <w:vAlign w:val="bottom"/>
          </w:tcPr>
          <w:p>
            <w:pPr>
              <w:spacing w:after="0"/>
              <w:rPr>
                <w:sz w:val="16"/>
                <w:szCs w:val="16"/>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Additions during the year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206,000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810,500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1,016,500</w:t>
            </w:r>
          </w:p>
        </w:tc>
      </w:tr>
      <w:tr>
        <w:trPr>
          <w:trHeight w:val="197"/>
        </w:trPr>
        <w:tc>
          <w:tcPr>
            <w:tcW w:w="7320" w:type="dxa"/>
            <w:vAlign w:val="bottom"/>
          </w:tcPr>
          <w:p>
            <w:pPr>
              <w:spacing w:after="0"/>
              <w:rPr>
                <w:sz w:val="20"/>
                <w:szCs w:val="20"/>
                <w:color w:val="auto"/>
              </w:rPr>
            </w:pPr>
            <w:r>
              <w:rPr>
                <w:rFonts w:ascii="Arial" w:cs="Arial" w:eastAsia="Arial" w:hAnsi="Arial"/>
                <w:sz w:val="16"/>
                <w:szCs w:val="16"/>
                <w:color w:val="auto"/>
              </w:rPr>
              <w:t>Total unrealized (gains) or losses included in net loss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(1,042,582)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(1,095,775)</w:t>
            </w: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(2,138,357)</w:t>
            </w:r>
          </w:p>
        </w:tc>
      </w:tr>
      <w:tr>
        <w:trPr>
          <w:trHeight w:val="214"/>
        </w:trPr>
        <w:tc>
          <w:tcPr>
            <w:tcW w:w="7320" w:type="dxa"/>
            <w:vAlign w:val="bottom"/>
          </w:tcPr>
          <w:p>
            <w:pPr>
              <w:spacing w:after="0"/>
              <w:rPr>
                <w:sz w:val="20"/>
                <w:szCs w:val="20"/>
                <w:color w:val="auto"/>
              </w:rPr>
            </w:pPr>
            <w:r>
              <w:rPr>
                <w:rFonts w:ascii="Arial" w:cs="Arial" w:eastAsia="Arial" w:hAnsi="Arial"/>
                <w:sz w:val="16"/>
                <w:szCs w:val="16"/>
                <w:color w:val="auto"/>
              </w:rPr>
              <w:t>Transfers in and/or out of Level 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7"/>
        </w:trPr>
        <w:tc>
          <w:tcPr>
            <w:tcW w:w="7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Balance, December 31, 2013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140,504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582,300</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722,804</w:t>
            </w:r>
          </w:p>
        </w:tc>
        <w:tc>
          <w:tcPr>
            <w:tcW w:w="60" w:type="dxa"/>
            <w:vAlign w:val="bottom"/>
          </w:tcPr>
          <w:p>
            <w:pPr>
              <w:spacing w:after="0"/>
              <w:rPr>
                <w:sz w:val="17"/>
                <w:szCs w:val="17"/>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The fair value of the warrants is determined using a Binomial option pricing model. 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 of operations.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net cash settlement value at the time of any future Fundamental Transaction will depend upon the value of the following inputs at that time: the consideration value per share of the Company’s common stock, the volatility of the Company’s common stock, the remaining term of the warrant from announcement date, the risk-free interest rate based on U.S. Treasury security yields, and the Company’s dividend yield. The warrant requires use of a volatility assumption equal to the greater of 100% and the 100-day volatility function determined as of the trading day immediately following announcement of a Fundamental Transaction. The fair value of the warrants is determined using the American Binomial Option Pricing Model.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20"/>
                <w:szCs w:val="20"/>
                <w:color w:val="auto"/>
              </w:rPr>
            </w:pPr>
            <w:r>
              <w:rPr>
                <w:rFonts w:ascii="Arial" w:cs="Arial" w:eastAsia="Arial" w:hAnsi="Arial"/>
                <w:sz w:val="16"/>
                <w:szCs w:val="16"/>
                <w:b w:val="1"/>
                <w:bCs w:val="1"/>
                <w:color w:val="auto"/>
              </w:rPr>
              <w:t>NOTE 5:  CONVERTIBLE NOTES PAYABLE</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Principal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Repayment/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Unamortized</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Balance at</w:t>
            </w:r>
          </w:p>
        </w:tc>
        <w:tc>
          <w:tcPr>
            <w:tcW w:w="0" w:type="dxa"/>
            <w:vAlign w:val="bottom"/>
          </w:tcPr>
          <w:p>
            <w:pPr>
              <w:spacing w:after="0"/>
              <w:rPr>
                <w:sz w:val="1"/>
                <w:szCs w:val="1"/>
                <w:color w:val="auto"/>
              </w:rPr>
            </w:pPr>
          </w:p>
        </w:tc>
      </w:tr>
      <w:tr>
        <w:trPr>
          <w:trHeight w:val="197"/>
        </w:trPr>
        <w:tc>
          <w:tcPr>
            <w:tcW w:w="4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Settlement/Re-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8"/>
        </w:trPr>
        <w:tc>
          <w:tcPr>
            <w:tcW w:w="4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5"/>
              </w:rPr>
              <w:t>Face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issued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Discount</w:t>
            </w:r>
          </w:p>
        </w:tc>
        <w:tc>
          <w:tcPr>
            <w:tcW w:w="100" w:type="dxa"/>
            <w:vAlign w:val="bottom"/>
          </w:tcPr>
          <w:p>
            <w:pPr>
              <w:spacing w:after="0"/>
              <w:rPr>
                <w:sz w:val="18"/>
                <w:szCs w:val="18"/>
                <w:color w:val="auto"/>
              </w:rPr>
            </w:pPr>
          </w:p>
        </w:tc>
        <w:tc>
          <w:tcPr>
            <w:tcW w:w="1040" w:type="dxa"/>
            <w:vAlign w:val="bottom"/>
          </w:tcPr>
          <w:p>
            <w:pPr>
              <w:jc w:val="center"/>
              <w:ind w:right="18"/>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4500" w:type="dxa"/>
            <w:vAlign w:val="bottom"/>
          </w:tcPr>
          <w:p>
            <w:pPr>
              <w:spacing w:after="0"/>
              <w:rPr>
                <w:sz w:val="20"/>
                <w:szCs w:val="20"/>
                <w:color w:val="auto"/>
              </w:rPr>
            </w:pPr>
            <w:r>
              <w:rPr>
                <w:rFonts w:ascii="Arial" w:cs="Arial" w:eastAsia="Arial" w:hAnsi="Arial"/>
                <w:sz w:val="16"/>
                <w:szCs w:val="16"/>
                <w:b w:val="1"/>
                <w:bCs w:val="1"/>
                <w:color w:val="auto"/>
              </w:rPr>
              <w:t>February 2011 Secured Convertible Notes</w:t>
            </w:r>
          </w:p>
        </w:tc>
        <w:tc>
          <w:tcPr>
            <w:tcW w:w="1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6"/>
                <w:szCs w:val="16"/>
                <w:color w:val="auto"/>
              </w:rPr>
              <w:t>Senior Secured Notes, due February 24, 2014</w:t>
            </w: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1,184,694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203,836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20,083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960,775</w:t>
            </w: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0"/>
                <w:szCs w:val="20"/>
                <w:color w:val="auto"/>
              </w:rPr>
            </w:pPr>
            <w:r>
              <w:rPr>
                <w:rFonts w:ascii="Arial" w:cs="Arial" w:eastAsia="Arial" w:hAnsi="Arial"/>
                <w:sz w:val="16"/>
                <w:szCs w:val="16"/>
                <w:b w:val="1"/>
                <w:bCs w:val="1"/>
                <w:color w:val="auto"/>
              </w:rPr>
              <w:t>April 2011 Secured Convertible Notes</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6"/>
                <w:szCs w:val="16"/>
                <w:color w:val="auto"/>
              </w:rPr>
              <w:t>Senior Secured Notes, due April 4, 2014</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215,000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206,165</w:t>
            </w: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0"/>
                <w:szCs w:val="20"/>
                <w:color w:val="auto"/>
              </w:rPr>
            </w:pPr>
            <w:r>
              <w:rPr>
                <w:rFonts w:ascii="Arial" w:cs="Arial" w:eastAsia="Arial" w:hAnsi="Arial"/>
                <w:sz w:val="16"/>
                <w:szCs w:val="16"/>
                <w:b w:val="1"/>
                <w:bCs w:val="1"/>
                <w:color w:val="auto"/>
              </w:rPr>
              <w:t>June 2011 Secured Convertible Note</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6"/>
                <w:szCs w:val="16"/>
                <w:color w:val="auto"/>
              </w:rPr>
              <w:t>Senior Secured Notes, due June 6, 2014</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28,811</w:t>
            </w: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0"/>
                <w:szCs w:val="20"/>
                <w:color w:val="auto"/>
              </w:rPr>
            </w:pPr>
            <w:r>
              <w:rPr>
                <w:rFonts w:ascii="Arial" w:cs="Arial" w:eastAsia="Arial" w:hAnsi="Arial"/>
                <w:sz w:val="16"/>
                <w:szCs w:val="16"/>
                <w:b w:val="1"/>
                <w:bCs w:val="1"/>
                <w:color w:val="auto"/>
              </w:rPr>
              <w:t>August 8, 2012 Convertible Note</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6"/>
                <w:szCs w:val="16"/>
                <w:color w:val="auto"/>
              </w:rPr>
              <w:t>Note due August 8, 2013</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111,430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111,430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0"/>
                <w:szCs w:val="20"/>
                <w:color w:val="auto"/>
              </w:rPr>
            </w:pPr>
            <w:r>
              <w:rPr>
                <w:rFonts w:ascii="Arial" w:cs="Arial" w:eastAsia="Arial" w:hAnsi="Arial"/>
                <w:sz w:val="16"/>
                <w:szCs w:val="16"/>
                <w:b w:val="1"/>
                <w:bCs w:val="1"/>
                <w:color w:val="auto"/>
              </w:rPr>
              <w:t>August 12, 2012 Convertible Note</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6"/>
                <w:szCs w:val="16"/>
                <w:color w:val="auto"/>
              </w:rPr>
              <w:t>Note became due November 12, 2012</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27,500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27,500</w:t>
            </w: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0"/>
                <w:szCs w:val="20"/>
                <w:color w:val="auto"/>
              </w:rPr>
            </w:pPr>
            <w:r>
              <w:rPr>
                <w:rFonts w:ascii="Arial" w:cs="Arial" w:eastAsia="Arial" w:hAnsi="Arial"/>
                <w:sz w:val="16"/>
                <w:szCs w:val="16"/>
                <w:b w:val="1"/>
                <w:bCs w:val="1"/>
                <w:color w:val="auto"/>
              </w:rPr>
              <w:t>August 20, 2012 Convertible Note</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500" w:type="dxa"/>
            <w:vAlign w:val="bottom"/>
          </w:tcPr>
          <w:p>
            <w:pPr>
              <w:spacing w:after="0"/>
              <w:rPr>
                <w:sz w:val="20"/>
                <w:szCs w:val="20"/>
                <w:color w:val="auto"/>
              </w:rPr>
            </w:pPr>
            <w:r>
              <w:rPr>
                <w:rFonts w:ascii="Arial" w:cs="Arial" w:eastAsia="Arial" w:hAnsi="Arial"/>
                <w:sz w:val="16"/>
                <w:szCs w:val="16"/>
                <w:color w:val="auto"/>
              </w:rPr>
              <w:t>Note due August 20, 2013</w:t>
            </w: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01"/>
        </w:trPr>
        <w:tc>
          <w:tcPr>
            <w:tcW w:w="4500" w:type="dxa"/>
            <w:vAlign w:val="bottom"/>
          </w:tcPr>
          <w:p>
            <w:pPr>
              <w:spacing w:after="0"/>
              <w:rPr>
                <w:sz w:val="20"/>
                <w:szCs w:val="20"/>
                <w:color w:val="auto"/>
              </w:rPr>
            </w:pPr>
            <w:r>
              <w:rPr>
                <w:rFonts w:ascii="Arial" w:cs="Arial" w:eastAsia="Arial" w:hAnsi="Arial"/>
                <w:sz w:val="16"/>
                <w:szCs w:val="16"/>
                <w:b w:val="1"/>
                <w:bCs w:val="1"/>
                <w:color w:val="auto"/>
              </w:rPr>
              <w:t>September 18, 2012 Convertible Note</w:t>
            </w: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6"/>
                <w:szCs w:val="16"/>
                <w:color w:val="auto"/>
              </w:rPr>
              <w:t>Note due October 1, 2013</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82,500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82,500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0"/>
                <w:szCs w:val="20"/>
                <w:color w:val="auto"/>
              </w:rPr>
            </w:pPr>
            <w:r>
              <w:rPr>
                <w:rFonts w:ascii="Arial" w:cs="Arial" w:eastAsia="Arial" w:hAnsi="Arial"/>
                <w:sz w:val="16"/>
                <w:szCs w:val="16"/>
                <w:b w:val="1"/>
                <w:bCs w:val="1"/>
                <w:color w:val="auto"/>
              </w:rPr>
              <w:t>October 2012 Convertible Note</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6"/>
                <w:szCs w:val="16"/>
                <w:color w:val="auto"/>
              </w:rPr>
              <w:t>Note due October 15, 2013</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340,000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340,000</w:t>
            </w: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0"/>
                <w:szCs w:val="20"/>
                <w:color w:val="auto"/>
              </w:rPr>
            </w:pPr>
            <w:r>
              <w:rPr>
                <w:rFonts w:ascii="Arial" w:cs="Arial" w:eastAsia="Arial" w:hAnsi="Arial"/>
                <w:sz w:val="16"/>
                <w:szCs w:val="16"/>
                <w:b w:val="1"/>
                <w:bCs w:val="1"/>
                <w:color w:val="auto"/>
              </w:rPr>
              <w:t>October 9, 2012 Convertible Notes</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6"/>
                <w:szCs w:val="16"/>
                <w:color w:val="auto"/>
              </w:rPr>
              <w:t>Note due April 30, 2013</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0"/>
                <w:szCs w:val="20"/>
                <w:color w:val="auto"/>
              </w:rPr>
            </w:pPr>
            <w:r>
              <w:rPr>
                <w:rFonts w:ascii="Arial" w:cs="Arial" w:eastAsia="Arial" w:hAnsi="Arial"/>
                <w:sz w:val="16"/>
                <w:szCs w:val="16"/>
                <w:b w:val="1"/>
                <w:bCs w:val="1"/>
                <w:color w:val="auto"/>
              </w:rPr>
              <w:t>November 1, 2012 Convertible Note</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6"/>
                <w:szCs w:val="16"/>
                <w:color w:val="auto"/>
              </w:rPr>
              <w:t>Note due April 30, 2013</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31,471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31,471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0"/>
                <w:szCs w:val="20"/>
                <w:color w:val="auto"/>
              </w:rPr>
            </w:pPr>
            <w:r>
              <w:rPr>
                <w:rFonts w:ascii="Arial" w:cs="Arial" w:eastAsia="Arial" w:hAnsi="Arial"/>
                <w:sz w:val="16"/>
                <w:szCs w:val="16"/>
                <w:b w:val="1"/>
                <w:bCs w:val="1"/>
                <w:color w:val="auto"/>
              </w:rPr>
              <w:t>November 20, 2012 Convertible Note</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6"/>
                <w:szCs w:val="16"/>
                <w:color w:val="auto"/>
              </w:rPr>
              <w:t>Note due November 20, 2013</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55,710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44,962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10,748</w:t>
            </w: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0"/>
                <w:szCs w:val="20"/>
                <w:color w:val="auto"/>
              </w:rPr>
            </w:pPr>
            <w:r>
              <w:rPr>
                <w:rFonts w:ascii="Arial" w:cs="Arial" w:eastAsia="Arial" w:hAnsi="Arial"/>
                <w:sz w:val="16"/>
                <w:szCs w:val="16"/>
                <w:b w:val="1"/>
                <w:bCs w:val="1"/>
                <w:color w:val="auto"/>
              </w:rPr>
              <w:t>December 14, 2012 Convertible Note</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6"/>
                <w:szCs w:val="16"/>
                <w:color w:val="auto"/>
              </w:rPr>
              <w:t>Note due April 18, 2013</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189,210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189,210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0"/>
                <w:szCs w:val="20"/>
                <w:color w:val="auto"/>
              </w:rPr>
            </w:pPr>
            <w:r>
              <w:rPr>
                <w:rFonts w:ascii="Arial" w:cs="Arial" w:eastAsia="Arial" w:hAnsi="Arial"/>
                <w:sz w:val="16"/>
                <w:szCs w:val="16"/>
                <w:b w:val="1"/>
                <w:bCs w:val="1"/>
                <w:color w:val="auto"/>
              </w:rPr>
              <w:t>December 18, 2012 Convertible Note</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6"/>
                <w:szCs w:val="16"/>
                <w:color w:val="auto"/>
              </w:rPr>
              <w:t>Note due December 14, 2013</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394"/>
        </w:trPr>
        <w:tc>
          <w:tcPr>
            <w:tcW w:w="4500" w:type="dxa"/>
            <w:vAlign w:val="bottom"/>
          </w:tcPr>
          <w:p>
            <w:pPr>
              <w:spacing w:after="0"/>
              <w:rPr>
                <w:sz w:val="20"/>
                <w:szCs w:val="20"/>
                <w:color w:val="auto"/>
              </w:rPr>
            </w:pPr>
            <w:r>
              <w:rPr>
                <w:rFonts w:ascii="Arial" w:cs="Arial" w:eastAsia="Arial" w:hAnsi="Arial"/>
                <w:sz w:val="16"/>
                <w:szCs w:val="16"/>
                <w:b w:val="1"/>
                <w:bCs w:val="1"/>
                <w:color w:val="auto"/>
              </w:rPr>
              <w:t>January 5, 2013 Convertible Notes</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567,729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115,000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452,729</w:t>
            </w:r>
          </w:p>
        </w:tc>
        <w:tc>
          <w:tcPr>
            <w:tcW w:w="0" w:type="dxa"/>
            <w:vAlign w:val="bottom"/>
          </w:tcPr>
          <w:p>
            <w:pPr>
              <w:spacing w:after="0"/>
              <w:rPr>
                <w:sz w:val="1"/>
                <w:szCs w:val="1"/>
                <w:color w:val="auto"/>
              </w:rPr>
            </w:pPr>
          </w:p>
        </w:tc>
      </w:tr>
      <w:tr>
        <w:trPr>
          <w:trHeight w:val="394"/>
        </w:trPr>
        <w:tc>
          <w:tcPr>
            <w:tcW w:w="4500" w:type="dxa"/>
            <w:vAlign w:val="bottom"/>
          </w:tcPr>
          <w:p>
            <w:pPr>
              <w:spacing w:after="0"/>
              <w:rPr>
                <w:sz w:val="20"/>
                <w:szCs w:val="20"/>
                <w:color w:val="auto"/>
              </w:rPr>
            </w:pPr>
            <w:r>
              <w:rPr>
                <w:rFonts w:ascii="Arial" w:cs="Arial" w:eastAsia="Arial" w:hAnsi="Arial"/>
                <w:sz w:val="16"/>
                <w:szCs w:val="16"/>
                <w:b w:val="1"/>
                <w:bCs w:val="1"/>
                <w:color w:val="auto"/>
              </w:rPr>
              <w:t>January 31, 2013 Convertible Notes</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24,135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24,135</w:t>
            </w:r>
          </w:p>
        </w:tc>
        <w:tc>
          <w:tcPr>
            <w:tcW w:w="0" w:type="dxa"/>
            <w:vAlign w:val="bottom"/>
          </w:tcPr>
          <w:p>
            <w:pPr>
              <w:spacing w:after="0"/>
              <w:rPr>
                <w:sz w:val="1"/>
                <w:szCs w:val="1"/>
                <w:color w:val="auto"/>
              </w:rPr>
            </w:pPr>
          </w:p>
        </w:tc>
      </w:tr>
      <w:tr>
        <w:trPr>
          <w:trHeight w:val="383"/>
        </w:trPr>
        <w:tc>
          <w:tcPr>
            <w:tcW w:w="4500" w:type="dxa"/>
            <w:vAlign w:val="bottom"/>
          </w:tcPr>
          <w:p>
            <w:pPr>
              <w:spacing w:after="0"/>
              <w:rPr>
                <w:sz w:val="20"/>
                <w:szCs w:val="20"/>
                <w:color w:val="auto"/>
              </w:rPr>
            </w:pPr>
            <w:r>
              <w:rPr>
                <w:rFonts w:ascii="Arial" w:cs="Arial" w:eastAsia="Arial" w:hAnsi="Arial"/>
                <w:sz w:val="16"/>
                <w:szCs w:val="16"/>
                <w:b w:val="1"/>
                <w:bCs w:val="1"/>
                <w:color w:val="auto"/>
              </w:rPr>
              <w:t>February 27, 2013 Convertible Note</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6"/>
                <w:szCs w:val="16"/>
                <w:color w:val="auto"/>
              </w:rPr>
              <w:t>Note due February 27, 2014</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58,500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49,681</w:t>
            </w:r>
          </w:p>
        </w:tc>
        <w:tc>
          <w:tcPr>
            <w:tcW w:w="0" w:type="dxa"/>
            <w:vAlign w:val="bottom"/>
          </w:tcPr>
          <w:p>
            <w:pPr>
              <w:spacing w:after="0"/>
              <w:rPr>
                <w:sz w:val="1"/>
                <w:szCs w:val="1"/>
                <w:color w:val="auto"/>
              </w:rPr>
            </w:pPr>
          </w:p>
        </w:tc>
      </w:tr>
      <w:tr>
        <w:trPr>
          <w:trHeight w:val="554"/>
        </w:trPr>
        <w:tc>
          <w:tcPr>
            <w:tcW w:w="4500" w:type="dxa"/>
            <w:vAlign w:val="bottom"/>
          </w:tcPr>
          <w:p>
            <w:pPr>
              <w:spacing w:after="0"/>
              <w:rPr>
                <w:sz w:val="24"/>
                <w:szCs w:val="24"/>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6"/>
                <w:szCs w:val="16"/>
                <w:color w:val="auto"/>
              </w:rPr>
              <w:t>F-20</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2"/>
        </w:trPr>
        <w:tc>
          <w:tcPr>
            <w:tcW w:w="4060" w:type="dxa"/>
            <w:vAlign w:val="bottom"/>
          </w:tcPr>
          <w:p>
            <w:pPr>
              <w:spacing w:after="0"/>
              <w:rPr>
                <w:sz w:val="20"/>
                <w:szCs w:val="20"/>
                <w:color w:val="auto"/>
              </w:rPr>
            </w:pPr>
            <w:r>
              <w:rPr>
                <w:rFonts w:ascii="Arial" w:cs="Arial" w:eastAsia="Arial" w:hAnsi="Arial"/>
                <w:sz w:val="16"/>
                <w:szCs w:val="16"/>
                <w:b w:val="1"/>
                <w:bCs w:val="1"/>
                <w:color w:val="auto"/>
              </w:rPr>
              <w:t>April 2, 2013 Convertible Notes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80,967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80,967</w:t>
            </w:r>
          </w:p>
        </w:tc>
      </w:tr>
      <w:tr>
        <w:trPr>
          <w:trHeight w:val="383"/>
        </w:trPr>
        <w:tc>
          <w:tcPr>
            <w:tcW w:w="4060" w:type="dxa"/>
            <w:vAlign w:val="bottom"/>
          </w:tcPr>
          <w:p>
            <w:pPr>
              <w:spacing w:after="0"/>
              <w:rPr>
                <w:sz w:val="20"/>
                <w:szCs w:val="20"/>
                <w:color w:val="auto"/>
              </w:rPr>
            </w:pPr>
            <w:r>
              <w:rPr>
                <w:rFonts w:ascii="Arial" w:cs="Arial" w:eastAsia="Arial" w:hAnsi="Arial"/>
                <w:sz w:val="16"/>
                <w:szCs w:val="16"/>
                <w:b w:val="1"/>
                <w:bCs w:val="1"/>
                <w:color w:val="auto"/>
              </w:rPr>
              <w:t>April 18, 2013 Convertible Note</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color w:val="auto"/>
              </w:rPr>
              <w:t>Note due December 18, 2013</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60,000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28,312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31,688</w:t>
            </w:r>
          </w:p>
        </w:tc>
      </w:tr>
      <w:tr>
        <w:trPr>
          <w:trHeight w:val="394"/>
        </w:trPr>
        <w:tc>
          <w:tcPr>
            <w:tcW w:w="4060" w:type="dxa"/>
            <w:vAlign w:val="bottom"/>
          </w:tcPr>
          <w:p>
            <w:pPr>
              <w:spacing w:after="0"/>
              <w:rPr>
                <w:sz w:val="20"/>
                <w:szCs w:val="20"/>
                <w:color w:val="auto"/>
              </w:rPr>
            </w:pPr>
            <w:r>
              <w:rPr>
                <w:rFonts w:ascii="Arial" w:cs="Arial" w:eastAsia="Arial" w:hAnsi="Arial"/>
                <w:sz w:val="16"/>
                <w:szCs w:val="16"/>
                <w:b w:val="1"/>
                <w:bCs w:val="1"/>
                <w:color w:val="auto"/>
              </w:rPr>
              <w:t>May 2, 2013 Convertible Notes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50,000</w:t>
            </w:r>
          </w:p>
        </w:tc>
      </w:tr>
      <w:tr>
        <w:trPr>
          <w:trHeight w:val="394"/>
        </w:trPr>
        <w:tc>
          <w:tcPr>
            <w:tcW w:w="4060" w:type="dxa"/>
            <w:vAlign w:val="bottom"/>
          </w:tcPr>
          <w:p>
            <w:pPr>
              <w:spacing w:after="0"/>
              <w:rPr>
                <w:sz w:val="20"/>
                <w:szCs w:val="20"/>
                <w:color w:val="auto"/>
              </w:rPr>
            </w:pPr>
            <w:r>
              <w:rPr>
                <w:rFonts w:ascii="Arial" w:cs="Arial" w:eastAsia="Arial" w:hAnsi="Arial"/>
                <w:sz w:val="16"/>
                <w:szCs w:val="16"/>
                <w:b w:val="1"/>
                <w:bCs w:val="1"/>
                <w:color w:val="auto"/>
              </w:rPr>
              <w:t>May 5, 2013 Convertible Notes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45,000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45,000</w:t>
            </w:r>
          </w:p>
        </w:tc>
      </w:tr>
      <w:tr>
        <w:trPr>
          <w:trHeight w:val="383"/>
        </w:trPr>
        <w:tc>
          <w:tcPr>
            <w:tcW w:w="4060" w:type="dxa"/>
            <w:vAlign w:val="bottom"/>
          </w:tcPr>
          <w:p>
            <w:pPr>
              <w:spacing w:after="0"/>
              <w:rPr>
                <w:sz w:val="20"/>
                <w:szCs w:val="20"/>
                <w:color w:val="auto"/>
              </w:rPr>
            </w:pPr>
            <w:r>
              <w:rPr>
                <w:rFonts w:ascii="Arial" w:cs="Arial" w:eastAsia="Arial" w:hAnsi="Arial"/>
                <w:sz w:val="16"/>
                <w:szCs w:val="16"/>
                <w:b w:val="1"/>
                <w:bCs w:val="1"/>
                <w:color w:val="auto"/>
              </w:rPr>
              <w:t>May 14, 2013 Convertible Note</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color w:val="auto"/>
              </w:rPr>
              <w:t>Note due May 14, 2014</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126,000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46,258</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79,742</w:t>
            </w:r>
          </w:p>
        </w:tc>
      </w:tr>
      <w:tr>
        <w:trPr>
          <w:trHeight w:val="383"/>
        </w:trPr>
        <w:tc>
          <w:tcPr>
            <w:tcW w:w="4060" w:type="dxa"/>
            <w:vAlign w:val="bottom"/>
          </w:tcPr>
          <w:p>
            <w:pPr>
              <w:spacing w:after="0"/>
              <w:rPr>
                <w:sz w:val="20"/>
                <w:szCs w:val="20"/>
                <w:color w:val="auto"/>
              </w:rPr>
            </w:pPr>
            <w:r>
              <w:rPr>
                <w:rFonts w:ascii="Arial" w:cs="Arial" w:eastAsia="Arial" w:hAnsi="Arial"/>
                <w:sz w:val="16"/>
                <w:szCs w:val="16"/>
                <w:b w:val="1"/>
                <w:bCs w:val="1"/>
                <w:color w:val="auto"/>
              </w:rPr>
              <w:t>June 27, 2013 Convertible Note</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color w:val="auto"/>
              </w:rPr>
              <w:t>Note due June 27, 2014</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37,620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17,515</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20,105</w:t>
            </w:r>
          </w:p>
        </w:tc>
      </w:tr>
      <w:tr>
        <w:trPr>
          <w:trHeight w:val="383"/>
        </w:trPr>
        <w:tc>
          <w:tcPr>
            <w:tcW w:w="4060" w:type="dxa"/>
            <w:vAlign w:val="bottom"/>
          </w:tcPr>
          <w:p>
            <w:pPr>
              <w:spacing w:after="0"/>
              <w:rPr>
                <w:sz w:val="20"/>
                <w:szCs w:val="20"/>
                <w:color w:val="auto"/>
              </w:rPr>
            </w:pPr>
            <w:r>
              <w:rPr>
                <w:rFonts w:ascii="Arial" w:cs="Arial" w:eastAsia="Arial" w:hAnsi="Arial"/>
                <w:sz w:val="16"/>
                <w:szCs w:val="16"/>
                <w:b w:val="1"/>
                <w:bCs w:val="1"/>
                <w:color w:val="auto"/>
              </w:rPr>
              <w:t>June 19, 2013 Convertible Note</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color w:val="auto"/>
              </w:rPr>
              <w:t>Note due June 19, 2014</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115,000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83,000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8,217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23,783</w:t>
            </w:r>
          </w:p>
        </w:tc>
      </w:tr>
      <w:tr>
        <w:trPr>
          <w:trHeight w:val="383"/>
        </w:trPr>
        <w:tc>
          <w:tcPr>
            <w:tcW w:w="4060" w:type="dxa"/>
            <w:vAlign w:val="bottom"/>
          </w:tcPr>
          <w:p>
            <w:pPr>
              <w:spacing w:after="0"/>
              <w:rPr>
                <w:sz w:val="20"/>
                <w:szCs w:val="20"/>
                <w:color w:val="auto"/>
              </w:rPr>
            </w:pPr>
            <w:r>
              <w:rPr>
                <w:rFonts w:ascii="Arial" w:cs="Arial" w:eastAsia="Arial" w:hAnsi="Arial"/>
                <w:sz w:val="16"/>
                <w:szCs w:val="16"/>
                <w:b w:val="1"/>
                <w:bCs w:val="1"/>
                <w:color w:val="auto"/>
              </w:rPr>
              <w:t>July 12, 2013 Convertible Note</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color w:val="auto"/>
              </w:rPr>
              <w:t>Note due July 12, 2014</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28,200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57,200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39,600</w:t>
            </w:r>
          </w:p>
        </w:tc>
      </w:tr>
      <w:tr>
        <w:trPr>
          <w:trHeight w:val="383"/>
        </w:trPr>
        <w:tc>
          <w:tcPr>
            <w:tcW w:w="4060" w:type="dxa"/>
            <w:vAlign w:val="bottom"/>
          </w:tcPr>
          <w:p>
            <w:pPr>
              <w:spacing w:after="0"/>
              <w:rPr>
                <w:sz w:val="20"/>
                <w:szCs w:val="20"/>
                <w:color w:val="auto"/>
              </w:rPr>
            </w:pPr>
            <w:r>
              <w:rPr>
                <w:rFonts w:ascii="Arial" w:cs="Arial" w:eastAsia="Arial" w:hAnsi="Arial"/>
                <w:sz w:val="16"/>
                <w:szCs w:val="16"/>
                <w:b w:val="1"/>
                <w:bCs w:val="1"/>
                <w:color w:val="auto"/>
              </w:rPr>
              <w:t>October, 2013 Convertible Notes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color w:val="auto"/>
              </w:rPr>
              <w:t>Notes due in April, 2014</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94,444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56,044</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38,400</w:t>
            </w:r>
          </w:p>
        </w:tc>
      </w:tr>
      <w:tr>
        <w:trPr>
          <w:trHeight w:val="383"/>
        </w:trPr>
        <w:tc>
          <w:tcPr>
            <w:tcW w:w="4060" w:type="dxa"/>
            <w:vAlign w:val="bottom"/>
          </w:tcPr>
          <w:p>
            <w:pPr>
              <w:spacing w:after="0"/>
              <w:rPr>
                <w:sz w:val="20"/>
                <w:szCs w:val="20"/>
                <w:color w:val="auto"/>
              </w:rPr>
            </w:pPr>
            <w:r>
              <w:rPr>
                <w:rFonts w:ascii="Arial" w:cs="Arial" w:eastAsia="Arial" w:hAnsi="Arial"/>
                <w:sz w:val="16"/>
                <w:szCs w:val="16"/>
                <w:b w:val="1"/>
                <w:bCs w:val="1"/>
                <w:color w:val="auto"/>
              </w:rPr>
              <w:t>November, 2013 Convertible Notes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color w:val="auto"/>
              </w:rPr>
              <w:t>Notes due in May, 2014</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52,996</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27,004</w:t>
            </w:r>
          </w:p>
        </w:tc>
      </w:tr>
      <w:tr>
        <w:trPr>
          <w:trHeight w:val="383"/>
        </w:trPr>
        <w:tc>
          <w:tcPr>
            <w:tcW w:w="4060" w:type="dxa"/>
            <w:vAlign w:val="bottom"/>
          </w:tcPr>
          <w:p>
            <w:pPr>
              <w:spacing w:after="0"/>
              <w:rPr>
                <w:sz w:val="20"/>
                <w:szCs w:val="20"/>
                <w:color w:val="auto"/>
              </w:rPr>
            </w:pPr>
            <w:r>
              <w:rPr>
                <w:rFonts w:ascii="Arial" w:cs="Arial" w:eastAsia="Arial" w:hAnsi="Arial"/>
                <w:sz w:val="16"/>
                <w:szCs w:val="16"/>
                <w:b w:val="1"/>
                <w:bCs w:val="1"/>
                <w:color w:val="auto"/>
              </w:rPr>
              <w:t>December, 2013 Convertible Notes I</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color w:val="auto"/>
              </w:rPr>
              <w:t>Notes due May, 2014</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277,222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258,478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18,744</w:t>
            </w:r>
          </w:p>
        </w:tc>
      </w:tr>
      <w:tr>
        <w:trPr>
          <w:trHeight w:val="383"/>
        </w:trPr>
        <w:tc>
          <w:tcPr>
            <w:tcW w:w="4060" w:type="dxa"/>
            <w:vAlign w:val="bottom"/>
          </w:tcPr>
          <w:p>
            <w:pPr>
              <w:spacing w:after="0"/>
              <w:rPr>
                <w:sz w:val="20"/>
                <w:szCs w:val="20"/>
                <w:color w:val="auto"/>
              </w:rPr>
            </w:pPr>
            <w:r>
              <w:rPr>
                <w:rFonts w:ascii="Arial" w:cs="Arial" w:eastAsia="Arial" w:hAnsi="Arial"/>
                <w:sz w:val="16"/>
                <w:szCs w:val="16"/>
                <w:b w:val="1"/>
                <w:bCs w:val="1"/>
                <w:color w:val="auto"/>
              </w:rPr>
              <w:t>December, 2013 Convertible Notes II</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060" w:type="dxa"/>
            <w:vAlign w:val="bottom"/>
          </w:tcPr>
          <w:p>
            <w:pPr>
              <w:spacing w:after="0"/>
              <w:rPr>
                <w:sz w:val="20"/>
                <w:szCs w:val="20"/>
                <w:color w:val="auto"/>
              </w:rPr>
            </w:pPr>
            <w:r>
              <w:rPr>
                <w:rFonts w:ascii="Arial" w:cs="Arial" w:eastAsia="Arial" w:hAnsi="Arial"/>
                <w:sz w:val="16"/>
                <w:szCs w:val="16"/>
                <w:color w:val="auto"/>
              </w:rPr>
              <w:t>Notes due May, 2014</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536,400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536,400</w:t>
            </w:r>
          </w:p>
        </w:tc>
      </w:tr>
      <w:tr>
        <w:trPr>
          <w:trHeight w:val="25"/>
        </w:trPr>
        <w:tc>
          <w:tcPr>
            <w:tcW w:w="40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394"/>
        </w:trPr>
        <w:tc>
          <w:tcPr>
            <w:tcW w:w="40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80" w:type="dxa"/>
            <w:vAlign w:val="bottom"/>
          </w:tcPr>
          <w:p>
            <w:pPr>
              <w:spacing w:after="0"/>
              <w:rPr>
                <w:sz w:val="24"/>
                <w:szCs w:val="2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4,715,532</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1,017,921</w:t>
            </w:r>
          </w:p>
        </w:tc>
        <w:tc>
          <w:tcPr>
            <w:tcW w:w="120" w:type="dxa"/>
            <w:vAlign w:val="bottom"/>
          </w:tcPr>
          <w:p>
            <w:pPr>
              <w:spacing w:after="0"/>
              <w:rPr>
                <w:sz w:val="24"/>
                <w:szCs w:val="24"/>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535,634</w:t>
            </w:r>
          </w:p>
        </w:tc>
        <w:tc>
          <w:tcPr>
            <w:tcW w:w="2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3,161,977</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65"/>
        </w:trPr>
        <w:tc>
          <w:tcPr>
            <w:tcW w:w="4060" w:type="dxa"/>
            <w:vAlign w:val="bottom"/>
          </w:tcPr>
          <w:p>
            <w:pPr>
              <w:spacing w:after="0"/>
              <w:rPr>
                <w:sz w:val="24"/>
                <w:szCs w:val="24"/>
                <w:color w:val="auto"/>
              </w:rPr>
            </w:pPr>
          </w:p>
        </w:tc>
        <w:tc>
          <w:tcPr>
            <w:tcW w:w="2300" w:type="dxa"/>
            <w:vAlign w:val="bottom"/>
            <w:gridSpan w:val="3"/>
          </w:tcPr>
          <w:p>
            <w:pPr>
              <w:jc w:val="right"/>
              <w:ind w:right="500"/>
              <w:spacing w:after="0"/>
              <w:rPr>
                <w:sz w:val="20"/>
                <w:szCs w:val="20"/>
                <w:color w:val="auto"/>
              </w:rPr>
            </w:pPr>
            <w:r>
              <w:rPr>
                <w:rFonts w:ascii="Arial" w:cs="Arial" w:eastAsia="Arial" w:hAnsi="Arial"/>
                <w:sz w:val="16"/>
                <w:szCs w:val="16"/>
                <w:color w:val="auto"/>
              </w:rPr>
              <w:t>F-21</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406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677"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The following is a summary of debt instrument transactions that are relevant to the previous year: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Principal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Unamortized</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Balance at</w:t>
            </w:r>
          </w:p>
        </w:tc>
      </w:tr>
      <w:tr>
        <w:trPr>
          <w:trHeight w:val="197"/>
        </w:trPr>
        <w:tc>
          <w:tcPr>
            <w:tcW w:w="4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Repayment/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December 31,</w:t>
            </w:r>
          </w:p>
        </w:tc>
      </w:tr>
      <w:tr>
        <w:trPr>
          <w:trHeight w:val="218"/>
        </w:trPr>
        <w:tc>
          <w:tcPr>
            <w:tcW w:w="4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5"/>
              </w:rPr>
              <w:t>Face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Settlement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Discount</w:t>
            </w:r>
          </w:p>
        </w:tc>
        <w:tc>
          <w:tcPr>
            <w:tcW w:w="100" w:type="dxa"/>
            <w:vAlign w:val="bottom"/>
          </w:tcPr>
          <w:p>
            <w:pPr>
              <w:spacing w:after="0"/>
              <w:rPr>
                <w:sz w:val="18"/>
                <w:szCs w:val="18"/>
                <w:color w:val="auto"/>
              </w:rPr>
            </w:pPr>
          </w:p>
        </w:tc>
        <w:tc>
          <w:tcPr>
            <w:tcW w:w="1040" w:type="dxa"/>
            <w:vAlign w:val="bottom"/>
          </w:tcPr>
          <w:p>
            <w:pPr>
              <w:jc w:val="center"/>
              <w:ind w:right="18"/>
              <w:spacing w:after="0"/>
              <w:rPr>
                <w:sz w:val="20"/>
                <w:szCs w:val="20"/>
                <w:color w:val="auto"/>
              </w:rPr>
            </w:pPr>
            <w:r>
              <w:rPr>
                <w:rFonts w:ascii="Arial" w:cs="Arial" w:eastAsia="Arial" w:hAnsi="Arial"/>
                <w:sz w:val="16"/>
                <w:szCs w:val="16"/>
                <w:b w:val="1"/>
                <w:bCs w:val="1"/>
                <w:color w:val="auto"/>
                <w:w w:val="95"/>
              </w:rPr>
              <w:t>2012</w:t>
            </w:r>
          </w:p>
        </w:tc>
        <w:tc>
          <w:tcPr>
            <w:tcW w:w="100" w:type="dxa"/>
            <w:vAlign w:val="bottom"/>
          </w:tcPr>
          <w:p>
            <w:pPr>
              <w:spacing w:after="0"/>
              <w:rPr>
                <w:sz w:val="18"/>
                <w:szCs w:val="18"/>
                <w:color w:val="auto"/>
              </w:rPr>
            </w:pPr>
          </w:p>
        </w:tc>
      </w:tr>
      <w:tr>
        <w:trPr>
          <w:trHeight w:val="382"/>
        </w:trPr>
        <w:tc>
          <w:tcPr>
            <w:tcW w:w="4280" w:type="dxa"/>
            <w:vAlign w:val="bottom"/>
          </w:tcPr>
          <w:p>
            <w:pPr>
              <w:spacing w:after="0"/>
              <w:rPr>
                <w:sz w:val="20"/>
                <w:szCs w:val="20"/>
                <w:color w:val="auto"/>
              </w:rPr>
            </w:pPr>
            <w:r>
              <w:rPr>
                <w:rFonts w:ascii="Arial" w:cs="Arial" w:eastAsia="Arial" w:hAnsi="Arial"/>
                <w:sz w:val="16"/>
                <w:szCs w:val="16"/>
                <w:b w:val="1"/>
                <w:bCs w:val="1"/>
                <w:color w:val="auto"/>
              </w:rPr>
              <w:t>February 2011 Secured Convertible Notes</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Senior Secured Notes, due February 24, 2014</w:t>
            </w: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1,184,694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203,836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153,358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827,500</w:t>
            </w:r>
          </w:p>
        </w:tc>
      </w:tr>
      <w:tr>
        <w:trPr>
          <w:trHeight w:val="383"/>
        </w:trPr>
        <w:tc>
          <w:tcPr>
            <w:tcW w:w="4280" w:type="dxa"/>
            <w:vAlign w:val="bottom"/>
          </w:tcPr>
          <w:p>
            <w:pPr>
              <w:spacing w:after="0"/>
              <w:rPr>
                <w:sz w:val="20"/>
                <w:szCs w:val="20"/>
                <w:color w:val="auto"/>
              </w:rPr>
            </w:pPr>
            <w:r>
              <w:rPr>
                <w:rFonts w:ascii="Arial" w:cs="Arial" w:eastAsia="Arial" w:hAnsi="Arial"/>
                <w:sz w:val="16"/>
                <w:szCs w:val="16"/>
                <w:b w:val="1"/>
                <w:bCs w:val="1"/>
                <w:color w:val="auto"/>
              </w:rPr>
              <w:t>April 2011 Secured Convertible Notes</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Senior Secured Notes, due April 4, 2014</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215,000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43,140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171,860</w:t>
            </w:r>
          </w:p>
        </w:tc>
      </w:tr>
      <w:tr>
        <w:trPr>
          <w:trHeight w:val="383"/>
        </w:trPr>
        <w:tc>
          <w:tcPr>
            <w:tcW w:w="4280" w:type="dxa"/>
            <w:vAlign w:val="bottom"/>
          </w:tcPr>
          <w:p>
            <w:pPr>
              <w:spacing w:after="0"/>
              <w:rPr>
                <w:sz w:val="20"/>
                <w:szCs w:val="20"/>
                <w:color w:val="auto"/>
              </w:rPr>
            </w:pPr>
            <w:r>
              <w:rPr>
                <w:rFonts w:ascii="Arial" w:cs="Arial" w:eastAsia="Arial" w:hAnsi="Arial"/>
                <w:sz w:val="16"/>
                <w:szCs w:val="16"/>
                <w:b w:val="1"/>
                <w:bCs w:val="1"/>
                <w:color w:val="auto"/>
              </w:rPr>
              <w:t>June 2011 Secured Convertible Note</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Senior Secured Notes, due June 6, 2014</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26,047</w:t>
            </w:r>
          </w:p>
        </w:tc>
      </w:tr>
      <w:tr>
        <w:trPr>
          <w:trHeight w:val="383"/>
        </w:trPr>
        <w:tc>
          <w:tcPr>
            <w:tcW w:w="4280" w:type="dxa"/>
            <w:vAlign w:val="bottom"/>
          </w:tcPr>
          <w:p>
            <w:pPr>
              <w:spacing w:after="0"/>
              <w:rPr>
                <w:sz w:val="20"/>
                <w:szCs w:val="20"/>
                <w:color w:val="auto"/>
              </w:rPr>
            </w:pPr>
            <w:r>
              <w:rPr>
                <w:rFonts w:ascii="Arial" w:cs="Arial" w:eastAsia="Arial" w:hAnsi="Arial"/>
                <w:sz w:val="16"/>
                <w:szCs w:val="16"/>
                <w:b w:val="1"/>
                <w:bCs w:val="1"/>
                <w:color w:val="auto"/>
              </w:rPr>
              <w:t>August 8, 2012 Convertible Note</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Note due August 8, 2013</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111,430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67,163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44,267</w:t>
            </w:r>
          </w:p>
        </w:tc>
      </w:tr>
      <w:tr>
        <w:trPr>
          <w:trHeight w:val="383"/>
        </w:trPr>
        <w:tc>
          <w:tcPr>
            <w:tcW w:w="4280" w:type="dxa"/>
            <w:vAlign w:val="bottom"/>
          </w:tcPr>
          <w:p>
            <w:pPr>
              <w:spacing w:after="0"/>
              <w:rPr>
                <w:sz w:val="20"/>
                <w:szCs w:val="20"/>
                <w:color w:val="auto"/>
              </w:rPr>
            </w:pPr>
            <w:r>
              <w:rPr>
                <w:rFonts w:ascii="Arial" w:cs="Arial" w:eastAsia="Arial" w:hAnsi="Arial"/>
                <w:sz w:val="16"/>
                <w:szCs w:val="16"/>
                <w:b w:val="1"/>
                <w:bCs w:val="1"/>
                <w:color w:val="auto"/>
              </w:rPr>
              <w:t>August 12, 2012 Convertible Note</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Note became due November 12, 2012</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27,500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27,500</w:t>
            </w:r>
          </w:p>
        </w:tc>
      </w:tr>
      <w:tr>
        <w:trPr>
          <w:trHeight w:val="383"/>
        </w:trPr>
        <w:tc>
          <w:tcPr>
            <w:tcW w:w="4280" w:type="dxa"/>
            <w:vAlign w:val="bottom"/>
          </w:tcPr>
          <w:p>
            <w:pPr>
              <w:spacing w:after="0"/>
              <w:rPr>
                <w:sz w:val="20"/>
                <w:szCs w:val="20"/>
                <w:color w:val="auto"/>
              </w:rPr>
            </w:pPr>
            <w:r>
              <w:rPr>
                <w:rFonts w:ascii="Arial" w:cs="Arial" w:eastAsia="Arial" w:hAnsi="Arial"/>
                <w:sz w:val="16"/>
                <w:szCs w:val="16"/>
                <w:b w:val="1"/>
                <w:bCs w:val="1"/>
                <w:color w:val="auto"/>
              </w:rPr>
              <w:t>August 20, 2012 Convertible Note</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Note due August 20, 2013</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12,712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7,288</w:t>
            </w:r>
          </w:p>
        </w:tc>
      </w:tr>
      <w:tr>
        <w:trPr>
          <w:trHeight w:val="383"/>
        </w:trPr>
        <w:tc>
          <w:tcPr>
            <w:tcW w:w="4280" w:type="dxa"/>
            <w:vAlign w:val="bottom"/>
          </w:tcPr>
          <w:p>
            <w:pPr>
              <w:spacing w:after="0"/>
              <w:rPr>
                <w:sz w:val="20"/>
                <w:szCs w:val="20"/>
                <w:color w:val="auto"/>
              </w:rPr>
            </w:pPr>
            <w:r>
              <w:rPr>
                <w:rFonts w:ascii="Arial" w:cs="Arial" w:eastAsia="Arial" w:hAnsi="Arial"/>
                <w:sz w:val="16"/>
                <w:szCs w:val="16"/>
                <w:b w:val="1"/>
                <w:bCs w:val="1"/>
                <w:color w:val="auto"/>
              </w:rPr>
              <w:t>September 18, 2012 Convertible Note</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Note due October 1, 2013</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82,500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59,741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22,759</w:t>
            </w:r>
          </w:p>
        </w:tc>
      </w:tr>
      <w:tr>
        <w:trPr>
          <w:trHeight w:val="383"/>
        </w:trPr>
        <w:tc>
          <w:tcPr>
            <w:tcW w:w="4280" w:type="dxa"/>
            <w:vAlign w:val="bottom"/>
          </w:tcPr>
          <w:p>
            <w:pPr>
              <w:spacing w:after="0"/>
              <w:rPr>
                <w:sz w:val="20"/>
                <w:szCs w:val="20"/>
                <w:color w:val="auto"/>
              </w:rPr>
            </w:pPr>
            <w:r>
              <w:rPr>
                <w:rFonts w:ascii="Arial" w:cs="Arial" w:eastAsia="Arial" w:hAnsi="Arial"/>
                <w:sz w:val="16"/>
                <w:szCs w:val="16"/>
                <w:b w:val="1"/>
                <w:bCs w:val="1"/>
                <w:color w:val="auto"/>
              </w:rPr>
              <w:t>October 9, 2012 Convertible Notes</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Note due April 30, 2013</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100,000</w:t>
            </w:r>
          </w:p>
        </w:tc>
      </w:tr>
      <w:tr>
        <w:trPr>
          <w:trHeight w:val="383"/>
        </w:trPr>
        <w:tc>
          <w:tcPr>
            <w:tcW w:w="4280" w:type="dxa"/>
            <w:vAlign w:val="bottom"/>
          </w:tcPr>
          <w:p>
            <w:pPr>
              <w:spacing w:after="0"/>
              <w:rPr>
                <w:sz w:val="20"/>
                <w:szCs w:val="20"/>
                <w:color w:val="auto"/>
              </w:rPr>
            </w:pPr>
            <w:r>
              <w:rPr>
                <w:rFonts w:ascii="Arial" w:cs="Arial" w:eastAsia="Arial" w:hAnsi="Arial"/>
                <w:sz w:val="16"/>
                <w:szCs w:val="16"/>
                <w:b w:val="1"/>
                <w:bCs w:val="1"/>
                <w:color w:val="auto"/>
              </w:rPr>
              <w:t>October 2012 Convertible Note</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Note due October 15, 2013</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340,000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268,275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71,725</w:t>
            </w:r>
          </w:p>
        </w:tc>
      </w:tr>
      <w:tr>
        <w:trPr>
          <w:trHeight w:val="383"/>
        </w:trPr>
        <w:tc>
          <w:tcPr>
            <w:tcW w:w="4280" w:type="dxa"/>
            <w:vAlign w:val="bottom"/>
          </w:tcPr>
          <w:p>
            <w:pPr>
              <w:spacing w:after="0"/>
              <w:rPr>
                <w:sz w:val="20"/>
                <w:szCs w:val="20"/>
                <w:color w:val="auto"/>
              </w:rPr>
            </w:pPr>
            <w:r>
              <w:rPr>
                <w:rFonts w:ascii="Arial" w:cs="Arial" w:eastAsia="Arial" w:hAnsi="Arial"/>
                <w:sz w:val="16"/>
                <w:szCs w:val="16"/>
                <w:b w:val="1"/>
                <w:bCs w:val="1"/>
                <w:color w:val="auto"/>
              </w:rPr>
              <w:t>November 1, 2012 Convertible Note</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Note due April 30, 2013</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31,471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18,200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13,271</w:t>
            </w:r>
          </w:p>
        </w:tc>
      </w:tr>
      <w:tr>
        <w:trPr>
          <w:trHeight w:val="383"/>
        </w:trPr>
        <w:tc>
          <w:tcPr>
            <w:tcW w:w="4280" w:type="dxa"/>
            <w:vAlign w:val="bottom"/>
          </w:tcPr>
          <w:p>
            <w:pPr>
              <w:spacing w:after="0"/>
              <w:rPr>
                <w:sz w:val="20"/>
                <w:szCs w:val="20"/>
                <w:color w:val="auto"/>
              </w:rPr>
            </w:pPr>
            <w:r>
              <w:rPr>
                <w:rFonts w:ascii="Arial" w:cs="Arial" w:eastAsia="Arial" w:hAnsi="Arial"/>
                <w:sz w:val="16"/>
                <w:szCs w:val="16"/>
                <w:b w:val="1"/>
                <w:bCs w:val="1"/>
                <w:color w:val="auto"/>
              </w:rPr>
              <w:t>November 20, 2012 Convertible Note</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Note due November 20, 2013</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55,710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49,605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6,105</w:t>
            </w:r>
          </w:p>
        </w:tc>
      </w:tr>
      <w:tr>
        <w:trPr>
          <w:trHeight w:val="383"/>
        </w:trPr>
        <w:tc>
          <w:tcPr>
            <w:tcW w:w="4280" w:type="dxa"/>
            <w:vAlign w:val="bottom"/>
          </w:tcPr>
          <w:p>
            <w:pPr>
              <w:spacing w:after="0"/>
              <w:rPr>
                <w:sz w:val="20"/>
                <w:szCs w:val="20"/>
                <w:color w:val="auto"/>
              </w:rPr>
            </w:pPr>
            <w:r>
              <w:rPr>
                <w:rFonts w:ascii="Arial" w:cs="Arial" w:eastAsia="Arial" w:hAnsi="Arial"/>
                <w:sz w:val="16"/>
                <w:szCs w:val="16"/>
                <w:b w:val="1"/>
                <w:bCs w:val="1"/>
                <w:color w:val="auto"/>
              </w:rPr>
              <w:t>December 14, 2012 Convertible Note</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Note due April 18, 2013</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189,210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81,302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107,908</w:t>
            </w:r>
          </w:p>
        </w:tc>
      </w:tr>
      <w:tr>
        <w:trPr>
          <w:trHeight w:val="383"/>
        </w:trPr>
        <w:tc>
          <w:tcPr>
            <w:tcW w:w="4280" w:type="dxa"/>
            <w:vAlign w:val="bottom"/>
          </w:tcPr>
          <w:p>
            <w:pPr>
              <w:spacing w:after="0"/>
              <w:rPr>
                <w:sz w:val="20"/>
                <w:szCs w:val="20"/>
                <w:color w:val="auto"/>
              </w:rPr>
            </w:pPr>
            <w:r>
              <w:rPr>
                <w:rFonts w:ascii="Arial" w:cs="Arial" w:eastAsia="Arial" w:hAnsi="Arial"/>
                <w:sz w:val="16"/>
                <w:szCs w:val="16"/>
                <w:b w:val="1"/>
                <w:bCs w:val="1"/>
                <w:color w:val="auto"/>
              </w:rPr>
              <w:t>December 18, 2012 Convertible Note</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4280" w:type="dxa"/>
            <w:vAlign w:val="bottom"/>
          </w:tcPr>
          <w:p>
            <w:pPr>
              <w:spacing w:after="0"/>
              <w:rPr>
                <w:sz w:val="20"/>
                <w:szCs w:val="20"/>
                <w:color w:val="auto"/>
              </w:rPr>
            </w:pPr>
            <w:r>
              <w:rPr>
                <w:rFonts w:ascii="Arial" w:cs="Arial" w:eastAsia="Arial" w:hAnsi="Arial"/>
                <w:sz w:val="16"/>
                <w:szCs w:val="16"/>
                <w:color w:val="auto"/>
              </w:rPr>
              <w:t>Note due December 14, 2013</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50,000</w:t>
            </w:r>
          </w:p>
        </w:tc>
      </w:tr>
      <w:tr>
        <w:trPr>
          <w:trHeight w:val="197"/>
        </w:trPr>
        <w:tc>
          <w:tcPr>
            <w:tcW w:w="4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166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2,437,515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203,836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757,449</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1,476,230</w:t>
            </w:r>
          </w:p>
        </w:tc>
        <w:tc>
          <w:tcPr>
            <w:tcW w:w="100" w:type="dxa"/>
            <w:vAlign w:val="bottom"/>
          </w:tcPr>
          <w:p>
            <w:pPr>
              <w:spacing w:after="0"/>
              <w:rPr>
                <w:sz w:val="17"/>
                <w:szCs w:val="17"/>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64"/>
        </w:trPr>
        <w:tc>
          <w:tcPr>
            <w:tcW w:w="4280" w:type="dxa"/>
            <w:vAlign w:val="bottom"/>
          </w:tcPr>
          <w:p>
            <w:pPr>
              <w:spacing w:after="0"/>
              <w:rPr>
                <w:sz w:val="24"/>
                <w:szCs w:val="24"/>
                <w:color w:val="auto"/>
              </w:rPr>
            </w:pPr>
          </w:p>
        </w:tc>
        <w:tc>
          <w:tcPr>
            <w:tcW w:w="1940" w:type="dxa"/>
            <w:vAlign w:val="bottom"/>
            <w:gridSpan w:val="3"/>
          </w:tcPr>
          <w:p>
            <w:pPr>
              <w:jc w:val="right"/>
              <w:ind w:right="283"/>
              <w:spacing w:after="0"/>
              <w:rPr>
                <w:sz w:val="20"/>
                <w:szCs w:val="20"/>
                <w:color w:val="auto"/>
              </w:rPr>
            </w:pPr>
            <w:r>
              <w:rPr>
                <w:rFonts w:ascii="Arial" w:cs="Arial" w:eastAsia="Arial" w:hAnsi="Arial"/>
                <w:sz w:val="16"/>
                <w:szCs w:val="16"/>
                <w:color w:val="auto"/>
              </w:rPr>
              <w:t>F-22</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42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February 2011 Secured Convertible Notes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February 24, 2011, the Company entered into a securities purchase agreement with accredited investors to place Senior Secured Convertible Notes (the “February 2011 Notes”) with a maturity date of three years after the issuance thereof in the aggregate principal amount of $1,184,694. Consideration under the notes consisted of $944,694 in cash proceeds, including accrued interest.</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February 2011 Notes bear interest at the rate of 10% per annum except in case of default, in which case they bear interest at the rate of 20% per annum. The Company paid a finders’ fee of $41,500 on the notes.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February 2011 Notes, the Company issued 23,694 warrants, exercisable into common stock at $25.00 with five year terms.</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has allocated the net proceeds to the warrants based on the calculated fair value at the date of issuance. The fair value of the warrants was recorded at $483,355 and recognized as derivative liabilities and the debt was recorded at $701,339. The fair value of the warrants was calculated using the Binomial option pricing model under the following assumptions: estimated life of five years, risk free rate of 2.06%, dividend yield of 0% and volatility of 199%. The debt discount is being accreted over the three year term of the February 2011 Notes using the effective interest rate method.</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ended December 31, 2012, one of the investors settled the principal amount of $203,836 and accrued interest of $16,419 of the February 2011 Notes in exchange for December 14, 2012 Convertible Note (the “December 14, 2012 Note”).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April 2011 Secured Convertible Notes</w:t>
      </w:r>
    </w:p>
    <w:p>
      <w:pPr>
        <w:spacing w:after="0" w:line="23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 April 4, 2011, the Company entered into a securities purchase agreement with accredited investors to place Senior Secured Convertible Notes (the “April 2011 Notes”) with a maturity date of three years after the issuance thereof in the aggregate principal amount of $215,000. Consideration under the notes consisted of $190,000 in cash proceeds, and $25,000 was subscribed for by a holder of 2010 Notes in exchange for the extinguishment of warrants related to the 2010 Notes.</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April 2011 Notes bear interest at the rate of 10% per annum except in case of default, in which case they bear interest at the rate of 20% per annum. The Company paid a finders’ fee of $4,550.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April 2011 Notes, the Company issued 4,300 warrants, exercisable into common stock at $25.00 with 2 year terms.</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has allocated the net proceeds to the warrants based on the calculated fair value. The fair value of the warrants was recorded at $130,720 and recognized as derivative liabilities and the debt was recorded at $84,280. The fair value of the warrants was calculated using the Binomial option pricing model under the following assumptions: estimated life of two years, risk free rate of 0.77%, dividend yield of 0% and volatility of 199%. The debt discount is being accreted over the three year term of the April 2011 Notes using the effective interest rate method.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June 2011 Secured Convertible Note</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6, 2011, the Company entered into a securities purchase agreement with accredited investors to place Senior Secured Convertible Note (the “June 2011 Note”) with a maturity date of three years after the issuance thereof in the aggregate principal amount of $30,000.</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June 2011 Note bears interest at the rate of 10% per annum except in case of default, in which case it bears interest at the rate of 20% per annum. In connection with the issuance of the June 2011 Note, the Company issued 600 warrants, exercisable into common stock at $25.00 with two year terms.</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has allocated the net proceeds to the warrants based on the calculated fair value. The fair value of the warrants was recorded at $8,280 and recognized as derivative liabilities and the debt was recorded at $21,720. The fair value of the warrants was calculated using the Binomial option pricing model under the following assumptions: estimated life of two years, risk free rate of 0.43%, dividend yield of 0% and volatility of 199%. The debt discount is being accreted over the three year term of the June 2011 Note using the effective interest rate method.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August 8, 2012 Convertible Note</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August 8, 2012, the Company entered into a securities purchase agreement with accredited investors to place a Convertible Note (the “August 8, 2012 Note”) with a maturity date of one year after the issuance thereof in the aggregate principal amount of $111,430. Consideration under the notes consisted of $92,000 in cash proceeds after $8,000 payment of finders’ fee and an original issue discount of $11,430.</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77" w:right="239" w:bottom="1440" w:gutter="0" w:footer="0" w:header="0"/>
        </w:sectPr>
      </w:pPr>
    </w:p>
    <w:bookmarkStart w:id="45" w:name="page46"/>
    <w:bookmarkEnd w:id="45"/>
    <w:p>
      <w:pPr>
        <w:jc w:val="both"/>
        <w:spacing w:after="0" w:line="267" w:lineRule="auto"/>
        <w:rPr>
          <w:sz w:val="20"/>
          <w:szCs w:val="20"/>
          <w:color w:val="auto"/>
        </w:rPr>
      </w:pPr>
      <w:r>
        <w:rPr>
          <w:rFonts w:ascii="Arial" w:cs="Arial" w:eastAsia="Arial" w:hAnsi="Arial"/>
          <w:sz w:val="16"/>
          <w:szCs w:val="16"/>
          <w:color w:val="auto"/>
        </w:rPr>
        <w:t>The Company allocated the net proceeds to the conversion option based on the calculated fair value. The fair value of the conversion option was recorded at $100,000 and recognized as a derivative liability and the debt was recorded at $nil. The fair value of the conversion option was calculated using the Binomial option pricing model under the following assumptions: estimated life of one year, risk free rate of 0.19%, dividend yield of 0% and volatility of 139.77%. The debt discount was being accreted over the one year term of the August 8, 2012 Note using the effective interest rate method.</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ended December 31, 2013, the investor converted the principal amount of $111,430 and accrued interest of the August 8, 2012 Note into common shares (Note 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August 12, 2012 Convertible Note</w:t>
      </w:r>
    </w:p>
    <w:p>
      <w:pPr>
        <w:spacing w:after="0" w:line="239"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On August 12, 2012, the Company entered into a securities purchase agreement with accredited investors to place a Convertible Note (the “August 12, 2012 Note”) with a maturity date of three months after the issuance thereof in the aggregate principal amount of $27,500. Consideration under the notes consisted of $25,000 in cash proceeds after an original issue discount of $2,500. The agreement provides for the Company to issue 500 shares to the note holder as risk premium. The 500 shares were valued at $6,250 and recorded as loss on debt financing and obligation to issue shares. The August 12, 2012 Note bears interest at the rate of 10% per annum.</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Company allocated the net proceeds to the conversion option based on the calculated fair value. The fair value of the conversion option was recorded at $31,100 and recognized as a derivative liability and the debt was recorded at $nil. The transaction resulted in an accounting loss on debt financing of $6,100. The fair value of the conversion option was calculated using the Binomial option pricing model under the following assumptions: estimated life of three months, risk free rate of 0.11%, dividend yield of 0% and volatility of 138.31%. The debt discount was accreted over the three month term of the August 12, 2012 Note using the effective interest rate method.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August 20, 2012 Convertible Note</w:t>
      </w:r>
    </w:p>
    <w:p>
      <w:pPr>
        <w:spacing w:after="0" w:line="239"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On August 20, 2012, the Company entered into a securities purchase agreement with accredited investors to place a Convertible Note (the “August 20, 2012 Note”) with a maturity date of one year after the issuance thereof in the aggregate principal amount of $20,000. The August 20, 2012 Note bears interest at the rate of 8% per annum.</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Company allocated the net proceeds to the conversion option based on the calculated fair value. The fair value of the conversion option was recorded at $36,100 and recognized as a derivative liability and the debt was recorded at $nil. The transaction resulted in an accounting loss on debt financing of $16,100. The fair value of the conversion option was calculated using the Binomial option pricing model under the following assumptions: estimated life of one year, risk free rate of 0.19%, dividend yield of 0% and volatility of 140.11%. The debt discount is being accreted over the one year term of the August 20, 2012 Note using the effective interest rate method.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18, 2012 Convertible Note</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September 18, 2012, the Company entered into a securities purchase agreement with accredited investors to place a Convertible Note (the “September 18, 2012 Note”) with a maturity date of one year after the issuance thereof in the aggregate principal amount of $82,500. Consideration under the notes consisted of $69,000 in cash proceeds after $6,000 payment of finders’ fee and an original issue discount of $7,500.</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allocated the net proceeds to the conversion option based on the calculated fair value. The fair value of the conversion option was recorded at $75,000 and recognized as a derivative liability and the debt was recorded at $nil. The fair value of the conversion option was calculated using the Binomial option pricing model under the following assumptions: estimated life of one year, risk free rate of 0.20%, dividend yield of 0% and volatility of 141.43%. The debt discount was accreted over the one year term of the September, 2012 Note using the effective interest rate method.</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ended December 31, 2013, the investor converted the principal amount and accrued interest of $81,360 into common shares (Note 9). Of the balance of $24,990 remaining, the Company repaid $20,000 in full settlement and recognized $4,990 as gain on settlement of debt.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October 2012 Convertible Note</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October 15, 2012, the Company entered into a securities purchase agreement with an accredited investor to place a Convertible Note (the “October 2012 Note”) with a maturity date of one year after the issuance thereof in the aggregate principal amount of $340,000. Consideration under the notes consisted of $310,000 in cash proceeds after $10,000 payment of legal fee and an original issue discount of $30,000. The October 2012 Note carries an interest rate of 8%.</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agreement, the Company also issued 30,000 warrants to the note holder exercisable at $25.00 per share expiring on October 31, 2016.</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46" w:name="page47"/>
    <w:bookmarkEnd w:id="46"/>
    <w:p>
      <w:pPr>
        <w:jc w:val="both"/>
        <w:spacing w:after="0" w:line="267" w:lineRule="auto"/>
        <w:rPr>
          <w:sz w:val="20"/>
          <w:szCs w:val="20"/>
          <w:color w:val="auto"/>
        </w:rPr>
      </w:pPr>
      <w:r>
        <w:rPr>
          <w:rFonts w:ascii="Arial" w:cs="Arial" w:eastAsia="Arial" w:hAnsi="Arial"/>
          <w:sz w:val="16"/>
          <w:szCs w:val="16"/>
          <w:color w:val="auto"/>
        </w:rPr>
        <w:t>The Company has allocated the net proceeds to the conversion option and equity based on the calculated fair value. The fair value of the conversion option was recorded at $248,000 and recognized as a derivative liability and the equity was recorded at $62,000. The fair value of the conversion option was calculated using the Binomial option pricing model under the following assumptions: estimated life of one year, risk free rate of 0.19%, dividend yield of 0% and volatility of 139.16%. The debt discount has being accreted over the one year term of the October 2012 Note using the effective interest rate method.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October 9, 2012 Convertible Note</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October 9, 2012, the Company converted accounts payable of $100,000 into convertible notes (the “October 9, 2012 Note”). The note has no terms of repayment and no interest charges. Only under certain events of default the note will incur an interest rate of 20% per year.</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ended December 31, 2013, the note was amended and assigned to a third party with price adjustment features ratified by the Company and converted into 53,690 shares of the Company(Note 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November 1, 2012 Convertible Note</w:t>
      </w:r>
    </w:p>
    <w:p>
      <w:pPr>
        <w:spacing w:after="0" w:line="239"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During the year, the Company converted a promissory note of $100,000 (Note 7) with an accredited investor into three convertible notes of $105,000 cumulatively. The three convertible notes were assigned to a third party, of which, two notes were converted into equity. In November and December 2012, the Note holder converted $73,737 of principal and interest into 12,627 shares. The fair value of the shares was determined to be $140,538 based on the quoted market prices. (Note 9).The third Convertible Note (the “November 1, 2012 Note”) was issued with a maturity date of six months in the aggregate principal amount of $31,471.</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November 1, 2012 Note bears interest at the rate of 10% per annum starting on November 15, 2012. If the Company is in default under certain events, the November 1, 2012 Note shall incur interest at the rate of 20% per annum retroactively.</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Company has allocated $31,471 of the balance of the November 1, 2012 Note to the conversion option and debt based on the calculated fair value. The fair value of the conversion option was recorded at $27,300 and recognized as a derivative liability and the debt was recorded at $4,171. The fair value of the conversion option was calculated using the Binomial option pricing model under the following assumptions: estimated life of 0.49 year, risk free rate of 0.09%, dividend yield of 0% and volatility of 127.26%. The debt discount is being accreted over the 0.49 year term of the November 1, 2012 Note using the effective interest rate method.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2013, the investor converted the November 1, 2012 Note and accrued interest into 5,128 common shares (Note 9).</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November 20, 2012 Convertible Note</w:t>
      </w:r>
    </w:p>
    <w:p>
      <w:pPr>
        <w:spacing w:after="0" w:line="239" w:lineRule="exact"/>
        <w:rPr>
          <w:sz w:val="20"/>
          <w:szCs w:val="20"/>
          <w:color w:val="auto"/>
        </w:rPr>
      </w:pPr>
    </w:p>
    <w:p>
      <w:pPr>
        <w:jc w:val="both"/>
        <w:spacing w:after="0" w:line="329" w:lineRule="auto"/>
        <w:rPr>
          <w:sz w:val="20"/>
          <w:szCs w:val="20"/>
          <w:color w:val="auto"/>
        </w:rPr>
      </w:pPr>
      <w:r>
        <w:rPr>
          <w:rFonts w:ascii="Arial" w:cs="Arial" w:eastAsia="Arial" w:hAnsi="Arial"/>
          <w:sz w:val="14"/>
          <w:szCs w:val="14"/>
          <w:color w:val="auto"/>
        </w:rPr>
        <w:t>On November 20, 2012, the Company entered into a securities purchase agreement with an accredited investor to place a Convertible Note (the “November 20, 2012 Note”) with a maturity date of one year after the issuance thereof in the aggregate principal amount of $55,710. Consideration under the notes consisted of $50,000 in cash proceeds after $4,000 payment of finder’s fee and an original issue discount of $5,710. A one-time interest of 5% was applied to the principal sum of the note as part of the agreement.</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has allocated the net proceeds to the conversion option based on the calculated fair value. The fair value of the conversion option was recorded at $50,000 and recognized as a derivative liability and the debt was recorded at $nil. The fair value of the conversion option was calculated using the Binomial option pricing model under the following assumptions: estimated life of one year, risk free rate of 0.16%, dividend yield of 0% and volatility of 134.71%. The debt discount is being accreted over the one year term of the November 20, 2012 Note using the effective interest rate method.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14, 2012 Convertible Note</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December 14, 2012, the Company converted part of the February 2011 Notes in the amount of $220,255 into a Convertible Note (the “December 14, 2012 Note”) with a maturity date of four months after the issuance thereof in the aggregate principal amount of $252,280. Consideration under the notes consisted of $220,255 from February 2011 Notes, $10,000 payment of legal fee and an original issue discount of $22,025. The December 14, 2012 Note bears interest at the rate of 8% per annum. In the event of default under certain conditions, the interest will accrue at the rate of 18% per annum.</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December 2012, the December 14, 2012 Note was assigned to a third party and the Company paid the first installment of $65,032 consisting of principal and interest in 10,785 shares. The fair value of the shares was determined to be $96,523 based on the quoted market price of $9.00 per share. (Note 9).</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47" w:name="page48"/>
    <w:bookmarkEnd w:id="47"/>
    <w:p>
      <w:pPr>
        <w:jc w:val="both"/>
        <w:spacing w:after="0" w:line="290" w:lineRule="auto"/>
        <w:rPr>
          <w:sz w:val="20"/>
          <w:szCs w:val="20"/>
          <w:color w:val="auto"/>
        </w:rPr>
      </w:pPr>
      <w:r>
        <w:rPr>
          <w:rFonts w:ascii="Arial" w:cs="Arial" w:eastAsia="Arial" w:hAnsi="Arial"/>
          <w:sz w:val="15"/>
          <w:szCs w:val="15"/>
          <w:color w:val="auto"/>
        </w:rPr>
        <w:t>The Company has allocated $189,210 of the balance of the December 14, 2012 Note to the conversion option and debt based on the calculated fair value. The fair value of the conversion option was recorded at $94,100 and recognized as a derivative liability and the debt was recorded at $95,110. The fair value of the conversion option was calculated using the Binomial option pricing model under the following assumptions: estimated life of 0.35 year, risk free rate of 0.06%, dividend yield of 0% and volatility of 100.88%. The debt discount is being accreted over the 0.45 year term of the December 14, 2012 Note using the effective interest rate method.</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ended December 31, 2013, the investor converted the remaining balance of the note and accrued interest of $189,210 on the December 14, 2012 Note into common shares (Note 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18, 2012 Convertible Note</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December 18, 2012, the Company entered into a securities purchase agreement with accredited investors to place convertible notes (the “December 18, 2012 Notes”) with a maturity date of one year after the issuance thereof in the aggregate principal amount of $50,000. The December 18, 2012 Notes carry an interest rate of 9%, due and payable on the maturity date.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January 5, 2013 Convertible Notes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5, 2013, the Company exchanged amounts due to a consultant and related parties into convertible notes (the “January 5, 2013 Notes”) with no terms of repayment and no interest charges in the aggregate principal amount of $567,729, of which, $330,000 is due to related parties.</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July, 2013, the consultant assigned $115,000 of the convertible note to a third party with amendments to adjustment of conversion price ratified by the Company. As of December 31, 2013, $452,729 of the January 5, 2013 Notes is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January 31, 2013 Convertible Note</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31, 2013, the Company converted accounts payable of $24,134 into a convertible note (the “January 31, 2013 Note”) with a maturity date of sixteen months. The note has no terms of repayment and no interest charges. The conversion of the note occurs under the following conditions:</w:t>
      </w:r>
    </w:p>
    <w:p>
      <w:pPr>
        <w:spacing w:after="0" w:line="174"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On the date that Company files a certificate of designation creating a class of Series A convertible preferred stock (“Series A Convertible Preferred Stock”) (i) with voting rights per share equal to one thousand (1,000) shares of common stock at the rate of five shares of common stock (on a post-reverse stock split basis) for each share of Series A Convertible Preferred Stock and (ii) that are automatically convertible into common shares upon the occurrence of a 100:1 reverse stock split, the Company may convert the January 31, 2013 Note into shares of Series A Convertible Preferred Stock at a conversion price of four dollars ($4) per share of Series A Convertible Preferred Stock. If the Series A Convertible Preferred Stock is duly authorized and outstanding, on the date that the Company enacts a 100:1 reverse stock split, the January 31, 2013 Note will automatically convert into shares of Series A Convertible Preferred Stock at a conversion price of four dollars ($4) per share of Series A Convertible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February 27, 2013 Convertible Note</w:t>
      </w:r>
    </w:p>
    <w:p>
      <w:pPr>
        <w:spacing w:after="0" w:line="23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 February 27, 2013, the Company entered into a securities purchase agreement with an accredited investor to place a Convertible Note (the “February 27, 2013 Note”) with a maturity date of one year after the issuance thereof in the aggregate principal amount of $58,500. Consideration under the notes consisted of $46,000 in cash proceeds after $4,000 payment of finders’ fee and an original issue discount of $8,500. The Company accrued a one-time interest of 5% as per the agreement.</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has allocated the net proceeds to the conversion option based on the calculated fair value. The fair value of the conversion option was recorded at $44,700 and recognized as a derivative liability and the debt was recorded at $5,300. The fair value of the conversion option was calculated using the Binomial option pricing model under the following assumptions: estimated life of one year, risk free rate of 0.17%, dividend yield of 0% and volatility of 123.76%. The debt discount is being accreted over the one year term of the February 27, 2013 Note using the effective interest rate method.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April 2, 2013 Convertible Note</w:t>
      </w:r>
    </w:p>
    <w:p>
      <w:pPr>
        <w:spacing w:after="0" w:line="23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 April 2, 2013, the Company exchanged accounts payable into convertible notes (the “April 2, 2013 Note”) in the aggregate principal amount of $80,967. The note holder has the option to convert a portion or all of the outstanding balance of the note into shares of the Company’s common stock at a conversion rate of $7.00 per share. The note will incur an interest rate of 8% per year unless the Company defaults under certain conditions, in which case, the note will incur an interest rate of 20% per year.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April 18, 2013 Convertible Note</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April 18, 2013, the Company entered into a securities purchase agreement with an accredited investor to place a Convertible Note (the “April 18, 2013 Note”) with a maturity date of eight months after the issuance thereof in the aggregate principal amount of $60,000. Consideration under the notes consisted of $50,000 in cash proceeds after $5,000 payment of transaction costs and an original issue discount of $5,000. The April 18, 2013 Note carries an interest rate of 8% per year unless the note is in default under certain conditions, in which case, the interest rate would be 18% per year.</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has allocated the net proceeds to the conversion option based on the calculated fair value. The fair value of the conversion option was recorded at $27,800 and recognized as a derivative liability and the debt was recorded at $27,200. The fair value of the conversion option was calculated using the Binomial option pricing model under the following assumptions: estimated life of eight months, risk free rate of 0.10%, dividend yield of 0% and volatility of 115.82%. The debt discount is being accreted over the eight month term of the April 18, 2013 Note using the effective interest rate method.</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ended December 31, 2013, the investor converted $31,733, part of the principal and accrued interest on the April 18, 2013 Note, into common shares (Note 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May 2, 2013 Convertible Notes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May 2, 2013, the Company issued convertible notes (the “May 2, 2013 Note”) in the aggregate principal amount of $50,000. The note matures on May 31, 2014 and would only start to accrue interest of 10% per year after February 15, 2014. The note is automatically convertible into Series B convertible preferred shares (‘Series B Preferred Shares”) when the Company enacts a 100:1 reverse stock split, where each of the Series B Preferred Shares are convertible at the rate of seven shares of common stock (Note 15).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May 5, 2013 Convertible Note</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May 5, 2013, the Company exchanged accounts payable into convertible notes (the “May 5, 2013 Note”) in the aggregate principal amount of $45,000. The note holder has the option to convert a portion or all of the outstanding balance of the May 5, 2013 Note into shares of the Company’s common stock at a conversion rate of $7.00 per share. The note will incur an interest rate of 8% per year unless the Company defaults under certain conditions, in which case, the note will incur an interest rate of 20% per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May 14, 2013 Convertible Note</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May 14, 2013, the Company entered into a securities purchase agreement with an accredited investor to place a Convertible Note (the “May 14, 2013 Note”) with a maturity date of one year after the issuance thereof in the aggregate principal amount of $126,000. The Company also issued 20,000 warrants to the note holder, exercisable at $6.00 per share with a four year term. Consideration under the notes consisted of $110,000 in cash proceeds after $5,000 payment of finders’ fee and an original issue discount of $11,000.</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May 14, 2013 Note carries an interest rate of 8% per year unless the note is in default, in which case, the note will incur an interest rate of 18% per year.</w:t>
      </w:r>
    </w:p>
    <w:p>
      <w:pPr>
        <w:spacing w:after="0" w:line="23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Company has allocated the net proceeds to the conversion option and warrants based on the calculated fair values. The fair value of the conversion option was recorded at $62,678,000 and fair value of the warrants was recorded as $52,322 recognized as a derivative liabilities and the debt was recorded at $nil. The fair value of the conversion option was calculated using the Black Scholes option pricing model under the following assumptions: estimated life of four years, risk free rate of 0.4%, dividend yield of 0% and volatility of 161%. The debt discount is being accreted over the one year term of the May 14, 2013 Note using the effective interest rate method.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June 27, 2013 Convertible Note</w:t>
      </w:r>
    </w:p>
    <w:p>
      <w:pPr>
        <w:spacing w:after="0" w:line="23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 June 27, 2013, the Company entered into a securities purchase agreement with an accredited investor to place a Convertible Note (the “June 27, 2013 Note”) with a maturity date of one year after the issuance thereof in the aggregate principal amount of $37,620. Consideration under the notes consisted of $30,000 in cash proceeds after $3,000 payment of finder’s fee and an original issue discount of $4,620. The Company accrued a one-time interest of 5% as per the agreement.</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has allocated the net proceeds to the conversion option based on the calculated fair value. The fair value of the conversion option was recorded at $30,200 and recognized as a derivative liability and the debt was recorded at $2,800. The fair value of the conversion option was calculated using the Binomial option pricing model under the following assumptions: estimated life of one year, risk free rate of 0.15%, dividend yield of 0% and volatility of 156.41%. The debt discount is being accreted over the one year term of the June 27, 2013 Note using the effective interest rate method.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June 19, 2013 Convertible Note</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June, 2013, a consultant assigned $115,000 of its convertible note to a third party with amendments ratified by the Company (the “June 19, 2013 Note”) with a maturity date of one year after the issuance thereof in the aggregate principal amount of $115,000.</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June 19, 2013 Note carries an interest rate of 10% per year unless the note is in default under certain conditions, in which case, the interest rate would be 20% per year.</w:t>
      </w:r>
    </w:p>
    <w:p>
      <w:pPr>
        <w:spacing w:after="0" w:line="25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has allocated the net proceeds to the conversion option based on the calculated fair value. The fair value of the conversion option was recorded at $31,600 and recognized as a derivative liability and the debt was recorded at $83,400. The fair value of the conversion option was calculated using the Binomial option pricing model under the following assumptions: estimated life of one year, risk free rate of 0.15%, dividend yield of 0% and volatility of 156.46%. The debt discount is being accreted over the one year term of the June 19, 2013 Note using the effective interest rate method.</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ended December 31, 2013, the third party converted the principal amount of $83,000 and accrued interest of the June 19, 2013 Note into 108,188 common shares (Note 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July 12, 2013 Convertible Note</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July, 2013, the Company entered into a securities purchase agreement with an accredited investor to place a Convertible Note (the “July 12, 2013 Note”) with a maturity date of one year after the issuance thereof in the aggregate principal amount of $125,000. The Company also issued 41,667 warrants to the note holder, exercisable at $3.00 per share with a five year term. Consideration under the notes consisted of $110,000 in cash proceeds after $15,000 payment of finders’ fee and an original issue discount of $11,000.</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July 12, 2013 Note carries an interest rate of 8% per year unless the note is in default, in which case, the note will incur an interest rate of 18% per year.</w:t>
      </w:r>
    </w:p>
    <w:p>
      <w:pPr>
        <w:spacing w:after="0" w:line="23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Company has allocated the net proceeds to the conversion option and warrants based on the calculated fair values. The fair value of the conversion option was recorded at $59,615 and fair value of the warrants was recorded as $54.385 recognized as a derivative liabilities and the debt was recorded at $nil. The fair value of the conversion option was calculated using the Binomial option pricing model under the following assumptions: estimated life of fiveyear, risk free rate of 1.4%, dividend yield of 0% and volatility of 199%. The debt discount is being accreted over the one year term of the July 12, 2013 Note using the effective interest rate method.</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ended December 31, 2013, the investor converted the principal amount and accrued interest of $28,200 of the July 12, 2013 Note into 50,000 common shares (Note 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October, 2013 Convertible Notes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October, 2013, the Company entered into securities purchase agreements with accredited investors to place Convertible Notes (the “October, 2013 Notes”) with a maturity date of six months after the issuance thereof in the aggregate principal amount of $55,000.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October, 2013 Notes carry no interest charges unless the note is in default, in which case, the note will incur an interest rate of 20% per year.</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has allocated the net proceeds to the conversion option based on the calculated fair value. The full value was recorded as the fair value of the conversion option and the debt was recorded at $nil. The fair value of the conversion option was calculated using the Binomial option pricing model under the following assumptions: estimated life of six months, risk free rate of 0.10%, dividend yield of 0% and volatility of 199%. The debt discount is being accreted over the six month term of the October, 2013 Notes using the effective interest rate method.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November, 2013 Convertible Notes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November, 2013, the Company entered into securities purchase agreements with accredited investors to place Convertible Notes (the “November, 2013 Notes”) with a maturity date of six months after the issuance thereof in the aggregate principal amount of $80,000. Consideration under the notes consisted of $77,000 in cash proceeds and an original issue discount of $3,000.</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November, 2013 Notes carry no interest charges other than an original issue discount unless the note is in default, in which case, the note will incur an interest rate of 20% per year.</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50" w:name="page51"/>
    <w:bookmarkEnd w:id="50"/>
    <w:p>
      <w:pPr>
        <w:jc w:val="both"/>
        <w:spacing w:after="0" w:line="267" w:lineRule="auto"/>
        <w:rPr>
          <w:sz w:val="20"/>
          <w:szCs w:val="20"/>
          <w:color w:val="auto"/>
        </w:rPr>
      </w:pPr>
      <w:r>
        <w:rPr>
          <w:rFonts w:ascii="Arial" w:cs="Arial" w:eastAsia="Arial" w:hAnsi="Arial"/>
          <w:sz w:val="16"/>
          <w:szCs w:val="16"/>
          <w:color w:val="auto"/>
        </w:rPr>
        <w:t>The Company has allocated the net proceeds to the conversion option based on the calculated fair value. The full value was recorded as the fair value of the conversion option and the debt was recorded at $nil. The fair value of the conversion option was calculated using the Binomial option pricing model under the following assumptions: estimated life of six months, risk free rates of 0.10% and 0.04%, dividend yield of 0% and volatility of 199%. The debt discount is being accreted over the six month term of the November, 2013 Notes using the effective interest rate method.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2013 Convertible Notes I</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December, 2013, the Company entered into securities purchase agreements with accredited investors to place Convertible Notes (the “December, 2013 Notes I”) with a maturity date of six months after the issuance thereof in the aggregate principal amount of $250,000. The December, 2013 Notes I carry no interest charges unless the note is in default, in which case, the note will incur an interest rate of 20% per year.</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has allocated the net proceeds to the conversion option based on the calculated fair value. The full value was recorded as the fair value of the conversion option and the debt was recorded at $nil. The fair value of the conversion option was calculated using the Binomial option pricing model under the following assumptions: estimated life of six months, risk free rates of 0.10% , dividend yield of 0% and volatility of 199%. The debt discount is being accreted over the six month term of the December, 2013 Notes I using the effective interest rate method.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2013 Convertible Notes II</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December, 2013, the Company entered into securities purchase agreements with accredited investors to place Convertible Notes (the “December, 2013 Notes II”) with a maturity date of six months after the issuance thereof in the aggregate principal amount of $536,400. Consideration under the notes consisted of $141,000 of conversion of accounts payable, $267,950 of cash proceeds, of which $100,000 were received during the year ended December 31, 2012 as subscription proceeds and $27,450 of interest costs. The conversion of the notes occurs under the following conditions:</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On the date that Company files a certificate of designation creating a class of Series B Convertible Preferred Stock (i) with voting rights per share equal to one thousand (1,000) shares of common stock and (ii) that are automatically convertible into common shares upon the occurrence of a 100:1 reverse stock split at the rate of seven shares of common stock (on a post-reverse stock split basis) for each share of Series B Convertible Preferred Stock, the Company may convert the December, 2013 Convertible Notes II into shares of Series B Convertible Preferred Stock at a conversion price of one dollar per share of Series B Convertible Preferred Stock. If the Series B Convertible Preferred Stock is duly authorized and outstanding, on the date that the Company enacts a 100:1 reverse stock split, the December, 2013 Convertible Notes II will automatically convert into shares of Series B Convertible Preferred Stock at a conversion price of one dollar per share of Series B Convertible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Any amount of the December, 2013 Notes II that are outstanding on February 15, 2014 will carry an interest rate of 10% per year.</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2013, the Company recorded accretion of debt discount of $1,110,831 for the convertible notes.</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Subsequent to year ended December 31, 2013, the Company substantially converted all of the convertible debt into shares of common stock of the Company under a restructuring plan (Note 15).</w:t>
      </w:r>
    </w:p>
    <w:p>
      <w:pPr>
        <w:spacing w:after="0" w:line="17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NOTE 6:</w:t>
      </w:r>
      <w:r>
        <w:rPr>
          <w:sz w:val="20"/>
          <w:szCs w:val="20"/>
          <w:color w:val="auto"/>
        </w:rPr>
        <w:tab/>
      </w:r>
      <w:r>
        <w:rPr>
          <w:rFonts w:ascii="Arial" w:cs="Arial" w:eastAsia="Arial" w:hAnsi="Arial"/>
          <w:sz w:val="15"/>
          <w:szCs w:val="15"/>
          <w:b w:val="1"/>
          <w:bCs w:val="1"/>
          <w:color w:val="auto"/>
        </w:rPr>
        <w:t>LOANS PAYABLE</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at December 31, 2013, there were unsecured loan advances in the amount of $42,200 (December 31, 2012 - $10,000) which are due on demand. $40,000 of the loans bear interest of 10% per annum and $2,200 were advanced by the directors of the Company (Note 8).</w:t>
      </w:r>
    </w:p>
    <w:p>
      <w:pPr>
        <w:spacing w:after="0" w:line="17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NOTE 7:</w:t>
        <w:tab/>
        <w:t>PROMISSORY NOTE</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ended December 31, 2012, the Company issued promissory notes in the amount of $67,942, of which $38,000 of promissory notes were issued to an officer and a director of the Company (Note 8). The promissory notes bear no interest charges and have no fixed repayment terms.</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During the year ended December 31, 2013, the Company converted $210,000 of accounts payable into a promissory note, payable on a preset schedule of payments starting in April 2013. Any of the late payments will incur interest at the rate of 9% per year. The Company had not made any payments and is in default of the payment schedule. The payments in default are accruing interest of 9% per year. Subsequent to the year ended December 31, 2013, the note holder converted outstanding principal and accrued interest into 1,400,000 post reverse stock split common shares (Note 15).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51" w:name="page52"/>
    <w:bookmarkEnd w:id="51"/>
    <w:p>
      <w:pPr>
        <w:spacing w:after="0"/>
        <w:tabs>
          <w:tab w:leader="none" w:pos="820" w:val="left"/>
        </w:tabs>
        <w:rPr>
          <w:sz w:val="20"/>
          <w:szCs w:val="20"/>
          <w:color w:val="auto"/>
        </w:rPr>
      </w:pPr>
      <w:r>
        <w:rPr>
          <w:rFonts w:ascii="Arial" w:cs="Arial" w:eastAsia="Arial" w:hAnsi="Arial"/>
          <w:sz w:val="16"/>
          <w:szCs w:val="16"/>
          <w:b w:val="1"/>
          <w:bCs w:val="1"/>
          <w:color w:val="auto"/>
        </w:rPr>
        <w:t>NOTE 8:</w:t>
        <w:tab/>
        <w:t>RELATED PARTY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2013, the Company entered into transactions with certain officers and directors of the Company as follows:</w:t>
      </w:r>
    </w:p>
    <w:p>
      <w:pPr>
        <w:spacing w:after="0" w:line="235" w:lineRule="exact"/>
        <w:rPr>
          <w:sz w:val="20"/>
          <w:szCs w:val="20"/>
          <w:color w:val="auto"/>
        </w:rPr>
      </w:pPr>
    </w:p>
    <w:p>
      <w:pPr>
        <w:ind w:left="880" w:hanging="259"/>
        <w:spacing w:after="0" w:line="288"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incurred $366,500 (2012 - $391,600) in management, consulting and directors’ fees and $129,000 (2012 - $90,000) in research and development services paid to officers and directors during the year;</w:t>
      </w:r>
    </w:p>
    <w:p>
      <w:pPr>
        <w:spacing w:after="0" w:line="174" w:lineRule="exact"/>
        <w:rPr>
          <w:rFonts w:ascii="Arial" w:cs="Arial" w:eastAsia="Arial" w:hAnsi="Arial"/>
          <w:sz w:val="16"/>
          <w:szCs w:val="16"/>
          <w:color w:val="auto"/>
        </w:rPr>
      </w:pPr>
    </w:p>
    <w:p>
      <w:pPr>
        <w:ind w:left="880" w:hanging="268"/>
        <w:spacing w:after="0" w:line="288"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recorded $46,988 (2012 - $124,209) in stock based compensation for the fair value of options granted to management that were granted and or vested during the year;</w:t>
      </w:r>
    </w:p>
    <w:p>
      <w:pPr>
        <w:spacing w:after="0" w:line="174" w:lineRule="exact"/>
        <w:rPr>
          <w:rFonts w:ascii="Arial" w:cs="Arial" w:eastAsia="Arial" w:hAnsi="Arial"/>
          <w:sz w:val="16"/>
          <w:szCs w:val="16"/>
          <w:color w:val="auto"/>
        </w:rPr>
      </w:pPr>
    </w:p>
    <w:p>
      <w:pPr>
        <w:ind w:left="880" w:hanging="259"/>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converted $nil (2012 - $50,000) of debt due to related parties during the year, which was settled with shares.</w:t>
      </w:r>
    </w:p>
    <w:p>
      <w:pPr>
        <w:spacing w:after="0" w:line="234" w:lineRule="exact"/>
        <w:rPr>
          <w:rFonts w:ascii="Arial" w:cs="Arial" w:eastAsia="Arial" w:hAnsi="Arial"/>
          <w:sz w:val="16"/>
          <w:szCs w:val="16"/>
          <w:color w:val="auto"/>
        </w:rPr>
      </w:pPr>
    </w:p>
    <w:p>
      <w:pPr>
        <w:ind w:left="880" w:hanging="268"/>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issued $nil (2012 - $38,000) in promissory notes to an officer and director of the Company (Note 7).</w:t>
      </w:r>
    </w:p>
    <w:p>
      <w:pPr>
        <w:spacing w:after="0" w:line="234" w:lineRule="exact"/>
        <w:rPr>
          <w:rFonts w:ascii="Arial" w:cs="Arial" w:eastAsia="Arial" w:hAnsi="Arial"/>
          <w:sz w:val="16"/>
          <w:szCs w:val="16"/>
          <w:color w:val="auto"/>
        </w:rPr>
      </w:pPr>
    </w:p>
    <w:p>
      <w:pPr>
        <w:ind w:left="880" w:hanging="259"/>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Borrowed $2,200 (2012 - $nil) as a loan from an officer and director of the Company (Note 6).</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All related party transactions (other than stock based compensation) involving provision of services were recorded at the exchange amount, which is the amount established and agreed to by the related parties as representing fair value. The Company accounted for the debt settlement transactions with related parties at management’s estimate of fair value, using amounts similar to arm’s length settlements for debt settled.</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At December 31, 2013, the Company had amounts owing to directors and officers of $369,345 (2012 - $373,346) in fees and $370,200 in loans and other advances. Other than the loan amounting to $2,200 bearing 10% per year interest, all other amounts due to related parties are unsecured, non-interest bearing and have no specific terms of repayment.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Subsequent to year ended December 31, 2013, the related parties settled $613,845 of the debt for shares of common stock of the Company (Note 15).</w:t>
      </w: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NOTE 9:</w:t>
        <w:tab/>
        <w:t>CAPITAL STOCK</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Capital</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Prior to March 27, 2007, the authorized capital of the Company consisted of 50,000,000 common shares with $0.001 par value and 5,000,000 non-voting preferred shares with $0.001 par value. On March 27, 2007, the Company’s Articles of Incorporation were amended to increase the authorized shares of common stock from 50,000,000 shares of common stock to 200,000,000 shares. On June 28, 2007, the Company completed a reverse stock split thereby issuing 1 new share for each 2.5 outstanding shares of the Company’s common stock. Accordingly, the Company’s authorized share capital was decreased from 200,000,000 common shares to 80,000,000 common shares. On January 22, 2009 the authorized shares of common stock increased from 80,000,000 shares to 500,000,000 shares. Effective July 10, 2009, the Company executed a further 1 for 10 reverse stock split while simultaneously reducing the authorized shares of common stock to 50,000,000 common shares with a $0.001 par value. Effective February 21, 2010, the Company increased its authorized shares of common stock from 50,000,000 shares to 150,000,000 common shares. The Company maintained its authorized shares of preferred stock at 5,000,000.</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Subsequent to the year ended December 31, 2013, on January 6, 2014, the Company designated 1,200,000 series A preferred shares (“Series A Convertible Preferred Stock”). Each share of Series A Convertible Preferred Stock that is outstanding at the time that the Company enacts a 100 to 1 reverse stock split, the Series A Convertible Preferred Stock shall automatically convert into five shares of the Company’s common stock on a post-split basis.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Subsequent to the year ended December 31, 2013, on January 10, 2014, the Company completed a reverse stock split thereby issuing 1 new share for each 100 outstanding shares of the Company’s common stock and amending the Company’s Articles of Incorporation to increase the authorized shares of common stock from 150,000,000 shares of common stock to 500,000,000 shares (Note 15).</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52" w:name="page53"/>
    <w:bookmarkEnd w:id="52"/>
    <w:p>
      <w:pPr>
        <w:spacing w:after="0" w:line="288" w:lineRule="auto"/>
        <w:rPr>
          <w:sz w:val="20"/>
          <w:szCs w:val="20"/>
          <w:color w:val="auto"/>
        </w:rPr>
      </w:pPr>
      <w:r>
        <w:rPr>
          <w:rFonts w:ascii="Arial" w:cs="Arial" w:eastAsia="Arial" w:hAnsi="Arial"/>
          <w:sz w:val="16"/>
          <w:szCs w:val="16"/>
          <w:color w:val="auto"/>
        </w:rPr>
        <w:t>Also, on February 18, 2014, the Company’s board of directors approved the creation of a class of up to 1,500,000 preferred stock, par value $0.001, called series B convertible preferred stock (“Series B Convertible Preferred Stock”). The terms of the Series B Convertible Preferred Stock are:</w:t>
      </w:r>
    </w:p>
    <w:p>
      <w:pPr>
        <w:spacing w:after="0" w:line="174" w:lineRule="exact"/>
        <w:rPr>
          <w:sz w:val="20"/>
          <w:szCs w:val="20"/>
          <w:color w:val="auto"/>
        </w:rPr>
      </w:pPr>
    </w:p>
    <w:p>
      <w:pPr>
        <w:ind w:left="580" w:hanging="113"/>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rank pari passu to the common stock with respect to rights on liquidation, winding up and dissolution;</w:t>
      </w:r>
    </w:p>
    <w:p>
      <w:pPr>
        <w:spacing w:after="0" w:line="234" w:lineRule="exact"/>
        <w:rPr>
          <w:rFonts w:ascii="Arial" w:cs="Arial" w:eastAsia="Arial" w:hAnsi="Arial"/>
          <w:sz w:val="16"/>
          <w:szCs w:val="16"/>
          <w:color w:val="auto"/>
        </w:rPr>
      </w:pPr>
    </w:p>
    <w:p>
      <w:pPr>
        <w:ind w:left="580" w:hanging="113"/>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have no dividend rights except as may be declared by the Board in its sole and absolute discretion;</w:t>
      </w:r>
    </w:p>
    <w:p>
      <w:pPr>
        <w:spacing w:after="0" w:line="234" w:lineRule="exact"/>
        <w:rPr>
          <w:rFonts w:ascii="Arial" w:cs="Arial" w:eastAsia="Arial" w:hAnsi="Arial"/>
          <w:sz w:val="16"/>
          <w:szCs w:val="16"/>
          <w:color w:val="auto"/>
        </w:rPr>
      </w:pPr>
    </w:p>
    <w:p>
      <w:pPr>
        <w:ind w:left="580" w:hanging="113"/>
        <w:spacing w:after="0" w:line="288"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shall have the right to cast one thousand (1,000) votes for each share held of record on all matters submitted to a vote of holders of the Corporation’s common stock; and</w:t>
      </w:r>
    </w:p>
    <w:p>
      <w:pPr>
        <w:spacing w:after="0" w:line="174" w:lineRule="exact"/>
        <w:rPr>
          <w:rFonts w:ascii="Arial" w:cs="Arial" w:eastAsia="Arial" w:hAnsi="Arial"/>
          <w:sz w:val="16"/>
          <w:szCs w:val="16"/>
          <w:color w:val="auto"/>
        </w:rPr>
      </w:pPr>
    </w:p>
    <w:p>
      <w:pPr>
        <w:jc w:val="both"/>
        <w:ind w:left="580" w:hanging="113"/>
        <w:spacing w:after="0" w:line="267"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shall automatically convert into shares of common stock upon the occurrence of a reverse stock split of the Corporation’s common stock in which every 100 shares of the Corporation’s common stock outstanding at the time that this certificate of designation was filed with the Secretary of State of Nevada is exchanged for one share of the Corporation’s common stock, with each share of Series B Convertible Preferred Stock converting into seven shares of the Corporation’s common stock (such number to be after the 100:1 reverse stock split).</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All prior period share transactions included in the Company’s stock transactions and balances have been retroactively restated for the reverse stock splits described above.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2013 Share Transactions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January 2013, the Company issued 2,313 shares of its common stock for conversion of one of the two November 1, 2012 Notes (Note 5) at a conversion price of $6.62 per share. In February 2013, the Company issued 2,500 common shares with a fair value of $28,925 to a consultant pursuant to a consulting agreement. In February 2013, the Company issued 18,986 common shares on a cashless conversion of 30,000 warrants at an exercise price of $5.72. In March 2013, the Company issued 100,000 common shares with a fair value of $10,010 to a consultant pursuant to a consulting agreement.</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Between January and March, 2013, the Company issued 31,763 shares of its common stock for conversion of December 14, 2012 Note (Note 5) at a conversion price of $6.03 per share..</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Between January and May, 2013, the Company issued 19,444 shares of its common stock for partial conversion of September 18, 2012 Note (Note 5) at an average conversion price of $3.60 per share.</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Between February and March, 2013, the Company issued 10,500 shares of its common stock for partial conversion of August 8, 2012 Note (Note 5) at an average conversion price of $6.81 per share.</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April 2013, the Company issued 2,815 shares of its common stock for conversion of the balance of the November 1, 2012 Notes (Note 5) at a conversion price of $6.07 per share.</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Between April and September, 2013, the Company issued 264,649 shares of its common stock for partial settlement of debt in the amount of $510,572. A further 455,311 shares remain to be issued with respect to this debt. The shares had a fair value of approximately $910,000 at December 31, 2013.</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In April, 2013, the Company issued 2,500 shares of its restricted common stock under a settlement agreement with a former director of the Company.</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Between May and July, 2013, the Company issued 53,690 shares of its common stock with a fair value of $248,278 for conversion of October 9, 2012 Convertible Notes (Note 5).</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Between May and June, 2013, the Company issued 30,000 shares of its common stock with a fair value of $137,200 for conversion of the balances of the August 8, 2012 Note and November 20, 2013 Note (Note 5).</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Between July and September 30, 2013, the Company issued 108,188 shares of its common stock with a fair value of $181,606 for conversion of June 19, 2013 Convertible Note (Note 5).</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In August, 2013, the Company issued 50,000 shares of its common stock with a fair value of $52,500 for conversion of July 12, 2013 Convertible Note (Note 5).</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August and September 2013, the Company issued 36,000 shares and is obligated to issue additional 20,472 shares of its common stock with a fair value of $52,960 for conversion of November 20, 2012 Convertible Note (Note 5).</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In September, 2013, the Company issued 10,000 shares of its common stock with a fair value of $10,500 for partial conversion of September 18, 2012 Note (Note 5).</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In November, 2013, the Company issued 12,000 shares of its common stock with a fair value of $13,340 for partial conversion of September 18, 2012 Note (Note 5).</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In November, 2013, the Company issued 45,333 shares of its common stock with a fair value of $134,187 for partial conversion of April 18, 2013 Note (Note 5).</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53" w:name="page54"/>
    <w:bookmarkEnd w:id="53"/>
    <w:p>
      <w:pPr>
        <w:jc w:val="both"/>
        <w:spacing w:after="0" w:line="272" w:lineRule="auto"/>
        <w:rPr>
          <w:sz w:val="20"/>
          <w:szCs w:val="20"/>
          <w:color w:val="auto"/>
        </w:rPr>
      </w:pPr>
      <w:r>
        <w:rPr>
          <w:rFonts w:ascii="Arial" w:cs="Arial" w:eastAsia="Arial" w:hAnsi="Arial"/>
          <w:sz w:val="16"/>
          <w:szCs w:val="16"/>
          <w:color w:val="auto"/>
        </w:rPr>
        <w:t>In March, 2013, the Company received $242,950 for a private placement, for which it issued 34,707 shares and equal number of warrants. In December 2013, the Company entered into rescission agreements whereby the Company replaced the shares and warrants with December, 2013 Convertible Notes II and the 34,707 shares and warrants were returned to the treasury (Note 5).</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records shares issued for non-cash consideration or on conversion of debt at the fair value. As a result of the above settlements and conversions, the Company recorded a loss on settlement of debt of $2,560,045.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2012 Share Transactions</w:t>
      </w:r>
    </w:p>
    <w:p>
      <w:pPr>
        <w:spacing w:after="0" w:line="239"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On March 15, 2012, the Company issued 3,333 shares of its restricted common stock to related parties, pursuant to debt settlement agreements to settle $50,000 of outstanding trade payable. At the time of issuance the fair value of the shares was determined to be $50,000 based on the quoted market price of $15.00 per share.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On March 15, 2012, the Company issued 4,000 shares of its restricted common stock with a fair value of $71,200 pursuant to a debt settlement and a consulting agreement.</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On March 15, 2012, the Company issued 7,898 shares of its restricted common stock in settlement of accrued interest on the outstanding 2011 Notes.</w:t>
      </w:r>
    </w:p>
    <w:p>
      <w:pPr>
        <w:spacing w:after="0" w:line="235"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In March 2012, the Company received subscription proceeds of $85,000. The subscribers purchased 7,333 share units at $15.00 per unit. Each unit consists of 1 share of Company’s common stock and half a warrant exercisable at $40.00, which expires in two years. The fair value of these warrants was determined to be $5,133.</w:t>
      </w:r>
    </w:p>
    <w:p>
      <w:pPr>
        <w:spacing w:after="0" w:line="150"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In April 2012, the Company received subscription proceeds of $345,000. The subscribers purchased 23,000 share units at $15.00 per unit. Each unit consists of 1 share of Company’s common stock and half a warrant exercisable at $40.00, which expires in two years. The fair value of these warrants was determined to be $123,000.</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In April, 2012, the Company issued 1,000 shares of its restricted common stock with a fair value of $18,500 pursuant to a debt settlement and a consulting agreement.</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In April 2012, the Company issued 9,333 restricted common shares, at $15.00 per share, for proceeds of $140,000 received in October 2011, in a private placement.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In April 2012, the Company issued 10,000 common shares to a consultant pursuant to a consulting agreement effective October 1, 2011.</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In April, 2012, the Company issued 1,633 shares of its restricted common stock with a fair value of $24,500 in settlement of accrued interest on the outstanding 2011 Notes.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In May 2012, the Company issued 140,000 common shares with a fair value of $1,918,000 to consultants pursuant to a consulting agreement.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In June 2012, the Company issued 352 shares of its restricted common stock with a fair value of $6,000 pursuant to a consulting agreement.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In August 2012, the Company issued 5,000 shares of its restricted common stock with a fair value of $74,000 pursuant to a consulting agreement.</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September 2012, the Company issued 5,000 shares of its restricted common stock with a fair value of $72,750 to the holder of a promissory note in exchange for the note holder’s agreement to forebear from pursuing collection action on that note (Note 7).</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2012, the Company issued 4,371 shares of its restricted common stock with a fair value of $55,944 on election by the holder to convert part of a convertible debt (Note 5) at a conversion price of $5.72 per share.</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2012, the Company issued 5,972 shares of its restricted common stock with a fair value of $63,003 on election by the holder to convert part of a convertible debt (Note 5) at a conversion price of $5.86 per share.</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2012, the Company issued 2,285 shares of its restricted common stock with a fair value of $21,591 on election by the holder to convert part of a convertible debt (Note 5) at a conversion price of $6.01 per share.</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December 2012, the Company issued 10,788 shares of its restricted common stock with a fair value of $96,523 as payment of installment of $65,032 for a convertible debt (Note 5) at a conversion price of $6.03 per share.</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records shares issued for non-cash consideration or on conversion of debt at the fair value. As a result of the above settlements and conversions in 2012, the Company recorded a loss on settlement of debt of $59,219.</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Stock Compensation Plan</w:t>
      </w:r>
    </w:p>
    <w:p>
      <w:pPr>
        <w:spacing w:after="0" w:line="239"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On October 14, 2009, the Company adopted the 2009 Stock Incentive Plan (the “2009 Plan”) which supersedes and replaces the 2007 Stock Plan. The 2009 Plan allows for the issuance of up to 100,000 common shares. Options granted under the Plan shall be at prices and for terms as determined by the Board of Directors.</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April 30, 2012, the Company granted 2,500 stock options to an officer at an exercise price of $18.00 per share, vesting monthly over thirty six month period. The aggregate fair value of the grant was estimated at $45,000, or $18.00 per option, using the Black-Scholes Option Pricing Model with weighted average assumptions as follows: a risk free interest rate of 1.95%, a dividend yield of 0%, an expected volatility of 199.0%, and an expected life of 10 years.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May 8, 2012, the Company granted 2,500 stock options to a consultant at an exercise price of $17.00 per share, vesting monthly over twelve month period. The aggregate fair value of the grant was estimated at $40,000, or $17.00 per option, using the Black-Scholes Option Pricing Model with weighted average assumptions as follows: a risk free interest rate of 1.71%, a dividend yield of 0%, an expected volatility of 199.0%, and an expected life of 10 years.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expensed portion of the value of the granted and vested options during the year ended December 31, 2013 was $132,093 (2012 - $204,427) which was recorded as stock based consulting and management fees.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purchase options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stock options as of December 31, 2013 and 2012 and changes during the years is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1"/>
              </w:rPr>
              <w:t>Weighted</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91"/>
              </w:rPr>
              <w:t>Weighted</w:t>
            </w: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Number of</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Average</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Average</w:t>
            </w:r>
          </w:p>
        </w:tc>
      </w:tr>
      <w:tr>
        <w:trPr>
          <w:trHeight w:val="214"/>
        </w:trPr>
        <w:tc>
          <w:tcPr>
            <w:tcW w:w="7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1"/>
              </w:rPr>
              <w:t>Exercise Price</w:t>
            </w:r>
          </w:p>
        </w:tc>
        <w:tc>
          <w:tcPr>
            <w:tcW w:w="22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5"/>
              </w:rPr>
              <w:t>Remaining Life</w:t>
            </w:r>
          </w:p>
        </w:tc>
        <w:tc>
          <w:tcPr>
            <w:tcW w:w="100" w:type="dxa"/>
            <w:vAlign w:val="bottom"/>
          </w:tcPr>
          <w:p>
            <w:pPr>
              <w:spacing w:after="0"/>
              <w:rPr>
                <w:sz w:val="18"/>
                <w:szCs w:val="18"/>
                <w:color w:val="auto"/>
              </w:rPr>
            </w:pPr>
          </w:p>
        </w:tc>
      </w:tr>
      <w:tr>
        <w:trPr>
          <w:trHeight w:val="382"/>
        </w:trPr>
        <w:tc>
          <w:tcPr>
            <w:tcW w:w="7320" w:type="dxa"/>
            <w:vAlign w:val="bottom"/>
          </w:tcPr>
          <w:p>
            <w:pPr>
              <w:spacing w:after="0"/>
              <w:rPr>
                <w:sz w:val="20"/>
                <w:szCs w:val="20"/>
                <w:color w:val="auto"/>
              </w:rPr>
            </w:pPr>
            <w:r>
              <w:rPr>
                <w:rFonts w:ascii="Arial" w:cs="Arial" w:eastAsia="Arial" w:hAnsi="Arial"/>
                <w:sz w:val="16"/>
                <w:szCs w:val="16"/>
                <w:b w:val="1"/>
                <w:bCs w:val="1"/>
                <w:color w:val="auto"/>
              </w:rPr>
              <w:t>Balance, December 31, 2011</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62,780</w:t>
            </w: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6.85</w:t>
            </w: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Issued</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5,150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9.35</w:t>
            </w:r>
          </w:p>
        </w:tc>
      </w:tr>
      <w:tr>
        <w:trPr>
          <w:trHeight w:val="214"/>
        </w:trPr>
        <w:tc>
          <w:tcPr>
            <w:tcW w:w="7320" w:type="dxa"/>
            <w:vAlign w:val="bottom"/>
          </w:tcPr>
          <w:p>
            <w:pPr>
              <w:ind w:left="80"/>
              <w:spacing w:after="0"/>
              <w:rPr>
                <w:sz w:val="20"/>
                <w:szCs w:val="20"/>
                <w:color w:val="auto"/>
              </w:rPr>
            </w:pPr>
            <w:r>
              <w:rPr>
                <w:rFonts w:ascii="Arial" w:cs="Arial" w:eastAsia="Arial" w:hAnsi="Arial"/>
                <w:sz w:val="16"/>
                <w:szCs w:val="16"/>
                <w:color w:val="auto"/>
              </w:rPr>
              <w:t>Cancelled/Forfeited</w:t>
            </w:r>
          </w:p>
        </w:tc>
        <w:tc>
          <w:tcPr>
            <w:tcW w:w="1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82"/>
        </w:trPr>
        <w:tc>
          <w:tcPr>
            <w:tcW w:w="7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Balance, December 31, 2012</w:t>
            </w:r>
          </w:p>
        </w:tc>
        <w:tc>
          <w:tcPr>
            <w:tcW w:w="120" w:type="dxa"/>
            <w:vAlign w:val="bottom"/>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65,430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18.00</w:t>
            </w: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24"/>
                <w:szCs w:val="24"/>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Issued</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4"/>
        </w:trPr>
        <w:tc>
          <w:tcPr>
            <w:tcW w:w="7320" w:type="dxa"/>
            <w:vAlign w:val="bottom"/>
          </w:tcPr>
          <w:p>
            <w:pPr>
              <w:ind w:left="80"/>
              <w:spacing w:after="0"/>
              <w:rPr>
                <w:sz w:val="20"/>
                <w:szCs w:val="20"/>
                <w:color w:val="auto"/>
              </w:rPr>
            </w:pPr>
            <w:r>
              <w:rPr>
                <w:rFonts w:ascii="Arial" w:cs="Arial" w:eastAsia="Arial" w:hAnsi="Arial"/>
                <w:sz w:val="16"/>
                <w:szCs w:val="16"/>
                <w:color w:val="auto"/>
              </w:rPr>
              <w:t>Cancelled/Forfeited</w:t>
            </w:r>
          </w:p>
        </w:tc>
        <w:tc>
          <w:tcPr>
            <w:tcW w:w="1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7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Balance, December 31, 2013</w:t>
            </w: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65,430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18.00</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7"/>
                <w:szCs w:val="17"/>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7320" w:type="dxa"/>
            <w:vAlign w:val="bottom"/>
          </w:tcPr>
          <w:p>
            <w:pPr>
              <w:spacing w:after="0"/>
              <w:rPr>
                <w:sz w:val="20"/>
                <w:szCs w:val="20"/>
                <w:color w:val="auto"/>
              </w:rPr>
            </w:pPr>
            <w:r>
              <w:rPr>
                <w:rFonts w:ascii="Arial" w:cs="Arial" w:eastAsia="Arial" w:hAnsi="Arial"/>
                <w:sz w:val="16"/>
                <w:szCs w:val="16"/>
                <w:color w:val="auto"/>
              </w:rPr>
              <w:t>At December 31, 2013, the intrinsic value of the vested options was equal to $nil (2012 - $nil).</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7320" w:type="dxa"/>
            <w:vAlign w:val="bottom"/>
          </w:tcPr>
          <w:p>
            <w:pPr>
              <w:spacing w:after="0"/>
              <w:rPr>
                <w:sz w:val="20"/>
                <w:szCs w:val="20"/>
                <w:color w:val="auto"/>
              </w:rPr>
            </w:pPr>
            <w:r>
              <w:rPr>
                <w:rFonts w:ascii="Arial" w:cs="Arial" w:eastAsia="Arial" w:hAnsi="Arial"/>
                <w:sz w:val="16"/>
                <w:szCs w:val="16"/>
                <w:color w:val="auto"/>
                <w:w w:val="96"/>
              </w:rPr>
              <w:t>A summary of the status of the Company’s unvested options as of December 31, 2013 is presented below:</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7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spacing w:after="0"/>
              <w:rPr>
                <w:sz w:val="19"/>
                <w:szCs w:val="19"/>
                <w:color w:val="auto"/>
              </w:rPr>
            </w:pPr>
          </w:p>
        </w:tc>
      </w:tr>
      <w:tr>
        <w:trPr>
          <w:trHeight w:val="185"/>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Weighted</w:t>
            </w: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Average</w:t>
            </w: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Number of</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Grant-Date</w:t>
            </w:r>
          </w:p>
        </w:tc>
      </w:tr>
      <w:tr>
        <w:trPr>
          <w:trHeight w:val="214"/>
        </w:trPr>
        <w:tc>
          <w:tcPr>
            <w:tcW w:w="7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82"/>
              </w:rPr>
              <w:t>Shares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w w:val="93"/>
              </w:rPr>
              <w:t>Fair Value</w:t>
            </w:r>
          </w:p>
        </w:tc>
        <w:tc>
          <w:tcPr>
            <w:tcW w:w="100" w:type="dxa"/>
            <w:vAlign w:val="bottom"/>
          </w:tcPr>
          <w:p>
            <w:pPr>
              <w:spacing w:after="0"/>
              <w:rPr>
                <w:sz w:val="18"/>
                <w:szCs w:val="18"/>
                <w:color w:val="auto"/>
              </w:rPr>
            </w:pPr>
          </w:p>
        </w:tc>
      </w:tr>
      <w:tr>
        <w:trPr>
          <w:trHeight w:val="382"/>
        </w:trPr>
        <w:tc>
          <w:tcPr>
            <w:tcW w:w="7320" w:type="dxa"/>
            <w:vAlign w:val="bottom"/>
          </w:tcPr>
          <w:p>
            <w:pPr>
              <w:spacing w:after="0"/>
              <w:rPr>
                <w:sz w:val="20"/>
                <w:szCs w:val="20"/>
                <w:color w:val="auto"/>
              </w:rPr>
            </w:pPr>
            <w:r>
              <w:rPr>
                <w:rFonts w:ascii="Arial" w:cs="Arial" w:eastAsia="Arial" w:hAnsi="Arial"/>
                <w:sz w:val="16"/>
                <w:szCs w:val="16"/>
                <w:b w:val="1"/>
                <w:bCs w:val="1"/>
                <w:color w:val="auto"/>
              </w:rPr>
              <w:t>Unvested, December 31, 2012</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3,796</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18.00</w:t>
            </w: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Granted</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Vested</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(2,685)</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18.00</w:t>
            </w:r>
          </w:p>
        </w:tc>
      </w:tr>
      <w:tr>
        <w:trPr>
          <w:trHeight w:val="214"/>
        </w:trPr>
        <w:tc>
          <w:tcPr>
            <w:tcW w:w="7320" w:type="dxa"/>
            <w:vAlign w:val="bottom"/>
          </w:tcPr>
          <w:p>
            <w:pPr>
              <w:ind w:left="80"/>
              <w:spacing w:after="0"/>
              <w:rPr>
                <w:sz w:val="20"/>
                <w:szCs w:val="20"/>
                <w:color w:val="auto"/>
              </w:rPr>
            </w:pPr>
            <w:r>
              <w:rPr>
                <w:rFonts w:ascii="Arial" w:cs="Arial" w:eastAsia="Arial" w:hAnsi="Arial"/>
                <w:sz w:val="16"/>
                <w:szCs w:val="16"/>
                <w:color w:val="auto"/>
              </w:rPr>
              <w:t>Cancelled</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7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Unvested, December 31, 2013</w:t>
            </w: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1,111</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7"/>
                <w:szCs w:val="17"/>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Purchase Warrants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March, 2012, the Company issued 3,667 share purchase warrants to acquire an equivalent number of common shares of the Company, at an exercise price of $40 per share for an exercise period of up to two years from the issuance date. The warrants were issued pursuant to the private placement of $110,000 and included within equity. The fair value of these warrants was determined to be $5,133, using the Black-Scholes Option Pricing Model with an expected life of 2 years, a risk free interest rate of 0.37%, a dividend yield of 0%, and an expected volatility of 63%.</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55" w:name="page56"/>
    <w:bookmarkEnd w:id="55"/>
    <w:p>
      <w:pPr>
        <w:ind w:right="40"/>
        <w:spacing w:after="0" w:line="267" w:lineRule="auto"/>
        <w:rPr>
          <w:sz w:val="20"/>
          <w:szCs w:val="20"/>
          <w:color w:val="auto"/>
        </w:rPr>
      </w:pPr>
      <w:r>
        <w:rPr>
          <w:rFonts w:ascii="Arial" w:cs="Arial" w:eastAsia="Arial" w:hAnsi="Arial"/>
          <w:sz w:val="16"/>
          <w:szCs w:val="16"/>
          <w:color w:val="auto"/>
        </w:rPr>
        <w:t>In April, 2012, the Company issued 11,500 share purchase warrants to acquire an equivalent number of common shares of the Company, at an exercise price of $40.00 per share for an exercise period of up to two years from the issuance date. The warrants were issued pursuant to a private placement and included within equity. The fair value of these warrants was determined to be $123,000, using the Black-Scholes Option Pricing Model with an expected life of 2 years, a risk free interest rate of 0.27%, a dividend yield of 0%, and an expected volatility of 146.6%.</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October, 2012, the Company issued 30,000 share purchase warrants to acquire an equivalent number of common shares of the Company, at an exercise price of $25.00 per share for an exercise period of up to four years from the issuance date. The warrants were issued pursuant to a convertible debt and included within equity. The residual fair value of these warrants was determined to be $62,000.</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December, 2012, the Company issued 10,000 share purchase warrants to acquire an equivalent number of common shares of the Company, at an exercise price of $10.00 per share for an exercise period of up to five years from the issuance date. The warrants were issued pursuant to a private placement and included within equity. The fair value of these warrants was determined to be $178,000, using the Black-Scholes Option Pricing Model with an expected life of 5 years, a risk free interest rate of 0.87%, a dividend yield of 0%, and an expected volatility of 199.0%.</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May, 2013, the Company issued 20,000 share purchase warrants to acquire an equivalent number of common shares of the Company, at an exercise price of $6.00 per share for an exercise period of up to four years from the issuance date. The warrants were issued pursuant to a convertible debt with price adjustment features. The residual fair value of these warrants was determined to be $52,322 and recognized as a derivative liability.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July, 2013, the Company issued 41,667 share purchase warrants to acquire an equivalent number of common shares of the Company, at an exercise price of $4.00 per share for an exercise period of up to five years from the issuance date. The warrants were issued pursuant to a convertible debt with price adjustment features. The residual fair value of these warrants was determined to be $54,385 and recognized as a derivative liability.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share purchase warrants as of December 31, 2013 and 2012 changes during the year is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1"/>
              </w:rPr>
              <w:t>Weighted</w:t>
            </w:r>
          </w:p>
        </w:tc>
        <w:tc>
          <w:tcPr>
            <w:tcW w:w="12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color w:val="auto"/>
                <w:w w:val="91"/>
              </w:rPr>
              <w:t>Weighted</w:t>
            </w:r>
          </w:p>
        </w:tc>
      </w:tr>
      <w:tr>
        <w:trPr>
          <w:trHeight w:val="197"/>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6"/>
                <w:szCs w:val="16"/>
                <w:color w:val="auto"/>
              </w:rPr>
              <w:t>Number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color w:val="auto"/>
                <w:w w:val="90"/>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Average</w:t>
            </w:r>
          </w:p>
        </w:tc>
      </w:tr>
      <w:tr>
        <w:trPr>
          <w:trHeight w:val="214"/>
        </w:trPr>
        <w:tc>
          <w:tcPr>
            <w:tcW w:w="7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Warrants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1"/>
              </w:rPr>
              <w:t>Exercise Price</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Remaining Life</w:t>
            </w:r>
          </w:p>
        </w:tc>
        <w:tc>
          <w:tcPr>
            <w:tcW w:w="100" w:type="dxa"/>
            <w:vAlign w:val="bottom"/>
          </w:tcPr>
          <w:p>
            <w:pPr>
              <w:spacing w:after="0"/>
              <w:rPr>
                <w:sz w:val="18"/>
                <w:szCs w:val="18"/>
                <w:color w:val="auto"/>
              </w:rPr>
            </w:pPr>
          </w:p>
        </w:tc>
      </w:tr>
      <w:tr>
        <w:trPr>
          <w:trHeight w:val="382"/>
        </w:trPr>
        <w:tc>
          <w:tcPr>
            <w:tcW w:w="7320" w:type="dxa"/>
            <w:vAlign w:val="bottom"/>
          </w:tcPr>
          <w:p>
            <w:pPr>
              <w:spacing w:after="0"/>
              <w:rPr>
                <w:sz w:val="20"/>
                <w:szCs w:val="20"/>
                <w:color w:val="auto"/>
              </w:rPr>
            </w:pPr>
            <w:r>
              <w:rPr>
                <w:rFonts w:ascii="Arial" w:cs="Arial" w:eastAsia="Arial" w:hAnsi="Arial"/>
                <w:sz w:val="16"/>
                <w:szCs w:val="16"/>
                <w:b w:val="1"/>
                <w:bCs w:val="1"/>
                <w:color w:val="auto"/>
              </w:rPr>
              <w:t>Balance, December 31, 2011</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121,064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56.00</w:t>
            </w:r>
          </w:p>
        </w:tc>
        <w:tc>
          <w:tcPr>
            <w:tcW w:w="2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2.81</w:t>
            </w: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Issued</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55,167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26.00</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3.32</w:t>
            </w:r>
          </w:p>
        </w:tc>
      </w:tr>
      <w:tr>
        <w:trPr>
          <w:trHeight w:val="214"/>
        </w:trPr>
        <w:tc>
          <w:tcPr>
            <w:tcW w:w="7320" w:type="dxa"/>
            <w:vAlign w:val="bottom"/>
          </w:tcPr>
          <w:p>
            <w:pPr>
              <w:ind w:left="80"/>
              <w:spacing w:after="0"/>
              <w:rPr>
                <w:sz w:val="20"/>
                <w:szCs w:val="20"/>
                <w:color w:val="auto"/>
              </w:rPr>
            </w:pPr>
            <w:r>
              <w:rPr>
                <w:rFonts w:ascii="Arial" w:cs="Arial" w:eastAsia="Arial" w:hAnsi="Arial"/>
                <w:sz w:val="16"/>
                <w:szCs w:val="16"/>
                <w:color w:val="auto"/>
              </w:rPr>
              <w:t>Exercised, cancelled or expired</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(7,144)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233.00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5"/>
        </w:trPr>
        <w:tc>
          <w:tcPr>
            <w:tcW w:w="7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Balance, December 31, 2012</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169,087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39.00</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6"/>
                <w:szCs w:val="16"/>
                <w:color w:val="auto"/>
              </w:rPr>
            </w:pP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Issued</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67,667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5.84</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4.16</w:t>
            </w:r>
          </w:p>
        </w:tc>
      </w:tr>
      <w:tr>
        <w:trPr>
          <w:trHeight w:val="197"/>
        </w:trPr>
        <w:tc>
          <w:tcPr>
            <w:tcW w:w="7320" w:type="dxa"/>
            <w:vAlign w:val="bottom"/>
          </w:tcPr>
          <w:p>
            <w:pPr>
              <w:ind w:left="80"/>
              <w:spacing w:after="0"/>
              <w:rPr>
                <w:sz w:val="20"/>
                <w:szCs w:val="20"/>
                <w:color w:val="auto"/>
              </w:rPr>
            </w:pPr>
            <w:r>
              <w:rPr>
                <w:rFonts w:ascii="Arial" w:cs="Arial" w:eastAsia="Arial" w:hAnsi="Arial"/>
                <w:sz w:val="16"/>
                <w:szCs w:val="16"/>
                <w:color w:val="auto"/>
              </w:rPr>
              <w:t>Exercised</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25.00</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4"/>
        </w:trPr>
        <w:tc>
          <w:tcPr>
            <w:tcW w:w="7320" w:type="dxa"/>
            <w:vAlign w:val="bottom"/>
          </w:tcPr>
          <w:p>
            <w:pPr>
              <w:ind w:left="80"/>
              <w:spacing w:after="0"/>
              <w:rPr>
                <w:sz w:val="20"/>
                <w:szCs w:val="20"/>
                <w:color w:val="auto"/>
              </w:rPr>
            </w:pPr>
            <w:r>
              <w:rPr>
                <w:rFonts w:ascii="Arial" w:cs="Arial" w:eastAsia="Arial" w:hAnsi="Arial"/>
                <w:sz w:val="16"/>
                <w:szCs w:val="16"/>
                <w:color w:val="auto"/>
              </w:rPr>
              <w:t>Extinguished or expired</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(57,302)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39.72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7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Balance, December 31, 2013</w:t>
            </w: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149,452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25.85</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7"/>
                <w:szCs w:val="17"/>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INCOME TAXES</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Company has not identified or quantified any significant temporary differences between the Company’s tax and financial bases of assets and liabilities that result in deferred tax assets, except for the Company’s net operating loss carry-forwards amounting to approximately $22,154,000 at December 31, 2013 (2012 - $18,713,000), which may be available to reduce future year’s taxable income. These carry forwards begin to expire, if not utilized, commencing in 2015. Future tax benefits which may arise as a result of these losses have not been recognized in these financial statements, as their realization does not meet a more likely than not test and accordingly, the Company has recorded a 100% valuation allowance for the potential deferred tax asset relating to these tax loss carry forwards.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reviews its valuation allowance requirements on an annual basis based on management’s expectations of future operations. Should circumstances change resulting in a change in management’s judgment about the recoverability of future tax assets, the impact of the change on the valuation allowance would be reflected in current operations and disclosures.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56" w:name="page57"/>
    <w:bookmarkEnd w:id="56"/>
    <w:p>
      <w:pPr>
        <w:jc w:val="both"/>
        <w:spacing w:after="0" w:line="267" w:lineRule="auto"/>
        <w:rPr>
          <w:sz w:val="20"/>
          <w:szCs w:val="20"/>
          <w:color w:val="auto"/>
        </w:rPr>
      </w:pPr>
      <w:r>
        <w:rPr>
          <w:rFonts w:ascii="Arial" w:cs="Arial" w:eastAsia="Arial" w:hAnsi="Arial"/>
          <w:sz w:val="16"/>
          <w:szCs w:val="16"/>
          <w:color w:val="auto"/>
        </w:rPr>
        <w:t>The Company’s policy is to accrue amounts for known or likely interest and penalties related to unrecognized tax charges or likely penalties and interest in its provision for income taxes. Additionally, ASC 740-10 requires that a company recognize in its financial statements the impact of a tax position that is more likely than not to be sustained upon examination based on the technical merits of the position. The Company has incurred taxable losses for all tax years since inception and accordingly, no provision for taxes has been recorded for the current or any prior fiscal year.</w:t>
      </w:r>
    </w:p>
    <w:p>
      <w:pPr>
        <w:spacing w:after="0" w:line="191"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The actual income tax provisions differ from the expected amounts calculated by applying the combined federal and state corporate income tax rates to the Company’s loss before income taxes and other temporary adjusted as appropriate for temporary and permanent tax basis differences. The components of these differences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6"/>
                <w:szCs w:val="16"/>
                <w:color w:val="auto"/>
                <w:w w:val="89"/>
              </w:rPr>
              <w:t>Year Ended</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color w:val="auto"/>
                <w:w w:val="89"/>
              </w:rPr>
              <w:t>Year Ended</w:t>
            </w:r>
          </w:p>
        </w:tc>
      </w:tr>
      <w:tr>
        <w:trPr>
          <w:trHeight w:val="197"/>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December 31,</w:t>
            </w:r>
          </w:p>
        </w:tc>
      </w:tr>
      <w:tr>
        <w:trPr>
          <w:trHeight w:val="214"/>
        </w:trPr>
        <w:tc>
          <w:tcPr>
            <w:tcW w:w="8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89"/>
              </w:rPr>
              <w:t>2013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2012</w:t>
            </w:r>
          </w:p>
        </w:tc>
        <w:tc>
          <w:tcPr>
            <w:tcW w:w="140" w:type="dxa"/>
            <w:vAlign w:val="bottom"/>
          </w:tcPr>
          <w:p>
            <w:pPr>
              <w:spacing w:after="0"/>
              <w:rPr>
                <w:sz w:val="18"/>
                <w:szCs w:val="18"/>
                <w:color w:val="auto"/>
              </w:rPr>
            </w:pPr>
          </w:p>
        </w:tc>
      </w:tr>
      <w:tr>
        <w:trPr>
          <w:trHeight w:val="382"/>
        </w:trPr>
        <w:tc>
          <w:tcPr>
            <w:tcW w:w="864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(5,532,552)</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(6,171,867)</w:t>
            </w:r>
          </w:p>
        </w:tc>
      </w:tr>
      <w:tr>
        <w:trPr>
          <w:trHeight w:val="214"/>
        </w:trPr>
        <w:tc>
          <w:tcPr>
            <w:tcW w:w="8640" w:type="dxa"/>
            <w:vAlign w:val="bottom"/>
          </w:tcPr>
          <w:p>
            <w:pPr>
              <w:spacing w:after="0"/>
              <w:rPr>
                <w:sz w:val="20"/>
                <w:szCs w:val="20"/>
                <w:color w:val="auto"/>
              </w:rPr>
            </w:pPr>
            <w:r>
              <w:rPr>
                <w:rFonts w:ascii="Arial" w:cs="Arial" w:eastAsia="Arial" w:hAnsi="Arial"/>
                <w:sz w:val="16"/>
                <w:szCs w:val="16"/>
                <w:color w:val="auto"/>
              </w:rPr>
              <w:t>Corporate tax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08"/>
        </w:trPr>
        <w:tc>
          <w:tcPr>
            <w:tcW w:w="86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Expected tax recovery</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(1,936,393)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(2,160,153)</w:t>
            </w:r>
          </w:p>
        </w:tc>
        <w:tc>
          <w:tcPr>
            <w:tcW w:w="140" w:type="dxa"/>
            <w:vAlign w:val="bottom"/>
          </w:tcPr>
          <w:p>
            <w:pPr>
              <w:spacing w:after="0"/>
              <w:rPr>
                <w:sz w:val="18"/>
                <w:szCs w:val="18"/>
                <w:color w:val="auto"/>
              </w:rPr>
            </w:pPr>
          </w:p>
        </w:tc>
      </w:tr>
      <w:tr>
        <w:trPr>
          <w:trHeight w:val="370"/>
        </w:trPr>
        <w:tc>
          <w:tcPr>
            <w:tcW w:w="8640" w:type="dxa"/>
            <w:vAlign w:val="bottom"/>
          </w:tcPr>
          <w:p>
            <w:pPr>
              <w:spacing w:after="0"/>
              <w:rPr>
                <w:sz w:val="20"/>
                <w:szCs w:val="20"/>
                <w:color w:val="auto"/>
              </w:rPr>
            </w:pPr>
            <w:r>
              <w:rPr>
                <w:rFonts w:ascii="Arial" w:cs="Arial" w:eastAsia="Arial" w:hAnsi="Arial"/>
                <w:sz w:val="16"/>
                <w:szCs w:val="16"/>
                <w:color w:val="auto"/>
              </w:rPr>
              <w:t>Increase (decrease) resulting from:</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7"/>
        </w:trPr>
        <w:tc>
          <w:tcPr>
            <w:tcW w:w="8640" w:type="dxa"/>
            <w:vAlign w:val="bottom"/>
          </w:tcPr>
          <w:p>
            <w:pPr>
              <w:ind w:left="80"/>
              <w:spacing w:after="0"/>
              <w:rPr>
                <w:sz w:val="20"/>
                <w:szCs w:val="20"/>
                <w:color w:val="auto"/>
              </w:rPr>
            </w:pPr>
            <w:r>
              <w:rPr>
                <w:rFonts w:ascii="Arial" w:cs="Arial" w:eastAsia="Arial" w:hAnsi="Arial"/>
                <w:sz w:val="16"/>
                <w:szCs w:val="16"/>
                <w:color w:val="auto"/>
              </w:rPr>
              <w:t>Permanent differences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626,270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384,590</w:t>
            </w:r>
          </w:p>
        </w:tc>
      </w:tr>
      <w:tr>
        <w:trPr>
          <w:trHeight w:val="197"/>
        </w:trPr>
        <w:tc>
          <w:tcPr>
            <w:tcW w:w="8640" w:type="dxa"/>
            <w:vAlign w:val="bottom"/>
          </w:tcPr>
          <w:p>
            <w:pPr>
              <w:ind w:left="80"/>
              <w:spacing w:after="0"/>
              <w:rPr>
                <w:sz w:val="20"/>
                <w:szCs w:val="20"/>
                <w:color w:val="auto"/>
              </w:rPr>
            </w:pPr>
            <w:r>
              <w:rPr>
                <w:rFonts w:ascii="Arial" w:cs="Arial" w:eastAsia="Arial" w:hAnsi="Arial"/>
                <w:sz w:val="16"/>
                <w:szCs w:val="16"/>
                <w:color w:val="auto"/>
              </w:rPr>
              <w:t>Other items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(3,908)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(3,908)</w:t>
            </w:r>
          </w:p>
        </w:tc>
      </w:tr>
      <w:tr>
        <w:trPr>
          <w:trHeight w:val="214"/>
        </w:trPr>
        <w:tc>
          <w:tcPr>
            <w:tcW w:w="8640" w:type="dxa"/>
            <w:vAlign w:val="bottom"/>
          </w:tcPr>
          <w:p>
            <w:pPr>
              <w:ind w:left="80"/>
              <w:spacing w:after="0"/>
              <w:rPr>
                <w:sz w:val="20"/>
                <w:szCs w:val="20"/>
                <w:color w:val="auto"/>
              </w:rPr>
            </w:pPr>
            <w:r>
              <w:rPr>
                <w:rFonts w:ascii="Arial" w:cs="Arial" w:eastAsia="Arial" w:hAnsi="Arial"/>
                <w:sz w:val="16"/>
                <w:szCs w:val="16"/>
                <w:color w:val="auto"/>
              </w:rPr>
              <w:t>Change in valuation allowance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1,314,031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1,779,471</w:t>
            </w:r>
          </w:p>
        </w:tc>
        <w:tc>
          <w:tcPr>
            <w:tcW w:w="140" w:type="dxa"/>
            <w:vAlign w:val="bottom"/>
          </w:tcPr>
          <w:p>
            <w:pPr>
              <w:spacing w:after="0"/>
              <w:rPr>
                <w:sz w:val="18"/>
                <w:szCs w:val="18"/>
                <w:color w:val="auto"/>
              </w:rPr>
            </w:pPr>
          </w:p>
        </w:tc>
      </w:tr>
      <w:tr>
        <w:trPr>
          <w:trHeight w:val="197"/>
        </w:trPr>
        <w:tc>
          <w:tcPr>
            <w:tcW w:w="8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Income tax recovery</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20"/>
        </w:trPr>
        <w:tc>
          <w:tcPr>
            <w:tcW w:w="8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Company’s estimated deferred tax assets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68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552196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21960" cy="15875"/>
                    </a:xfrm>
                    <a:prstGeom prst="rect">
                      <a:avLst/>
                    </a:prstGeom>
                    <a:noFill/>
                  </pic:spPr>
                </pic:pic>
              </a:graphicData>
            </a:graphic>
          </wp:anchor>
        </w:drawing>
      </w:r>
    </w:p>
    <w:p>
      <w:pPr>
        <w:spacing w:after="0" w:line="4" w:lineRule="exact"/>
        <w:rPr>
          <w:sz w:val="20"/>
          <w:szCs w:val="20"/>
          <w:color w:val="auto"/>
        </w:rPr>
      </w:pPr>
    </w:p>
    <w:p>
      <w:pPr>
        <w:ind w:left="80"/>
        <w:spacing w:after="0"/>
        <w:rPr>
          <w:sz w:val="20"/>
          <w:szCs w:val="20"/>
          <w:color w:val="auto"/>
        </w:rPr>
      </w:pPr>
      <w:r>
        <w:rPr>
          <w:rFonts w:ascii="Arial" w:cs="Arial" w:eastAsia="Arial" w:hAnsi="Arial"/>
          <w:sz w:val="16"/>
          <w:szCs w:val="16"/>
          <w:color w:val="auto"/>
        </w:rPr>
        <w:t>Stock option expense</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4"/>
          <w:szCs w:val="14"/>
          <w:color w:val="auto"/>
        </w:rPr>
        <w:t>Loss carry-forwards and tax pools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6"/>
          <w:szCs w:val="16"/>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552196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21960" cy="158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Net deferred income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2196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219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552196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2196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Year Ended</w:t>
            </w: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Year Ended</w:t>
            </w: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December 31,</w:t>
            </w:r>
          </w:p>
        </w:tc>
      </w:tr>
      <w:tr>
        <w:trPr>
          <w:trHeight w:val="214"/>
        </w:trPr>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2013</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2012</w:t>
            </w:r>
          </w:p>
        </w:tc>
        <w:tc>
          <w:tcPr>
            <w:tcW w:w="60" w:type="dxa"/>
            <w:vAlign w:val="bottom"/>
          </w:tcPr>
          <w:p>
            <w:pPr>
              <w:spacing w:after="0"/>
              <w:rPr>
                <w:sz w:val="18"/>
                <w:szCs w:val="18"/>
                <w:color w:val="auto"/>
              </w:rPr>
            </w:pPr>
          </w:p>
        </w:tc>
      </w:tr>
      <w:tr>
        <w:trPr>
          <w:trHeight w:val="579"/>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2,730,750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2,730,750</w:t>
            </w: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11,078,782</w:t>
            </w: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9,585,489</w:t>
            </w: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(13,809,532)</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(12,316,239)</w:t>
            </w:r>
          </w:p>
        </w:tc>
      </w:tr>
      <w:tr>
        <w:trPr>
          <w:trHeight w:val="197"/>
        </w:trPr>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484" w:right="239" w:bottom="1440" w:gutter="0" w:footer="0" w:header="0"/>
          <w:type w:val="continuous"/>
        </w:sectPr>
      </w:pPr>
    </w:p>
    <w:p>
      <w:pPr>
        <w:spacing w:after="0" w:line="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the criteria for recognizing future income tax assets have not been met due to the uncertainty of realization, a valuation allowance of 100% has been recorded for the current and prior year.</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has not filed income tax returns for several years for the US entities within the consolidated group of companies. Canadian corporate tax returns to the end of 2007 have been filed. Both taxing authorities prescribe penalties for failing to file certain tax returns and supplemental disclosures. Upon filing and/or review there could be penalties and interest assessed. Such penalties vary by jurisdiction and by assessing practices and authorities. As the Company has incurred losses since inception anticipated risk for exposure to penalties for income tax liability is determined to be low. However, certain jurisdictions may assess penalties for failing to file returns and other disclosures and for failing to file other supplementary information associated with foreign ownership, debt and equity positions. Inherent uncertainties arise over tax positions taken, or expected to be taken, with respect to transfer pricing, inter-company charges and allocations, financing charges, fees, related party transactions, tax credits, tax based incentives and stock based transactions.</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has considered the likelihood and significance of possible penalties associated with its current and intended filing positions and has determined, based on their assessment, that such penalties, if any, would not be expected to be material.</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type w:val="continuous"/>
        </w:sectPr>
      </w:pPr>
    </w:p>
    <w:bookmarkStart w:id="57" w:name="page58"/>
    <w:bookmarkEnd w:id="57"/>
    <w:p>
      <w:pPr>
        <w:spacing w:after="0"/>
        <w:tabs>
          <w:tab w:leader="none" w:pos="900" w:val="left"/>
        </w:tabs>
        <w:rPr>
          <w:sz w:val="20"/>
          <w:szCs w:val="20"/>
          <w:color w:val="auto"/>
        </w:rPr>
      </w:pPr>
      <w:r>
        <w:rPr>
          <w:rFonts w:ascii="Arial" w:cs="Arial" w:eastAsia="Arial" w:hAnsi="Arial"/>
          <w:sz w:val="16"/>
          <w:szCs w:val="16"/>
          <w:b w:val="1"/>
          <w:bCs w:val="1"/>
          <w:color w:val="auto"/>
        </w:rPr>
        <w:t>NOTE 11:</w:t>
        <w:tab/>
        <w:t>SUPPLEMENTAL CASH FLOW INFORMATION AND NON-CASH INVESTING AND FINANCING ACTIVITIES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3"/>
          </w:tcPr>
          <w:p>
            <w:pPr>
              <w:jc w:val="center"/>
              <w:ind w:left="758"/>
              <w:spacing w:after="0"/>
              <w:rPr>
                <w:sz w:val="20"/>
                <w:szCs w:val="20"/>
                <w:color w:val="auto"/>
              </w:rPr>
            </w:pPr>
            <w:r>
              <w:rPr>
                <w:rFonts w:ascii="Arial" w:cs="Arial" w:eastAsia="Arial" w:hAnsi="Arial"/>
                <w:sz w:val="16"/>
                <w:szCs w:val="16"/>
                <w:color w:val="auto"/>
                <w:w w:val="89"/>
              </w:rPr>
              <w:t>Year Ended</w:t>
            </w: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20"/>
              <w:spacing w:after="0"/>
              <w:rPr>
                <w:sz w:val="20"/>
                <w:szCs w:val="20"/>
                <w:color w:val="auto"/>
              </w:rPr>
            </w:pPr>
            <w:r>
              <w:rPr>
                <w:rFonts w:ascii="Arial" w:cs="Arial" w:eastAsia="Arial" w:hAnsi="Arial"/>
                <w:sz w:val="16"/>
                <w:szCs w:val="16"/>
                <w:color w:val="auto"/>
                <w:w w:val="92"/>
              </w:rPr>
              <w:t>December 31, 2013</w:t>
            </w:r>
          </w:p>
        </w:tc>
        <w:tc>
          <w:tcPr>
            <w:tcW w:w="0" w:type="dxa"/>
            <w:vAlign w:val="bottom"/>
          </w:tcPr>
          <w:p>
            <w:pPr>
              <w:spacing w:after="0"/>
              <w:rPr>
                <w:sz w:val="1"/>
                <w:szCs w:val="1"/>
                <w:color w:val="auto"/>
              </w:rPr>
            </w:pPr>
          </w:p>
        </w:tc>
      </w:tr>
      <w:tr>
        <w:trPr>
          <w:trHeight w:val="202"/>
        </w:trPr>
        <w:tc>
          <w:tcPr>
            <w:tcW w:w="87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Shares/warrants</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color w:val="auto"/>
                <w:w w:val="97"/>
              </w:rPr>
              <w:t>Amount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700" w:type="dxa"/>
            <w:vAlign w:val="bottom"/>
            <w:vMerge w:val="restart"/>
          </w:tcPr>
          <w:p>
            <w:pPr>
              <w:spacing w:after="0"/>
              <w:rPr>
                <w:sz w:val="20"/>
                <w:szCs w:val="20"/>
                <w:color w:val="auto"/>
              </w:rPr>
            </w:pPr>
            <w:r>
              <w:rPr>
                <w:rFonts w:ascii="Arial" w:cs="Arial" w:eastAsia="Arial" w:hAnsi="Arial"/>
                <w:sz w:val="16"/>
                <w:szCs w:val="16"/>
                <w:color w:val="auto"/>
              </w:rPr>
              <w:t>Shares issued pursuant to consulting arrangements</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3,500</w:t>
            </w:r>
          </w:p>
        </w:tc>
        <w:tc>
          <w:tcPr>
            <w:tcW w:w="2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38,935</w:t>
            </w:r>
          </w:p>
        </w:tc>
        <w:tc>
          <w:tcPr>
            <w:tcW w:w="0" w:type="dxa"/>
            <w:vAlign w:val="bottom"/>
          </w:tcPr>
          <w:p>
            <w:pPr>
              <w:spacing w:after="0"/>
              <w:rPr>
                <w:sz w:val="1"/>
                <w:szCs w:val="1"/>
                <w:color w:val="auto"/>
              </w:rPr>
            </w:pPr>
          </w:p>
        </w:tc>
      </w:tr>
      <w:tr>
        <w:trPr>
          <w:trHeight w:val="173"/>
        </w:trPr>
        <w:tc>
          <w:tcPr>
            <w:tcW w:w="870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Shares issued pursuant to debt settlement agreements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184,649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400,472</w:t>
            </w:r>
          </w:p>
        </w:tc>
        <w:tc>
          <w:tcPr>
            <w:tcW w:w="0" w:type="dxa"/>
            <w:vAlign w:val="bottom"/>
          </w:tcPr>
          <w:p>
            <w:pPr>
              <w:spacing w:after="0"/>
              <w:rPr>
                <w:sz w:val="1"/>
                <w:szCs w:val="1"/>
                <w:color w:val="auto"/>
              </w:rPr>
            </w:pP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Shares issued pursuant to settlement agreements</w:t>
            </w:r>
          </w:p>
        </w:tc>
        <w:tc>
          <w:tcPr>
            <w:tcW w:w="1480" w:type="dxa"/>
            <w:vAlign w:val="bottom"/>
            <w:gridSpan w:val="3"/>
          </w:tcPr>
          <w:p>
            <w:pPr>
              <w:jc w:val="right"/>
              <w:ind w:right="220"/>
              <w:spacing w:after="0"/>
              <w:rPr>
                <w:sz w:val="20"/>
                <w:szCs w:val="20"/>
                <w:color w:val="auto"/>
              </w:rPr>
            </w:pPr>
            <w:r>
              <w:rPr>
                <w:rFonts w:ascii="Arial" w:cs="Arial" w:eastAsia="Arial" w:hAnsi="Arial"/>
                <w:sz w:val="16"/>
                <w:szCs w:val="16"/>
                <w:color w:val="auto"/>
              </w:rPr>
              <w:t>82,500</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118,275</w:t>
            </w:r>
          </w:p>
        </w:tc>
        <w:tc>
          <w:tcPr>
            <w:tcW w:w="0" w:type="dxa"/>
            <w:vAlign w:val="bottom"/>
          </w:tcPr>
          <w:p>
            <w:pPr>
              <w:spacing w:after="0"/>
              <w:rPr>
                <w:sz w:val="1"/>
                <w:szCs w:val="1"/>
                <w:color w:val="auto"/>
              </w:rPr>
            </w:pPr>
          </w:p>
        </w:tc>
      </w:tr>
      <w:tr>
        <w:trPr>
          <w:trHeight w:val="208"/>
        </w:trPr>
        <w:tc>
          <w:tcPr>
            <w:tcW w:w="8700" w:type="dxa"/>
            <w:vAlign w:val="bottom"/>
          </w:tcPr>
          <w:p>
            <w:pPr>
              <w:spacing w:after="0"/>
              <w:rPr>
                <w:sz w:val="20"/>
                <w:szCs w:val="20"/>
                <w:color w:val="auto"/>
              </w:rPr>
            </w:pPr>
            <w:r>
              <w:rPr>
                <w:rFonts w:ascii="Arial" w:cs="Arial" w:eastAsia="Arial" w:hAnsi="Arial"/>
                <w:sz w:val="16"/>
                <w:szCs w:val="16"/>
                <w:color w:val="auto"/>
              </w:rPr>
              <w:t>Shares issued pursuant to notes conversion</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362,047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737,520</w:t>
            </w:r>
          </w:p>
        </w:tc>
        <w:tc>
          <w:tcPr>
            <w:tcW w:w="0" w:type="dxa"/>
            <w:vAlign w:val="bottom"/>
          </w:tcPr>
          <w:p>
            <w:pPr>
              <w:spacing w:after="0"/>
              <w:rPr>
                <w:sz w:val="1"/>
                <w:szCs w:val="1"/>
                <w:color w:val="auto"/>
              </w:rPr>
            </w:pPr>
          </w:p>
        </w:tc>
      </w:tr>
      <w:tr>
        <w:trPr>
          <w:trHeight w:val="203"/>
        </w:trPr>
        <w:tc>
          <w:tcPr>
            <w:tcW w:w="8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18820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8200" cy="1587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left="8700"/>
        <w:spacing w:after="0"/>
        <w:rPr>
          <w:sz w:val="20"/>
          <w:szCs w:val="20"/>
          <w:color w:val="auto"/>
        </w:rPr>
      </w:pPr>
      <w:r>
        <w:rPr>
          <w:rFonts w:ascii="Arial" w:cs="Arial" w:eastAsia="Arial" w:hAnsi="Arial"/>
          <w:sz w:val="16"/>
          <w:szCs w:val="16"/>
          <w:color w:val="auto"/>
        </w:rPr>
        <w:t>Year Ended</w:t>
      </w:r>
    </w:p>
    <w:p>
      <w:pPr>
        <w:spacing w:after="0" w:line="24" w:lineRule="exact"/>
        <w:rPr>
          <w:sz w:val="20"/>
          <w:szCs w:val="20"/>
          <w:color w:val="auto"/>
        </w:rPr>
      </w:pPr>
    </w:p>
    <w:p>
      <w:pPr>
        <w:jc w:val="center"/>
        <w:ind w:left="8700"/>
        <w:spacing w:after="0"/>
        <w:rPr>
          <w:sz w:val="20"/>
          <w:szCs w:val="20"/>
          <w:color w:val="auto"/>
        </w:rPr>
      </w:pPr>
      <w:r>
        <w:rPr>
          <w:rFonts w:ascii="Arial" w:cs="Arial" w:eastAsia="Arial" w:hAnsi="Arial"/>
          <w:sz w:val="16"/>
          <w:szCs w:val="16"/>
          <w:color w:val="auto"/>
        </w:rPr>
        <w:t>December 31, 2012</w:t>
      </w:r>
    </w:p>
    <w:p>
      <w:pPr>
        <w:spacing w:after="0" w:line="13" w:lineRule="exact"/>
        <w:rPr>
          <w:sz w:val="20"/>
          <w:szCs w:val="20"/>
          <w:color w:val="auto"/>
        </w:rPr>
      </w:pPr>
    </w:p>
    <w:p>
      <w:pPr>
        <w:ind w:left="8860"/>
        <w:spacing w:after="0"/>
        <w:tabs>
          <w:tab w:leader="none" w:pos="10460" w:val="left"/>
        </w:tabs>
        <w:rPr>
          <w:sz w:val="20"/>
          <w:szCs w:val="20"/>
          <w:color w:val="auto"/>
        </w:rPr>
      </w:pPr>
      <w:r>
        <w:rPr>
          <w:rFonts w:ascii="Arial" w:cs="Arial" w:eastAsia="Arial" w:hAnsi="Arial"/>
          <w:sz w:val="16"/>
          <w:szCs w:val="16"/>
          <w:color w:val="auto"/>
        </w:rPr>
        <w:t>Shares/warrants</w:t>
      </w:r>
      <w:r>
        <w:rPr>
          <w:sz w:val="20"/>
          <w:szCs w:val="20"/>
          <w:color w:val="auto"/>
        </w:rPr>
        <w:tab/>
      </w:r>
      <w:r>
        <w:rPr>
          <w:rFonts w:ascii="Arial" w:cs="Arial" w:eastAsia="Arial" w:hAnsi="Arial"/>
          <w:sz w:val="16"/>
          <w:szCs w:val="16"/>
          <w:color w:val="auto"/>
        </w:rPr>
        <w:t>Amount</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ind w:right="979"/>
              <w:spacing w:after="0"/>
              <w:rPr>
                <w:sz w:val="20"/>
                <w:szCs w:val="20"/>
                <w:color w:val="auto"/>
              </w:rPr>
            </w:pPr>
            <w:r>
              <w:rPr>
                <w:rFonts w:ascii="Arial" w:cs="Arial" w:eastAsia="Arial" w:hAnsi="Arial"/>
                <w:sz w:val="15"/>
                <w:szCs w:val="15"/>
                <w:color w:val="auto"/>
                <w:w w:val="71"/>
              </w:rPr>
              <w:t>$</w:t>
            </w: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Shares issued pursuant to consulting arrangements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145,352</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1,998,000</w:t>
            </w: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Shares issued pursuant to debt settlement agreements</w:t>
            </w:r>
          </w:p>
        </w:tc>
        <w:tc>
          <w:tcPr>
            <w:tcW w:w="1480" w:type="dxa"/>
            <w:vAlign w:val="bottom"/>
            <w:gridSpan w:val="3"/>
          </w:tcPr>
          <w:p>
            <w:pPr>
              <w:jc w:val="right"/>
              <w:ind w:right="220"/>
              <w:spacing w:after="0"/>
              <w:rPr>
                <w:sz w:val="20"/>
                <w:szCs w:val="20"/>
                <w:color w:val="auto"/>
              </w:rPr>
            </w:pPr>
            <w:r>
              <w:rPr>
                <w:rFonts w:ascii="Arial" w:cs="Arial" w:eastAsia="Arial" w:hAnsi="Arial"/>
                <w:sz w:val="16"/>
                <w:szCs w:val="16"/>
                <w:color w:val="auto"/>
              </w:rPr>
              <w:t>30,145</w:t>
            </w:r>
          </w:p>
        </w:tc>
        <w:tc>
          <w:tcPr>
            <w:tcW w:w="1140" w:type="dxa"/>
            <w:vAlign w:val="bottom"/>
          </w:tcPr>
          <w:p>
            <w:pPr>
              <w:jc w:val="right"/>
              <w:spacing w:after="0"/>
              <w:rPr>
                <w:sz w:val="20"/>
                <w:szCs w:val="20"/>
                <w:color w:val="auto"/>
              </w:rPr>
            </w:pPr>
            <w:r>
              <w:rPr>
                <w:rFonts w:ascii="Arial" w:cs="Arial" w:eastAsia="Arial" w:hAnsi="Arial"/>
                <w:sz w:val="16"/>
                <w:szCs w:val="16"/>
                <w:color w:val="auto"/>
              </w:rPr>
              <w:t>348,282</w:t>
            </w:r>
          </w:p>
        </w:tc>
      </w:tr>
      <w:tr>
        <w:trPr>
          <w:trHeight w:val="208"/>
        </w:trPr>
        <w:tc>
          <w:tcPr>
            <w:tcW w:w="8700" w:type="dxa"/>
            <w:vAlign w:val="bottom"/>
          </w:tcPr>
          <w:p>
            <w:pPr>
              <w:spacing w:after="0"/>
              <w:rPr>
                <w:sz w:val="20"/>
                <w:szCs w:val="20"/>
                <w:color w:val="auto"/>
              </w:rPr>
            </w:pPr>
            <w:r>
              <w:rPr>
                <w:rFonts w:ascii="Arial" w:cs="Arial" w:eastAsia="Arial" w:hAnsi="Arial"/>
                <w:sz w:val="16"/>
                <w:szCs w:val="16"/>
                <w:color w:val="auto"/>
              </w:rPr>
              <w:t>Shares issued for interest and penalties</w:t>
            </w:r>
          </w:p>
        </w:tc>
        <w:tc>
          <w:tcPr>
            <w:tcW w:w="1480" w:type="dxa"/>
            <w:vAlign w:val="bottom"/>
            <w:gridSpan w:val="3"/>
          </w:tcPr>
          <w:p>
            <w:pPr>
              <w:jc w:val="right"/>
              <w:ind w:right="220"/>
              <w:spacing w:after="0"/>
              <w:rPr>
                <w:sz w:val="20"/>
                <w:szCs w:val="20"/>
                <w:color w:val="auto"/>
              </w:rPr>
            </w:pPr>
            <w:r>
              <w:rPr>
                <w:rFonts w:ascii="Arial" w:cs="Arial" w:eastAsia="Arial" w:hAnsi="Arial"/>
                <w:sz w:val="16"/>
                <w:szCs w:val="16"/>
                <w:color w:val="auto"/>
              </w:rPr>
              <w:t>16,531</w:t>
            </w:r>
          </w:p>
        </w:tc>
        <w:tc>
          <w:tcPr>
            <w:tcW w:w="1140" w:type="dxa"/>
            <w:vAlign w:val="bottom"/>
          </w:tcPr>
          <w:p>
            <w:pPr>
              <w:jc w:val="right"/>
              <w:spacing w:after="0"/>
              <w:rPr>
                <w:sz w:val="20"/>
                <w:szCs w:val="20"/>
                <w:color w:val="auto"/>
              </w:rPr>
            </w:pPr>
            <w:r>
              <w:rPr>
                <w:rFonts w:ascii="Arial" w:cs="Arial" w:eastAsia="Arial" w:hAnsi="Arial"/>
                <w:sz w:val="16"/>
                <w:szCs w:val="16"/>
                <w:color w:val="auto"/>
              </w:rPr>
              <w:t>245,717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8820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8200" cy="15875"/>
                    </a:xfrm>
                    <a:prstGeom prst="rect">
                      <a:avLst/>
                    </a:prstGeom>
                    <a:noFill/>
                  </pic:spPr>
                </pic:pic>
              </a:graphicData>
            </a:graphic>
          </wp:anchor>
        </w:drawing>
      </w:r>
    </w:p>
    <w:p>
      <w:pPr>
        <w:spacing w:after="0" w:line="3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the February 2011 Note settlement agreement entered during the year ended December 31, 2012, the Company issued December 14, 2012 Notes in the amount of $252,280 of which $220,255 was deemed to be for partial settlement of the February 2011 Note.</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the promissory note settlement agreement entered during the year ended December 31, 2012, the Company issued November 1, 2012 Notes in the amount of $105,000 which was deemed to be full settlement of the promissory note (Note 7).</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See Notes 5 and 9 for additional disclosure on non-cash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25868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64" w:lineRule="exact"/>
        <w:rPr>
          <w:sz w:val="20"/>
          <w:szCs w:val="20"/>
          <w:color w:val="auto"/>
        </w:rPr>
      </w:pPr>
    </w:p>
    <w:p>
      <w:pPr>
        <w:ind w:left="9200"/>
        <w:spacing w:after="0"/>
        <w:rPr>
          <w:sz w:val="20"/>
          <w:szCs w:val="20"/>
          <w:color w:val="auto"/>
        </w:rPr>
      </w:pPr>
      <w:r>
        <w:rPr>
          <w:rFonts w:ascii="Arial" w:cs="Arial" w:eastAsia="Arial" w:hAnsi="Arial"/>
          <w:sz w:val="16"/>
          <w:szCs w:val="16"/>
          <w:color w:val="auto"/>
        </w:rPr>
        <w:t>Year Ended December 31,</w:t>
      </w:r>
    </w:p>
    <w:p>
      <w:pPr>
        <w:spacing w:after="0" w:line="24" w:lineRule="exact"/>
        <w:rPr>
          <w:sz w:val="20"/>
          <w:szCs w:val="20"/>
          <w:color w:val="auto"/>
        </w:rPr>
      </w:pPr>
    </w:p>
    <w:p>
      <w:pPr>
        <w:ind w:left="9640"/>
        <w:spacing w:after="0"/>
        <w:tabs>
          <w:tab w:leader="none" w:pos="10980" w:val="left"/>
        </w:tabs>
        <w:rPr>
          <w:sz w:val="20"/>
          <w:szCs w:val="20"/>
          <w:color w:val="auto"/>
        </w:rPr>
      </w:pPr>
      <w:r>
        <w:rPr>
          <w:rFonts w:ascii="Arial" w:cs="Arial" w:eastAsia="Arial" w:hAnsi="Arial"/>
          <w:sz w:val="16"/>
          <w:szCs w:val="16"/>
          <w:color w:val="auto"/>
        </w:rPr>
        <w:t>2013</w:t>
      </w:r>
      <w:r>
        <w:rPr>
          <w:sz w:val="20"/>
          <w:szCs w:val="20"/>
          <w:color w:val="auto"/>
        </w:rPr>
        <w:tab/>
      </w:r>
      <w:r>
        <w:rPr>
          <w:rFonts w:ascii="Arial" w:cs="Arial" w:eastAsia="Arial" w:hAnsi="Arial"/>
          <w:sz w:val="16"/>
          <w:szCs w:val="16"/>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8820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8200" cy="1587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Interest paid in cash</w:t>
            </w:r>
          </w:p>
        </w:tc>
        <w:tc>
          <w:tcPr>
            <w:tcW w:w="7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700" w:type="dxa"/>
            <w:vAlign w:val="bottom"/>
          </w:tcPr>
          <w:p>
            <w:pPr>
              <w:spacing w:after="0"/>
              <w:rPr>
                <w:sz w:val="20"/>
                <w:szCs w:val="20"/>
                <w:color w:val="auto"/>
              </w:rPr>
            </w:pPr>
            <w:r>
              <w:rPr>
                <w:rFonts w:ascii="Arial" w:cs="Arial" w:eastAsia="Arial" w:hAnsi="Arial"/>
                <w:sz w:val="16"/>
                <w:szCs w:val="16"/>
                <w:color w:val="auto"/>
              </w:rPr>
              <w:t>Income taxes paid</w:t>
            </w:r>
          </w:p>
        </w:tc>
        <w:tc>
          <w:tcPr>
            <w:tcW w:w="7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NOTE 12:</w:t>
        <w:tab/>
        <w:t>CONTINGENCIES AND COMMITMENTS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Consultant Litigation</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May 2012, the Company issued 112,000 post-consolidated shares of common stock to two consultants. The Company contested the validity of the services provided and initially were able to delay the sale of the contested shares. The Company was not successful in recovering the contested shares. A claim for alleged damages of approximately $362,000 plus costs by one of the consultants as a result of the contesting of the issuance of the shares has been filed in the Supreme Court of New York. The claim is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The Company is pursuing this litigation through the American Arbitration Association and the potential loss from this litigation, if any, is presently not yet determinable.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Tax Filings</w:t>
      </w:r>
    </w:p>
    <w:p>
      <w:pPr>
        <w:spacing w:after="0" w:line="23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 has not filed income tax returns for several years in certain operating jurisdictions (Note 10), and may be subject to possible compliance penalties and interest. Management is currently not able to make a reliably measurable provision for possible liability for penalties and interest, if any, at this time, and the Company may be liable for such amounts upon assessment. Penalties and interest, if assessed in the future, will be recorded in the period such amounts are determinable.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Combined Research and Operating Obligations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Effective May 25, 2010, the Company entered into a research and license Option Agreement with the Mayo Clinic for the development and possible commercial use of a cancer vaccine. Subject to the approval and guidance of the United States Food and Drug Administration (“FDA”) the Mayo Clinic plans to conduct a Phase I human clinical trial (“Phase I Trial”) to test and develop the Company’s technology.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agreed that, during the period of the option and upon approval of FDA to conduct Phase I Trials, it will pay all the costs incurred by the Mayo Clinic, not to exceed a total of $841,000, of which $510,000 has been paid by a third party under the subsequent Sponsored Research Agreement and $330,000 has been accrued as of December 31, 2013. Management anticipates that Phase 1 Trials will complete by the end of 2014.</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Services Agreement</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February 2011, the Company approved an employment agreement with Dr. Wilson with an initial term of 2 years, which may be automatically extended for successive one-year terms. This employment agreement provides for annual compensation of $180,000 and the grant of an option to acquire 20,000 shares of the Company’s common stock at $19.00 per share, 50% of which vested on March 16, 2011, while the remainder will vest monthly over a period of two years (417 per month). The options shall be exercisable for at least five years.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Consultant Agreements</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May 2012, the Company entered into a one year consulting services agreement superseding the previous management consulting agreement with a consultant (“Consultant A”) to provide expertise in the areas of finance and corporate development to the Management and Board of TapImmune. The consulting services agreement provides for a consulting fee of $12,000 per month from May 2012 to December 2012 and $10,000 for the following four months. The Company also granted 2,500 options to the consultant, vesting equally over twelve months at an exercise price of $17.00 with a ten year term.</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November 2013, the Company entered into an advisory agreement with Consultant A to provide expertise in the areas of finance, corporate restructuring and corporate development to the Management and Board of TapImmune for a one year term. The advisory agreement provides for an advisory fee of $10,000 per month from November 2013 to May 2014 for six months, extendable for additional six months subject to mutual agreement. The Company will also grant 250,000 shares to the consultant post restructuring of the Company’s debt(Note 15).</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December 2012, the Company entered into a one year consulting agreement starting on January 1, 2013 with a company owned by a director of the Company to provide consulting services relating to immunotherapies and other technologies of interest to the Company. The consulting agreement provides for a consulting fee of $3,500 per month, of which $2,500 shall be payable in cash and $1,000 paid in common stock. The agreement can be extended by an additional one-year period by mutual written consent. As of December 31, 2013, the consulting agreement had not been extended.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59" w:name="page60"/>
    <w:bookmarkEnd w:id="59"/>
    <w:p>
      <w:pPr>
        <w:spacing w:after="0"/>
        <w:tabs>
          <w:tab w:leader="none" w:pos="900" w:val="left"/>
        </w:tabs>
        <w:rPr>
          <w:sz w:val="20"/>
          <w:szCs w:val="20"/>
          <w:color w:val="auto"/>
        </w:rPr>
      </w:pPr>
      <w:r>
        <w:rPr>
          <w:rFonts w:ascii="Arial" w:cs="Arial" w:eastAsia="Arial" w:hAnsi="Arial"/>
          <w:sz w:val="16"/>
          <w:szCs w:val="16"/>
          <w:b w:val="1"/>
          <w:bCs w:val="1"/>
          <w:color w:val="auto"/>
        </w:rPr>
        <w:t>NOTE 13:</w:t>
        <w:tab/>
        <w:t>ACCOUNTS PAYABLE AND ACCRUED LIABILITIES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Payable and Accrued Liabilities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color w:val="auto"/>
              </w:rPr>
              <w:t>December 31,</w:t>
            </w: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December 31,</w:t>
            </w:r>
          </w:p>
        </w:tc>
      </w:tr>
      <w:tr>
        <w:trPr>
          <w:trHeight w:val="214"/>
        </w:trPr>
        <w:tc>
          <w:tcPr>
            <w:tcW w:w="5500" w:type="dxa"/>
            <w:vAlign w:val="bottom"/>
          </w:tcPr>
          <w:p>
            <w:pPr>
              <w:spacing w:after="0"/>
              <w:rPr>
                <w:sz w:val="18"/>
                <w:szCs w:val="18"/>
                <w:color w:val="auto"/>
              </w:rPr>
            </w:pP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2013</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r>
      <w:tr>
        <w:trPr>
          <w:trHeight w:val="208"/>
        </w:trPr>
        <w:tc>
          <w:tcPr>
            <w:tcW w:w="55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Borders>
              <w:top w:val="single" w:sz="8" w:color="auto"/>
            </w:tcBorders>
          </w:tcPr>
          <w:p>
            <w:pPr>
              <w:jc w:val="right"/>
              <w:ind w:right="98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370"/>
        </w:trPr>
        <w:tc>
          <w:tcPr>
            <w:tcW w:w="5500" w:type="dxa"/>
            <w:vAlign w:val="bottom"/>
          </w:tcPr>
          <w:p>
            <w:pPr>
              <w:ind w:left="40"/>
              <w:spacing w:after="0"/>
              <w:rPr>
                <w:sz w:val="20"/>
                <w:szCs w:val="20"/>
                <w:color w:val="auto"/>
              </w:rPr>
            </w:pPr>
            <w:r>
              <w:rPr>
                <w:rFonts w:ascii="Arial" w:cs="Arial" w:eastAsia="Arial" w:hAnsi="Arial"/>
                <w:sz w:val="16"/>
                <w:szCs w:val="16"/>
                <w:color w:val="auto"/>
              </w:rPr>
              <w:t>Trade accounts payable</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1,450,083</w:t>
            </w:r>
          </w:p>
        </w:tc>
        <w:tc>
          <w:tcPr>
            <w:tcW w:w="2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1,663,315</w:t>
            </w:r>
          </w:p>
        </w:tc>
      </w:tr>
      <w:tr>
        <w:trPr>
          <w:trHeight w:val="197"/>
        </w:trPr>
        <w:tc>
          <w:tcPr>
            <w:tcW w:w="5500" w:type="dxa"/>
            <w:vAlign w:val="bottom"/>
          </w:tcPr>
          <w:p>
            <w:pPr>
              <w:ind w:left="40"/>
              <w:spacing w:after="0"/>
              <w:rPr>
                <w:sz w:val="20"/>
                <w:szCs w:val="20"/>
                <w:color w:val="auto"/>
              </w:rPr>
            </w:pPr>
            <w:r>
              <w:rPr>
                <w:rFonts w:ascii="Arial" w:cs="Arial" w:eastAsia="Arial" w:hAnsi="Arial"/>
                <w:sz w:val="16"/>
                <w:szCs w:val="16"/>
                <w:color w:val="auto"/>
              </w:rPr>
              <w:t>Debt settlement accruals</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1,348,663</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5500" w:type="dxa"/>
            <w:vAlign w:val="bottom"/>
          </w:tcPr>
          <w:p>
            <w:pPr>
              <w:ind w:left="40"/>
              <w:spacing w:after="0"/>
              <w:rPr>
                <w:sz w:val="20"/>
                <w:szCs w:val="20"/>
                <w:color w:val="auto"/>
              </w:rPr>
            </w:pPr>
            <w:r>
              <w:rPr>
                <w:rFonts w:ascii="Arial" w:cs="Arial" w:eastAsia="Arial" w:hAnsi="Arial"/>
                <w:sz w:val="16"/>
                <w:szCs w:val="16"/>
                <w:color w:val="auto"/>
              </w:rPr>
              <w:t>Accrued liabilities</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201,334</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142,245</w:t>
            </w:r>
          </w:p>
        </w:tc>
      </w:tr>
      <w:tr>
        <w:trPr>
          <w:trHeight w:val="197"/>
        </w:trPr>
        <w:tc>
          <w:tcPr>
            <w:tcW w:w="5500" w:type="dxa"/>
            <w:vAlign w:val="bottom"/>
          </w:tcPr>
          <w:p>
            <w:pPr>
              <w:ind w:left="40"/>
              <w:spacing w:after="0"/>
              <w:rPr>
                <w:sz w:val="20"/>
                <w:szCs w:val="20"/>
                <w:color w:val="auto"/>
              </w:rPr>
            </w:pPr>
            <w:r>
              <w:rPr>
                <w:rFonts w:ascii="Arial" w:cs="Arial" w:eastAsia="Arial" w:hAnsi="Arial"/>
                <w:sz w:val="16"/>
                <w:szCs w:val="16"/>
                <w:color w:val="auto"/>
              </w:rPr>
              <w:t>Employee payroll and severance</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220,290</w:t>
            </w:r>
          </w:p>
        </w:tc>
        <w:tc>
          <w:tcPr>
            <w:tcW w:w="2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61,458</w:t>
            </w:r>
          </w:p>
        </w:tc>
      </w:tr>
      <w:tr>
        <w:trPr>
          <w:trHeight w:val="214"/>
        </w:trPr>
        <w:tc>
          <w:tcPr>
            <w:tcW w:w="550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558,032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74,698</w:t>
            </w:r>
          </w:p>
        </w:tc>
      </w:tr>
      <w:tr>
        <w:trPr>
          <w:trHeight w:val="197"/>
        </w:trPr>
        <w:tc>
          <w:tcPr>
            <w:tcW w:w="55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3,778,401</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1,941,716</w:t>
            </w:r>
          </w:p>
        </w:tc>
        <w:tc>
          <w:tcPr>
            <w:tcW w:w="100" w:type="dxa"/>
            <w:vAlign w:val="bottom"/>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RESTATEMENT OF CONSOLIDATED FINANCIAL STATEMENTS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consolidated financial statements as of and for the year ended December 31, 2012 have been restated to revise the Company’s accounting for derivative liabilities and certain other accounts. The fair value of certain derivative liabilities was adjusted to record the effect of conversion of certain convertible notes and proper classification of some of the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impact of the restatement on the consolidated financial statements as of and for the year ended December 31, 2012, is shown in the following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20"/>
                <w:szCs w:val="20"/>
                <w:color w:val="auto"/>
              </w:rPr>
            </w:pPr>
            <w:r>
              <w:rPr>
                <w:rFonts w:ascii="Arial" w:cs="Arial" w:eastAsia="Arial" w:hAnsi="Arial"/>
                <w:sz w:val="16"/>
                <w:szCs w:val="16"/>
                <w:b w:val="1"/>
                <w:bCs w:val="1"/>
                <w:color w:val="auto"/>
              </w:rPr>
              <w:t>Balance sheet data — December 31, 2012</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As reported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Adjustment</w:t>
            </w:r>
          </w:p>
        </w:tc>
        <w:tc>
          <w:tcPr>
            <w:tcW w:w="220" w:type="dxa"/>
            <w:vAlign w:val="bottom"/>
          </w:tcPr>
          <w:p>
            <w:pPr>
              <w:spacing w:after="0"/>
              <w:rPr>
                <w:sz w:val="18"/>
                <w:szCs w:val="18"/>
                <w:color w:val="auto"/>
              </w:rPr>
            </w:pPr>
          </w:p>
        </w:tc>
        <w:tc>
          <w:tcPr>
            <w:tcW w:w="1020" w:type="dxa"/>
            <w:vAlign w:val="bottom"/>
            <w:gridSpan w:val="2"/>
            <w:vMerge w:val="restart"/>
          </w:tcPr>
          <w:p>
            <w:pPr>
              <w:jc w:val="right"/>
              <w:ind w:right="18"/>
              <w:spacing w:after="0"/>
              <w:rPr>
                <w:sz w:val="20"/>
                <w:szCs w:val="20"/>
                <w:color w:val="auto"/>
              </w:rPr>
            </w:pPr>
            <w:r>
              <w:rPr>
                <w:rFonts w:ascii="Arial" w:cs="Arial" w:eastAsia="Arial" w:hAnsi="Arial"/>
                <w:sz w:val="16"/>
                <w:szCs w:val="16"/>
                <w:color w:val="auto"/>
              </w:rPr>
              <w:t>As restated</w:t>
            </w: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6"/>
                <w:szCs w:val="16"/>
                <w:color w:val="auto"/>
              </w:rPr>
              <w:t>Cash</w:t>
            </w:r>
          </w:p>
        </w:tc>
        <w:tc>
          <w:tcPr>
            <w:tcW w:w="3040" w:type="dxa"/>
            <w:vAlign w:val="bottom"/>
            <w:gridSpan w:val="3"/>
          </w:tcPr>
          <w:p>
            <w:pPr>
              <w:jc w:val="right"/>
              <w:ind w:right="6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50,679</w:t>
            </w:r>
          </w:p>
        </w:tc>
        <w:tc>
          <w:tcPr>
            <w:tcW w:w="32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(16,840)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33,839</w:t>
            </w:r>
          </w:p>
        </w:tc>
        <w:tc>
          <w:tcPr>
            <w:tcW w:w="0" w:type="dxa"/>
            <w:vAlign w:val="bottom"/>
          </w:tcPr>
          <w:p>
            <w:pPr>
              <w:spacing w:after="0"/>
              <w:rPr>
                <w:sz w:val="1"/>
                <w:szCs w:val="1"/>
                <w:color w:val="auto"/>
              </w:rPr>
            </w:pPr>
          </w:p>
        </w:tc>
      </w:tr>
      <w:tr>
        <w:trPr>
          <w:trHeight w:val="202"/>
        </w:trPr>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Total assets</w:t>
            </w:r>
          </w:p>
        </w:tc>
        <w:tc>
          <w:tcPr>
            <w:tcW w:w="27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104,212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(16,840)</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87,372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4620" w:type="dxa"/>
            <w:vAlign w:val="bottom"/>
          </w:tcPr>
          <w:p>
            <w:pPr>
              <w:spacing w:after="0"/>
              <w:rPr>
                <w:sz w:val="20"/>
                <w:szCs w:val="20"/>
                <w:color w:val="auto"/>
              </w:rPr>
            </w:pPr>
            <w:r>
              <w:rPr>
                <w:rFonts w:ascii="Arial" w:cs="Arial" w:eastAsia="Arial" w:hAnsi="Arial"/>
                <w:sz w:val="16"/>
                <w:szCs w:val="16"/>
                <w:color w:val="auto"/>
              </w:rPr>
              <w:t>Accounts payable and accrued liabilities</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2,058,556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(116,840)</w:t>
            </w:r>
          </w:p>
        </w:tc>
        <w:tc>
          <w:tcPr>
            <w:tcW w:w="220" w:type="dxa"/>
            <w:vAlign w:val="bottom"/>
          </w:tcPr>
          <w:p>
            <w:pPr>
              <w:spacing w:after="0"/>
              <w:rPr>
                <w:sz w:val="24"/>
                <w:szCs w:val="24"/>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1,941,716</w:t>
            </w:r>
          </w:p>
        </w:tc>
        <w:tc>
          <w:tcPr>
            <w:tcW w:w="0" w:type="dxa"/>
            <w:vAlign w:val="bottom"/>
          </w:tcPr>
          <w:p>
            <w:pPr>
              <w:spacing w:after="0"/>
              <w:rPr>
                <w:sz w:val="1"/>
                <w:szCs w:val="1"/>
                <w:color w:val="auto"/>
              </w:rPr>
            </w:pPr>
          </w:p>
        </w:tc>
      </w:tr>
      <w:tr>
        <w:trPr>
          <w:trHeight w:val="197"/>
        </w:trPr>
        <w:tc>
          <w:tcPr>
            <w:tcW w:w="4620" w:type="dxa"/>
            <w:vAlign w:val="bottom"/>
          </w:tcPr>
          <w:p>
            <w:pPr>
              <w:spacing w:after="0"/>
              <w:rPr>
                <w:sz w:val="20"/>
                <w:szCs w:val="20"/>
                <w:color w:val="auto"/>
              </w:rPr>
            </w:pPr>
            <w:r>
              <w:rPr>
                <w:rFonts w:ascii="Arial" w:cs="Arial" w:eastAsia="Arial" w:hAnsi="Arial"/>
                <w:sz w:val="16"/>
                <w:szCs w:val="16"/>
                <w:color w:val="auto"/>
              </w:rPr>
              <w:t>Derivative liability – conversion option</w:t>
            </w: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798,300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69,275</w:t>
            </w:r>
          </w:p>
        </w:tc>
        <w:tc>
          <w:tcPr>
            <w:tcW w:w="22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867,575</w:t>
            </w:r>
          </w:p>
        </w:tc>
        <w:tc>
          <w:tcPr>
            <w:tcW w:w="0" w:type="dxa"/>
            <w:vAlign w:val="bottom"/>
          </w:tcPr>
          <w:p>
            <w:pPr>
              <w:spacing w:after="0"/>
              <w:rPr>
                <w:sz w:val="1"/>
                <w:szCs w:val="1"/>
                <w:color w:val="auto"/>
              </w:rPr>
            </w:pPr>
          </w:p>
        </w:tc>
      </w:tr>
      <w:tr>
        <w:trPr>
          <w:trHeight w:val="197"/>
        </w:trPr>
        <w:tc>
          <w:tcPr>
            <w:tcW w:w="4620" w:type="dxa"/>
            <w:vAlign w:val="bottom"/>
          </w:tcPr>
          <w:p>
            <w:pPr>
              <w:spacing w:after="0"/>
              <w:rPr>
                <w:sz w:val="20"/>
                <w:szCs w:val="20"/>
                <w:color w:val="auto"/>
              </w:rPr>
            </w:pPr>
            <w:r>
              <w:rPr>
                <w:rFonts w:ascii="Arial" w:cs="Arial" w:eastAsia="Arial" w:hAnsi="Arial"/>
                <w:sz w:val="16"/>
                <w:szCs w:val="16"/>
                <w:color w:val="auto"/>
              </w:rPr>
              <w:t>Derivative liability - warrants</w:t>
            </w: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677,086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977,086</w:t>
            </w:r>
          </w:p>
        </w:tc>
        <w:tc>
          <w:tcPr>
            <w:tcW w:w="0" w:type="dxa"/>
            <w:vAlign w:val="bottom"/>
          </w:tcPr>
          <w:p>
            <w:pPr>
              <w:spacing w:after="0"/>
              <w:rPr>
                <w:sz w:val="1"/>
                <w:szCs w:val="1"/>
                <w:color w:val="auto"/>
              </w:rPr>
            </w:pPr>
          </w:p>
        </w:tc>
      </w:tr>
      <w:tr>
        <w:trPr>
          <w:trHeight w:val="197"/>
        </w:trPr>
        <w:tc>
          <w:tcPr>
            <w:tcW w:w="4620" w:type="dxa"/>
            <w:vAlign w:val="bottom"/>
          </w:tcPr>
          <w:p>
            <w:pPr>
              <w:spacing w:after="0"/>
              <w:rPr>
                <w:sz w:val="20"/>
                <w:szCs w:val="20"/>
                <w:color w:val="auto"/>
              </w:rPr>
            </w:pPr>
            <w:r>
              <w:rPr>
                <w:rFonts w:ascii="Arial" w:cs="Arial" w:eastAsia="Arial" w:hAnsi="Arial"/>
                <w:sz w:val="16"/>
                <w:szCs w:val="16"/>
                <w:color w:val="auto"/>
              </w:rPr>
              <w:t>Convertible notes payable</w:t>
            </w: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1,376,230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1,476,230</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6"/>
                <w:szCs w:val="16"/>
                <w:color w:val="auto"/>
              </w:rPr>
              <w:t>Due to related parties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366,697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373,346</w:t>
            </w:r>
          </w:p>
        </w:tc>
        <w:tc>
          <w:tcPr>
            <w:tcW w:w="0" w:type="dxa"/>
            <w:vAlign w:val="bottom"/>
          </w:tcPr>
          <w:p>
            <w:pPr>
              <w:spacing w:after="0"/>
              <w:rPr>
                <w:sz w:val="1"/>
                <w:szCs w:val="1"/>
                <w:color w:val="auto"/>
              </w:rPr>
            </w:pPr>
          </w:p>
        </w:tc>
      </w:tr>
      <w:tr>
        <w:trPr>
          <w:trHeight w:val="202"/>
        </w:trPr>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Total liabilities</w:t>
            </w:r>
          </w:p>
        </w:tc>
        <w:tc>
          <w:tcPr>
            <w:tcW w:w="27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5,770,809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359,084</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6,129,893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46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43,545,947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(62,000)</w:t>
            </w:r>
          </w:p>
        </w:tc>
        <w:tc>
          <w:tcPr>
            <w:tcW w:w="220" w:type="dxa"/>
            <w:vAlign w:val="bottom"/>
          </w:tcPr>
          <w:p>
            <w:pPr>
              <w:spacing w:after="0"/>
              <w:rPr>
                <w:sz w:val="24"/>
                <w:szCs w:val="24"/>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43,483,947</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6"/>
                <w:szCs w:val="16"/>
                <w:color w:val="auto"/>
              </w:rPr>
              <w:t>Deficit accumulated during the development stage</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(49,580,159)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(313,924)</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(49,894,083)</w:t>
            </w:r>
          </w:p>
        </w:tc>
        <w:tc>
          <w:tcPr>
            <w:tcW w:w="0" w:type="dxa"/>
            <w:vAlign w:val="bottom"/>
          </w:tcPr>
          <w:p>
            <w:pPr>
              <w:spacing w:after="0"/>
              <w:rPr>
                <w:sz w:val="1"/>
                <w:szCs w:val="1"/>
                <w:color w:val="auto"/>
              </w:rPr>
            </w:pPr>
          </w:p>
        </w:tc>
      </w:tr>
      <w:tr>
        <w:trPr>
          <w:trHeight w:val="202"/>
        </w:trPr>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Stockholders’ deficiency</w:t>
            </w:r>
          </w:p>
        </w:tc>
        <w:tc>
          <w:tcPr>
            <w:tcW w:w="27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(5,666,597)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(375,924)</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(6,042,521)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620" w:type="dxa"/>
            <w:vAlign w:val="bottom"/>
          </w:tcPr>
          <w:p>
            <w:pPr>
              <w:spacing w:after="0"/>
              <w:rPr>
                <w:sz w:val="20"/>
                <w:szCs w:val="20"/>
                <w:color w:val="auto"/>
              </w:rPr>
            </w:pPr>
            <w:r>
              <w:rPr>
                <w:rFonts w:ascii="Arial" w:cs="Arial" w:eastAsia="Arial" w:hAnsi="Arial"/>
                <w:sz w:val="16"/>
                <w:szCs w:val="16"/>
                <w:b w:val="1"/>
                <w:bCs w:val="1"/>
                <w:color w:val="auto"/>
              </w:rPr>
              <w:t>Consolidated Statement of Operations data</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620" w:type="dxa"/>
            <w:vAlign w:val="bottom"/>
          </w:tcPr>
          <w:p>
            <w:pPr>
              <w:spacing w:after="0"/>
              <w:rPr>
                <w:sz w:val="20"/>
                <w:szCs w:val="20"/>
                <w:color w:val="auto"/>
              </w:rPr>
            </w:pPr>
            <w:r>
              <w:rPr>
                <w:rFonts w:ascii="Arial" w:cs="Arial" w:eastAsia="Arial" w:hAnsi="Arial"/>
                <w:sz w:val="16"/>
                <w:szCs w:val="16"/>
                <w:b w:val="1"/>
                <w:bCs w:val="1"/>
                <w:color w:val="auto"/>
              </w:rPr>
              <w:t>For the year ended December 31, 2012</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As reported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Adjustment</w:t>
            </w:r>
          </w:p>
        </w:tc>
        <w:tc>
          <w:tcPr>
            <w:tcW w:w="220" w:type="dxa"/>
            <w:vAlign w:val="bottom"/>
          </w:tcPr>
          <w:p>
            <w:pPr>
              <w:spacing w:after="0"/>
              <w:rPr>
                <w:sz w:val="18"/>
                <w:szCs w:val="18"/>
                <w:color w:val="auto"/>
              </w:rPr>
            </w:pPr>
          </w:p>
        </w:tc>
        <w:tc>
          <w:tcPr>
            <w:tcW w:w="1020" w:type="dxa"/>
            <w:vAlign w:val="bottom"/>
            <w:gridSpan w:val="2"/>
            <w:vMerge w:val="restart"/>
          </w:tcPr>
          <w:p>
            <w:pPr>
              <w:jc w:val="right"/>
              <w:ind w:right="18"/>
              <w:spacing w:after="0"/>
              <w:rPr>
                <w:sz w:val="20"/>
                <w:szCs w:val="20"/>
                <w:color w:val="auto"/>
              </w:rPr>
            </w:pPr>
            <w:r>
              <w:rPr>
                <w:rFonts w:ascii="Arial" w:cs="Arial" w:eastAsia="Arial" w:hAnsi="Arial"/>
                <w:sz w:val="16"/>
                <w:szCs w:val="16"/>
                <w:color w:val="auto"/>
              </w:rPr>
              <w:t>As restated</w:t>
            </w: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6"/>
                <w:szCs w:val="16"/>
                <w:color w:val="auto"/>
              </w:rPr>
              <w:t>Management fees</w:t>
            </w:r>
          </w:p>
        </w:tc>
        <w:tc>
          <w:tcPr>
            <w:tcW w:w="3040" w:type="dxa"/>
            <w:vAlign w:val="bottom"/>
            <w:gridSpan w:val="3"/>
          </w:tcPr>
          <w:p>
            <w:pPr>
              <w:jc w:val="right"/>
              <w:ind w:right="6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295,600</w:t>
            </w:r>
          </w:p>
        </w:tc>
        <w:tc>
          <w:tcPr>
            <w:tcW w:w="32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6,649</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302,249</w:t>
            </w:r>
          </w:p>
        </w:tc>
        <w:tc>
          <w:tcPr>
            <w:tcW w:w="0" w:type="dxa"/>
            <w:vAlign w:val="bottom"/>
          </w:tcPr>
          <w:p>
            <w:pPr>
              <w:spacing w:after="0"/>
              <w:rPr>
                <w:sz w:val="1"/>
                <w:szCs w:val="1"/>
                <w:color w:val="auto"/>
              </w:rPr>
            </w:pPr>
          </w:p>
        </w:tc>
      </w:tr>
      <w:tr>
        <w:trPr>
          <w:trHeight w:val="202"/>
        </w:trPr>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Net loss before other items</w:t>
            </w:r>
          </w:p>
        </w:tc>
        <w:tc>
          <w:tcPr>
            <w:tcW w:w="27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(6,222,798)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(6,649)</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(6,229,447)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Changes in fair value of derivative liabilities</w:t>
            </w:r>
          </w:p>
        </w:tc>
        <w:tc>
          <w:tcPr>
            <w:tcW w:w="2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536,527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(307,375)</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Loss</w:t>
            </w:r>
          </w:p>
        </w:tc>
        <w:tc>
          <w:tcPr>
            <w:tcW w:w="2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(5,857,943)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(313,924)</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(6,171,867)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9"/>
        </w:trPr>
        <w:tc>
          <w:tcPr>
            <w:tcW w:w="4620" w:type="dxa"/>
            <w:vAlign w:val="bottom"/>
          </w:tcPr>
          <w:p>
            <w:pPr>
              <w:spacing w:after="0"/>
              <w:rPr>
                <w:sz w:val="20"/>
                <w:szCs w:val="20"/>
                <w:color w:val="auto"/>
              </w:rPr>
            </w:pPr>
            <w:r>
              <w:rPr>
                <w:rFonts w:ascii="Arial" w:cs="Arial" w:eastAsia="Arial" w:hAnsi="Arial"/>
                <w:sz w:val="16"/>
                <w:szCs w:val="16"/>
                <w:b w:val="1"/>
                <w:bCs w:val="1"/>
                <w:color w:val="auto"/>
              </w:rPr>
              <w:t>Consolidated Statement of Operations data</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620" w:type="dxa"/>
            <w:vAlign w:val="bottom"/>
          </w:tcPr>
          <w:p>
            <w:pPr>
              <w:spacing w:after="0"/>
              <w:rPr>
                <w:sz w:val="20"/>
                <w:szCs w:val="20"/>
                <w:color w:val="auto"/>
              </w:rPr>
            </w:pPr>
            <w:r>
              <w:rPr>
                <w:rFonts w:ascii="Arial" w:cs="Arial" w:eastAsia="Arial" w:hAnsi="Arial"/>
                <w:sz w:val="16"/>
                <w:szCs w:val="16"/>
                <w:b w:val="1"/>
                <w:bCs w:val="1"/>
                <w:color w:val="auto"/>
              </w:rPr>
              <w:t>From July 27, 1999 (inception) to December 31, 2012</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As reported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Adjustment</w:t>
            </w:r>
          </w:p>
        </w:tc>
        <w:tc>
          <w:tcPr>
            <w:tcW w:w="220" w:type="dxa"/>
            <w:vAlign w:val="bottom"/>
          </w:tcPr>
          <w:p>
            <w:pPr>
              <w:spacing w:after="0"/>
              <w:rPr>
                <w:sz w:val="18"/>
                <w:szCs w:val="18"/>
                <w:color w:val="auto"/>
              </w:rPr>
            </w:pPr>
          </w:p>
        </w:tc>
        <w:tc>
          <w:tcPr>
            <w:tcW w:w="1020" w:type="dxa"/>
            <w:vAlign w:val="bottom"/>
            <w:gridSpan w:val="2"/>
            <w:vMerge w:val="restart"/>
          </w:tcPr>
          <w:p>
            <w:pPr>
              <w:jc w:val="right"/>
              <w:ind w:right="18"/>
              <w:spacing w:after="0"/>
              <w:rPr>
                <w:sz w:val="20"/>
                <w:szCs w:val="20"/>
                <w:color w:val="auto"/>
              </w:rPr>
            </w:pPr>
            <w:r>
              <w:rPr>
                <w:rFonts w:ascii="Arial" w:cs="Arial" w:eastAsia="Arial" w:hAnsi="Arial"/>
                <w:sz w:val="16"/>
                <w:szCs w:val="16"/>
                <w:color w:val="auto"/>
              </w:rPr>
              <w:t>As restated</w:t>
            </w: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6"/>
                <w:szCs w:val="16"/>
                <w:color w:val="auto"/>
              </w:rPr>
              <w:t>Management fees</w:t>
            </w:r>
          </w:p>
        </w:tc>
        <w:tc>
          <w:tcPr>
            <w:tcW w:w="3040" w:type="dxa"/>
            <w:vAlign w:val="bottom"/>
            <w:gridSpan w:val="3"/>
          </w:tcPr>
          <w:p>
            <w:pPr>
              <w:jc w:val="right"/>
              <w:ind w:right="6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3,067,654</w:t>
            </w:r>
          </w:p>
        </w:tc>
        <w:tc>
          <w:tcPr>
            <w:tcW w:w="32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6,649</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
              <w:spacing w:after="0"/>
              <w:rPr>
                <w:sz w:val="20"/>
                <w:szCs w:val="20"/>
                <w:color w:val="auto"/>
              </w:rPr>
            </w:pPr>
            <w:r>
              <w:rPr>
                <w:rFonts w:ascii="Arial" w:cs="Arial" w:eastAsia="Arial" w:hAnsi="Arial"/>
                <w:sz w:val="16"/>
                <w:szCs w:val="16"/>
                <w:color w:val="auto"/>
              </w:rPr>
              <w:t>3,074,303</w:t>
            </w:r>
          </w:p>
        </w:tc>
        <w:tc>
          <w:tcPr>
            <w:tcW w:w="0" w:type="dxa"/>
            <w:vAlign w:val="bottom"/>
          </w:tcPr>
          <w:p>
            <w:pPr>
              <w:spacing w:after="0"/>
              <w:rPr>
                <w:sz w:val="1"/>
                <w:szCs w:val="1"/>
                <w:color w:val="auto"/>
              </w:rPr>
            </w:pPr>
          </w:p>
        </w:tc>
      </w:tr>
      <w:tr>
        <w:trPr>
          <w:trHeight w:val="202"/>
        </w:trPr>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Net loss before other items</w:t>
            </w:r>
          </w:p>
        </w:tc>
        <w:tc>
          <w:tcPr>
            <w:tcW w:w="27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(41,491,894)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(6,649)</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(41,498,543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5"/>
        </w:trPr>
        <w:tc>
          <w:tcPr>
            <w:tcW w:w="4620" w:type="dxa"/>
            <w:vAlign w:val="bottom"/>
          </w:tcPr>
          <w:p>
            <w:pPr>
              <w:spacing w:after="0"/>
              <w:rPr>
                <w:sz w:val="20"/>
                <w:szCs w:val="20"/>
                <w:color w:val="auto"/>
              </w:rPr>
            </w:pPr>
            <w:r>
              <w:rPr>
                <w:rFonts w:ascii="Arial" w:cs="Arial" w:eastAsia="Arial" w:hAnsi="Arial"/>
                <w:sz w:val="16"/>
                <w:szCs w:val="16"/>
                <w:color w:val="auto"/>
              </w:rPr>
              <w:t>Changes in fair value of derivative liabilities</w:t>
            </w: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4,611,667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(307,375)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4,304,392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6"/>
                <w:szCs w:val="16"/>
                <w:color w:val="auto"/>
              </w:rPr>
              <w:t>Net Loss</w:t>
            </w:r>
          </w:p>
        </w:tc>
        <w:tc>
          <w:tcPr>
            <w:tcW w:w="2700" w:type="dxa"/>
            <w:vAlign w:val="bottom"/>
          </w:tcPr>
          <w:p>
            <w:pPr>
              <w:spacing w:after="0"/>
              <w:rPr>
                <w:sz w:val="18"/>
                <w:szCs w:val="18"/>
                <w:color w:val="auto"/>
              </w:rPr>
            </w:pPr>
          </w:p>
        </w:tc>
        <w:tc>
          <w:tcPr>
            <w:tcW w:w="34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(49,580,159)</w:t>
            </w:r>
          </w:p>
        </w:tc>
        <w:tc>
          <w:tcPr>
            <w:tcW w:w="32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(313,924)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(49,894,083)</w:t>
            </w:r>
          </w:p>
        </w:tc>
        <w:tc>
          <w:tcPr>
            <w:tcW w:w="0" w:type="dxa"/>
            <w:vAlign w:val="bottom"/>
          </w:tcPr>
          <w:p>
            <w:pPr>
              <w:spacing w:after="0"/>
              <w:rPr>
                <w:sz w:val="1"/>
                <w:szCs w:val="1"/>
                <w:color w:val="auto"/>
              </w:rPr>
            </w:pPr>
          </w:p>
        </w:tc>
      </w:tr>
      <w:tr>
        <w:trPr>
          <w:trHeight w:val="20"/>
        </w:trPr>
        <w:tc>
          <w:tcPr>
            <w:tcW w:w="462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4620" w:type="dxa"/>
            <w:vAlign w:val="bottom"/>
          </w:tcPr>
          <w:p>
            <w:pPr>
              <w:spacing w:after="0"/>
              <w:rPr>
                <w:sz w:val="24"/>
                <w:szCs w:val="24"/>
                <w:color w:val="auto"/>
              </w:rPr>
            </w:pPr>
          </w:p>
        </w:tc>
        <w:tc>
          <w:tcPr>
            <w:tcW w:w="3040" w:type="dxa"/>
            <w:vAlign w:val="bottom"/>
            <w:gridSpan w:val="3"/>
          </w:tcPr>
          <w:p>
            <w:pPr>
              <w:jc w:val="right"/>
              <w:ind w:right="1723"/>
              <w:spacing w:after="0"/>
              <w:rPr>
                <w:sz w:val="20"/>
                <w:szCs w:val="20"/>
                <w:color w:val="auto"/>
              </w:rPr>
            </w:pPr>
            <w:r>
              <w:rPr>
                <w:rFonts w:ascii="Arial" w:cs="Arial" w:eastAsia="Arial" w:hAnsi="Arial"/>
                <w:sz w:val="16"/>
                <w:szCs w:val="16"/>
                <w:color w:val="auto"/>
              </w:rPr>
              <w:t>F-38</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20" w:type="dxa"/>
            <w:vAlign w:val="bottom"/>
            <w:tcBorders>
              <w:bottom w:val="single" w:sz="8" w:color="808080"/>
            </w:tcBorders>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60" w:name="page61"/>
    <w:bookmarkEnd w:id="60"/>
    <w:p>
      <w:pPr>
        <w:spacing w:after="0"/>
        <w:tabs>
          <w:tab w:leader="none" w:pos="900" w:val="left"/>
        </w:tabs>
        <w:rPr>
          <w:sz w:val="20"/>
          <w:szCs w:val="20"/>
          <w:color w:val="auto"/>
        </w:rPr>
      </w:pPr>
      <w:r>
        <w:rPr>
          <w:rFonts w:ascii="Arial" w:cs="Arial" w:eastAsia="Arial" w:hAnsi="Arial"/>
          <w:sz w:val="16"/>
          <w:szCs w:val="16"/>
          <w:b w:val="1"/>
          <w:bCs w:val="1"/>
          <w:color w:val="auto"/>
        </w:rPr>
        <w:t>NOTE 15:</w:t>
        <w:tab/>
        <w:t>SUBSEQUENT EVENTS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January 6, 2014, the Company designated 1,200,000 series A preferred shares (“Series A Convertible Preferred Stock”). Each share of Series A Convertible Preferred Stock that is outstanding at the time that the Company enacts a reverse stock split, the Series A Convertible Preferred Stock shall automatically convert into five shares of the Company’s common stock on a post-split basis.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10, 2014, the shareholders and the board of directors of the Company approved a reverse stock split whereby every one hundred shares of common stock held by a stockholder were exchanged for one share of the Company’s common stock.</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10, 2014, the Company amended its Articles of Incorporation to increase its authorized share capital from 150,000,000 shares of common stock and 5,000,000 shares of preferred stock to 500,000,000 shares of common stock and 5,000,000 shares of preferred stock.</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18, 2014, the Company’s board of directors approved the creation of a class of up to 1,500,000 preferred stock, par value $0.001, called series B convertible preferred stock (“Series B Convertible Preferred Stock”). The terms of the Series B Convertible Preferred Stock are:</w:t>
      </w:r>
    </w:p>
    <w:p>
      <w:pPr>
        <w:spacing w:after="0" w:line="174" w:lineRule="exact"/>
        <w:rPr>
          <w:sz w:val="20"/>
          <w:szCs w:val="20"/>
          <w:color w:val="auto"/>
        </w:rPr>
      </w:pPr>
    </w:p>
    <w:p>
      <w:pPr>
        <w:ind w:left="580" w:hanging="113"/>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rank pari passu to the common stock with respect to rights on liquidation, winding up and dissolution;</w:t>
      </w:r>
    </w:p>
    <w:p>
      <w:pPr>
        <w:spacing w:after="0" w:line="234" w:lineRule="exact"/>
        <w:rPr>
          <w:rFonts w:ascii="Arial" w:cs="Arial" w:eastAsia="Arial" w:hAnsi="Arial"/>
          <w:sz w:val="16"/>
          <w:szCs w:val="16"/>
          <w:color w:val="auto"/>
        </w:rPr>
      </w:pPr>
    </w:p>
    <w:p>
      <w:pPr>
        <w:ind w:left="580" w:hanging="113"/>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have no dividend rights except as may be declared by the Board in its sole and absolute discretion;</w:t>
      </w:r>
    </w:p>
    <w:p>
      <w:pPr>
        <w:spacing w:after="0" w:line="234" w:lineRule="exact"/>
        <w:rPr>
          <w:rFonts w:ascii="Arial" w:cs="Arial" w:eastAsia="Arial" w:hAnsi="Arial"/>
          <w:sz w:val="16"/>
          <w:szCs w:val="16"/>
          <w:color w:val="auto"/>
        </w:rPr>
      </w:pPr>
    </w:p>
    <w:p>
      <w:pPr>
        <w:ind w:left="580" w:hanging="113"/>
        <w:spacing w:after="0" w:line="288"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shall have the right to cast one thousand (1,000) votes for each share held of record on all matters submitted to a vote of holders of the Corporation’s common stock; and</w:t>
      </w:r>
    </w:p>
    <w:p>
      <w:pPr>
        <w:spacing w:after="0" w:line="174" w:lineRule="exact"/>
        <w:rPr>
          <w:rFonts w:ascii="Arial" w:cs="Arial" w:eastAsia="Arial" w:hAnsi="Arial"/>
          <w:sz w:val="16"/>
          <w:szCs w:val="16"/>
          <w:color w:val="auto"/>
        </w:rPr>
      </w:pPr>
    </w:p>
    <w:p>
      <w:pPr>
        <w:jc w:val="both"/>
        <w:ind w:left="580" w:hanging="113"/>
        <w:spacing w:after="0" w:line="267"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shall automatically convert into shares of common stock upon the occurrence of a reverse stock split of the Corporation’s common stock in which every 100 shares of the Corporation’s common stock outstanding at the time that this certificate of designation was filed with the Secretary of State of Nevada is exchanged for one share of the Corporation’s common stock, with each share of Series B Convertible Preferred Stock converting into seven shares of the Corporation’s common stock (such number to be after the 100:1 reverse stock split).</w:t>
      </w:r>
    </w:p>
    <w:p>
      <w:pPr>
        <w:spacing w:after="0" w:line="19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In January and February 2014, the Company converted debt totaling approximately $3,498,000 into 874,555 shares of Series A Convertible Preferred Stock. On February 20, 2014, the 874,555 shares of Series a Convertible Preferred Stock were converted into 4,372,774 shares of common stock. This debt included $746,696 of principal and interest due to related parties, which was converted into 933,370 common shares.</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February 2014, the Company converted debt totaling approximately $1,374,000 into 1,374,307 shares of Series B Convertible Preferred Stock. On February 20, 2014, the 1,374,307 shares of Series B Convertible Preferred Stock were converted into 9,620,150 shares of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On February 20, 2014, the Company issued 168,787 shares of common stock for:</w:t>
      </w:r>
    </w:p>
    <w:p>
      <w:pPr>
        <w:spacing w:after="0" w:line="235" w:lineRule="exact"/>
        <w:rPr>
          <w:sz w:val="20"/>
          <w:szCs w:val="20"/>
          <w:color w:val="auto"/>
        </w:rPr>
      </w:pPr>
    </w:p>
    <w:p>
      <w:pPr>
        <w:ind w:left="580" w:hanging="113"/>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5,000 restricted common shares in exchange for legal fees,</w:t>
      </w:r>
    </w:p>
    <w:p>
      <w:pPr>
        <w:spacing w:after="0" w:line="234" w:lineRule="exact"/>
        <w:rPr>
          <w:rFonts w:ascii="Arial" w:cs="Arial" w:eastAsia="Arial" w:hAnsi="Arial"/>
          <w:sz w:val="16"/>
          <w:szCs w:val="16"/>
          <w:color w:val="auto"/>
        </w:rPr>
      </w:pPr>
    </w:p>
    <w:p>
      <w:pPr>
        <w:ind w:left="580" w:hanging="113"/>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150,000 restricted common shares in pursuant to a consulting agreement, and</w:t>
      </w:r>
    </w:p>
    <w:p>
      <w:pPr>
        <w:spacing w:after="0" w:line="234" w:lineRule="exact"/>
        <w:rPr>
          <w:rFonts w:ascii="Arial" w:cs="Arial" w:eastAsia="Arial" w:hAnsi="Arial"/>
          <w:sz w:val="16"/>
          <w:szCs w:val="16"/>
          <w:color w:val="auto"/>
        </w:rPr>
      </w:pPr>
    </w:p>
    <w:p>
      <w:pPr>
        <w:ind w:left="580" w:hanging="113"/>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13,787 restricted common shares in exchange for legal fees.</w:t>
      </w:r>
    </w:p>
    <w:p>
      <w:pPr>
        <w:spacing w:after="0" w:line="235"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On March 24, 2014, the Company issued 145,000 shares of its common stock to one person for the settlement of approximately $127,040 of debt, and on April 4, 2014, the Company issued 244,764 shares of common stock to the same person for the settlement of approximately $214,446 of debt.</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February, 2014, the Company entered into a one year media and investor relations service contract with a consultant. The contract provides for the Company to make a $100,000 payment on signing of the contract and 200,000 shares of restricted common stock, of which 100,000 are to be issued immediately and an additional 100,000 restricted common stock within 10 business days upon the Company’s successful listing on NASDAQ or NYSE MKT exchange.</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18, 2014, a third party entered into an option agreement with the Company to assign its technology license agreement (“license Agreement”) with Mayo Foundation for Medical Education and Research (“Mayo”) on the following terms:</w:t>
      </w:r>
    </w:p>
    <w:p>
      <w:pPr>
        <w:spacing w:after="0" w:line="174" w:lineRule="exact"/>
        <w:rPr>
          <w:sz w:val="20"/>
          <w:szCs w:val="20"/>
          <w:color w:val="auto"/>
        </w:rPr>
      </w:pPr>
    </w:p>
    <w:p>
      <w:pPr>
        <w:ind w:left="580" w:hanging="113"/>
        <w:spacing w:after="0" w:line="288"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to issue 100,000 share purchase warrants of its common stock at a price of $4.00 per share for a five year term as compensation for receiving the option;</w:t>
      </w:r>
    </w:p>
    <w:p>
      <w:pPr>
        <w:spacing w:after="0" w:line="174" w:lineRule="exact"/>
        <w:rPr>
          <w:rFonts w:ascii="Arial" w:cs="Arial" w:eastAsia="Arial" w:hAnsi="Arial"/>
          <w:sz w:val="16"/>
          <w:szCs w:val="16"/>
          <w:color w:val="auto"/>
        </w:rPr>
      </w:pPr>
    </w:p>
    <w:p>
      <w:pPr>
        <w:ind w:left="580" w:hanging="113"/>
        <w:spacing w:after="0" w:line="288"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the Company exercising its option and completing the assignment, at the option of the third party, issuing additional 100,000 share purchase warrants of its common stock at a price of $4.00 per share for a five year term or 25% of the royalties that Mayo is to receive under the License Agreement; and</w:t>
      </w:r>
    </w:p>
    <w:p>
      <w:pPr>
        <w:spacing w:after="0" w:line="174" w:lineRule="exact"/>
        <w:rPr>
          <w:rFonts w:ascii="Arial" w:cs="Arial" w:eastAsia="Arial" w:hAnsi="Arial"/>
          <w:sz w:val="16"/>
          <w:szCs w:val="16"/>
          <w:color w:val="auto"/>
        </w:rPr>
      </w:pPr>
    </w:p>
    <w:p>
      <w:pPr>
        <w:ind w:left="580" w:hanging="113"/>
        <w:spacing w:after="0" w:line="288"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Pay the third party $400,000, the payments made by the third party to Mayo, either in cash or shares of the Company’s common stock equal to such amount divided by $4.00.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61" w:name="page62"/>
    <w:bookmarkEnd w:id="61"/>
    <w:p>
      <w:pPr>
        <w:ind w:left="1"/>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color w:val="auto"/>
        </w:rPr>
        <w:t>We have had no disagreements with our principal independent accountants.</w:t>
      </w:r>
    </w:p>
    <w:p>
      <w:pPr>
        <w:spacing w:after="0" w:line="23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ITEM 9A. CONTROLS AND PROCEDURES</w:t>
      </w:r>
    </w:p>
    <w:p>
      <w:pPr>
        <w:spacing w:after="0" w:line="23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39" w:lineRule="exact"/>
        <w:rPr>
          <w:sz w:val="20"/>
          <w:szCs w:val="20"/>
          <w:color w:val="auto"/>
        </w:rPr>
      </w:pPr>
    </w:p>
    <w:p>
      <w:pPr>
        <w:jc w:val="both"/>
        <w:ind w:left="1"/>
        <w:spacing w:after="0" w:line="26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Principal Executive Officer and Principal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95"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39"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spacing w:after="0" w:line="191"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As of December 31, 2013, management assessed the effectiveness of the Company's internal control over financial reporting based on the criteria for effective internal control over financial reporting established in Internal Control -Integrated Framework issued by the Committee of Sponsoring Organizations of the Treadway Commission ("COSO") and SEC guidance on conducting such assessments. Based on that evaluation, they concluded that, as at December 31, 2013 such internal controls and procedures were not effective to detect the inappropriate application of US GAAP rules as more fully described below.</w:t>
      </w:r>
    </w:p>
    <w:p>
      <w:pPr>
        <w:spacing w:after="0" w:line="191" w:lineRule="exact"/>
        <w:rPr>
          <w:sz w:val="20"/>
          <w:szCs w:val="20"/>
          <w:color w:val="auto"/>
        </w:rPr>
      </w:pPr>
    </w:p>
    <w:p>
      <w:pPr>
        <w:jc w:val="both"/>
        <w:ind w:left="1"/>
        <w:spacing w:after="0" w:line="299" w:lineRule="auto"/>
        <w:rPr>
          <w:sz w:val="20"/>
          <w:szCs w:val="20"/>
          <w:color w:val="auto"/>
        </w:rPr>
      </w:pPr>
      <w:r>
        <w:rPr>
          <w:rFonts w:ascii="Arial" w:cs="Arial" w:eastAsia="Arial" w:hAnsi="Arial"/>
          <w:sz w:val="14"/>
          <w:szCs w:val="14"/>
          <w:color w:val="auto"/>
        </w:rPr>
        <w:t>The matters involving internal controls and procedures that the Company’s management considered to be material weaknesses under the standards of the Public Company Accounting Oversight Board were: (1) inadequate entity level controls due to an ineffective audit committee resulting from the presence of only one of independent member on the current audit committee and the presence of only one outside director on our board of directors; (2) inadequate segregation of duties consistent with control objectives;</w:t>
      </w:r>
    </w:p>
    <w:p>
      <w:pPr>
        <w:spacing w:after="0" w:line="1" w:lineRule="exact"/>
        <w:rPr>
          <w:sz w:val="20"/>
          <w:szCs w:val="20"/>
          <w:color w:val="auto"/>
        </w:rPr>
      </w:pPr>
    </w:p>
    <w:p>
      <w:pPr>
        <w:ind w:left="1" w:hanging="1"/>
        <w:spacing w:after="0" w:line="274" w:lineRule="auto"/>
        <w:tabs>
          <w:tab w:leader="none" w:pos="2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insufficient written policies and procedures for accounting and financial reporting with respect to the requirements and application of US GAAP and SEC disclosure requirements; and (4) ineffective controls over period end financial disclosure and reporting processes.</w:t>
      </w:r>
    </w:p>
    <w:p>
      <w:pPr>
        <w:spacing w:after="0" w:line="185" w:lineRule="exact"/>
        <w:rPr>
          <w:sz w:val="20"/>
          <w:szCs w:val="20"/>
          <w:color w:val="auto"/>
        </w:rPr>
      </w:pPr>
    </w:p>
    <w:p>
      <w:pPr>
        <w:jc w:val="both"/>
        <w:ind w:left="1"/>
        <w:spacing w:after="0" w:line="299" w:lineRule="auto"/>
        <w:rPr>
          <w:sz w:val="20"/>
          <w:szCs w:val="20"/>
          <w:color w:val="auto"/>
        </w:rPr>
      </w:pPr>
      <w:r>
        <w:rPr>
          <w:rFonts w:ascii="Arial" w:cs="Arial" w:eastAsia="Arial" w:hAnsi="Arial"/>
          <w:sz w:val="15"/>
          <w:szCs w:val="15"/>
          <w:color w:val="auto"/>
        </w:rPr>
        <w:t>Management believes that none of the material weaknesses set forth above had a material adverse effect on the Company's financial results for the fiscal year ended December 31, 2013 but management is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spacing w:after="0" w:line="168" w:lineRule="exact"/>
        <w:rPr>
          <w:sz w:val="20"/>
          <w:szCs w:val="20"/>
          <w:color w:val="auto"/>
        </w:rPr>
      </w:pPr>
    </w:p>
    <w:p>
      <w:pPr>
        <w:jc w:val="both"/>
        <w:ind w:left="1"/>
        <w:spacing w:after="0" w:line="263" w:lineRule="auto"/>
        <w:rPr>
          <w:sz w:val="20"/>
          <w:szCs w:val="20"/>
          <w:color w:val="auto"/>
        </w:rPr>
      </w:pPr>
      <w:r>
        <w:rPr>
          <w:rFonts w:ascii="Arial" w:cs="Arial" w:eastAsia="Arial" w:hAnsi="Arial"/>
          <w:sz w:val="16"/>
          <w:szCs w:val="16"/>
          <w:color w:val="auto"/>
        </w:rPr>
        <w:t>We are committed to improving our financial organization. As part of this commitment, we intend to continue to enhance our internal control over financial reporting by: i) expanding our personnel, ii) improving segregated duties consistent with control objectives, iii) appointing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disclosure requirements.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80" w:right="239" w:bottom="1440" w:gutter="0" w:footer="0" w:header="0"/>
        </w:sectPr>
      </w:pPr>
    </w:p>
    <w:bookmarkStart w:id="62" w:name="page63"/>
    <w:bookmarkEnd w:id="62"/>
    <w:p>
      <w:pPr>
        <w:jc w:val="both"/>
        <w:spacing w:after="0" w:line="263" w:lineRule="auto"/>
        <w:rPr>
          <w:sz w:val="20"/>
          <w:szCs w:val="20"/>
          <w:color w:val="auto"/>
        </w:rPr>
      </w:pPr>
      <w:r>
        <w:rPr>
          <w:rFonts w:ascii="Arial" w:cs="Arial" w:eastAsia="Arial" w:hAnsi="Arial"/>
          <w:sz w:val="16"/>
          <w:szCs w:val="16"/>
          <w:color w:val="auto"/>
        </w:rPr>
        <w:t>Management believes that the appointment of one or more outside directors, who shall be appointed to a fully functioning audit committee, will remedy the ineffective audit committee. To this end, Sherry Grisewood was appointed to our audit Committee in 2013.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This annual report does not include an attestation report of the Company’s registered public accounting firm regarding internal controls over financial reporting. Management’s report was not subject to attestation by the Company’s registered public accounting firm pursuant to the temporary rules of the SEC that permit the Company to provide only management’s report in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There have been no changes in our internal control over financial reporting during our fourth fiscal quarter of our fiscal year ended December 31, 2013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PART III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Our directors and executive officers and their respective ages as of April 14, 2014 report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Age</w:t>
            </w:r>
          </w:p>
        </w:tc>
        <w:tc>
          <w:tcPr>
            <w:tcW w:w="548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Position with the Company</w:t>
            </w:r>
          </w:p>
        </w:tc>
      </w:tr>
      <w:tr>
        <w:trPr>
          <w:trHeight w:val="185"/>
        </w:trPr>
        <w:tc>
          <w:tcPr>
            <w:tcW w:w="4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Glynn Wilson</w:t>
            </w:r>
          </w:p>
        </w:tc>
        <w:tc>
          <w:tcPr>
            <w:tcW w:w="120" w:type="dxa"/>
            <w:vAlign w:val="bottom"/>
          </w:tcPr>
          <w:p>
            <w:pPr>
              <w:spacing w:after="0"/>
              <w:rPr>
                <w:sz w:val="16"/>
                <w:szCs w:val="16"/>
                <w:color w:val="auto"/>
              </w:rPr>
            </w:pPr>
          </w:p>
        </w:tc>
        <w:tc>
          <w:tcPr>
            <w:tcW w:w="1120" w:type="dxa"/>
            <w:vAlign w:val="bottom"/>
            <w:tcBorders>
              <w:top w:val="single" w:sz="8" w:color="auto"/>
            </w:tcBorders>
          </w:tcPr>
          <w:p>
            <w:pPr>
              <w:jc w:val="right"/>
              <w:ind w:right="338"/>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6"/>
                <w:szCs w:val="16"/>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8"/>
              </w:rPr>
              <w:t>Chairman, Chief Executive Officer, Principal Executive Officer and a Director</w:t>
            </w: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Mark Reddish</w:t>
            </w:r>
          </w:p>
        </w:tc>
        <w:tc>
          <w:tcPr>
            <w:tcW w:w="1240" w:type="dxa"/>
            <w:vAlign w:val="bottom"/>
            <w:gridSpan w:val="2"/>
          </w:tcPr>
          <w:p>
            <w:pPr>
              <w:jc w:val="right"/>
              <w:ind w:right="338"/>
              <w:spacing w:after="0"/>
              <w:rPr>
                <w:sz w:val="20"/>
                <w:szCs w:val="20"/>
                <w:color w:val="auto"/>
              </w:rPr>
            </w:pPr>
            <w:r>
              <w:rPr>
                <w:rFonts w:ascii="Arial" w:cs="Arial" w:eastAsia="Arial" w:hAnsi="Arial"/>
                <w:sz w:val="16"/>
                <w:szCs w:val="16"/>
                <w:color w:val="auto"/>
              </w:rPr>
              <w:t>59</w:t>
            </w:r>
          </w:p>
        </w:tc>
        <w:tc>
          <w:tcPr>
            <w:tcW w:w="5480" w:type="dxa"/>
            <w:vAlign w:val="bottom"/>
            <w:gridSpan w:val="2"/>
          </w:tcPr>
          <w:p>
            <w:pPr>
              <w:ind w:left="120"/>
              <w:spacing w:after="0"/>
              <w:rPr>
                <w:sz w:val="20"/>
                <w:szCs w:val="20"/>
                <w:color w:val="auto"/>
              </w:rPr>
            </w:pPr>
            <w:r>
              <w:rPr>
                <w:rFonts w:ascii="Arial" w:cs="Arial" w:eastAsia="Arial" w:hAnsi="Arial"/>
                <w:sz w:val="16"/>
                <w:szCs w:val="16"/>
                <w:color w:val="auto"/>
              </w:rPr>
              <w:t>Vice President Development</w:t>
            </w:r>
          </w:p>
        </w:tc>
      </w:tr>
      <w:tr>
        <w:trPr>
          <w:trHeight w:val="208"/>
        </w:trPr>
        <w:tc>
          <w:tcPr>
            <w:tcW w:w="4700" w:type="dxa"/>
            <w:vAlign w:val="bottom"/>
          </w:tcPr>
          <w:p>
            <w:pPr>
              <w:spacing w:after="0"/>
              <w:rPr>
                <w:sz w:val="20"/>
                <w:szCs w:val="20"/>
                <w:color w:val="auto"/>
              </w:rPr>
            </w:pPr>
            <w:r>
              <w:rPr>
                <w:rFonts w:ascii="Arial" w:cs="Arial" w:eastAsia="Arial" w:hAnsi="Arial"/>
                <w:sz w:val="16"/>
                <w:szCs w:val="16"/>
                <w:color w:val="auto"/>
              </w:rPr>
              <w:t>Sherry Grisewood</w:t>
            </w:r>
          </w:p>
        </w:tc>
        <w:tc>
          <w:tcPr>
            <w:tcW w:w="1240" w:type="dxa"/>
            <w:vAlign w:val="bottom"/>
            <w:gridSpan w:val="2"/>
          </w:tcPr>
          <w:p>
            <w:pPr>
              <w:jc w:val="right"/>
              <w:ind w:right="338"/>
              <w:spacing w:after="0"/>
              <w:rPr>
                <w:sz w:val="20"/>
                <w:szCs w:val="20"/>
                <w:color w:val="auto"/>
              </w:rPr>
            </w:pPr>
            <w:r>
              <w:rPr>
                <w:rFonts w:ascii="Arial" w:cs="Arial" w:eastAsia="Arial" w:hAnsi="Arial"/>
                <w:sz w:val="16"/>
                <w:szCs w:val="16"/>
                <w:color w:val="auto"/>
              </w:rPr>
              <w:t>61</w:t>
            </w:r>
          </w:p>
        </w:tc>
        <w:tc>
          <w:tcPr>
            <w:tcW w:w="5480" w:type="dxa"/>
            <w:vAlign w:val="bottom"/>
            <w:gridSpan w:val="2"/>
          </w:tcPr>
          <w:p>
            <w:pPr>
              <w:ind w:left="120"/>
              <w:spacing w:after="0"/>
              <w:rPr>
                <w:sz w:val="20"/>
                <w:szCs w:val="20"/>
                <w:color w:val="auto"/>
              </w:rPr>
            </w:pPr>
            <w:r>
              <w:rPr>
                <w:rFonts w:ascii="Arial" w:cs="Arial" w:eastAsia="Arial" w:hAnsi="Arial"/>
                <w:sz w:val="16"/>
                <w:szCs w:val="16"/>
                <w:color w:val="auto"/>
              </w:rPr>
              <w:t>Independent Board Member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business experience of each of our directors and executive officers, including other directorships held in reporting companies: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Glynn Wilson, Ph.D., Chief Executive Officer and Chairman</w:t>
      </w:r>
    </w:p>
    <w:p>
      <w:pPr>
        <w:spacing w:after="0" w:line="239"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Dr. Wilson brings an extensive background of success in corporate management and product development with tenures in both major multinational pharmaceutical companies and start-up pharmaceutical/biotech organizations. Dr. Wilson's former positions include Head of Drug Delivery at SmithKline Beecham Pharmaceuticals, Research Area Head in Advanced Drug Delivery at Ciba-Geigy Pharmaceuticals, and President and co-founder of Auriga Pharmaceuticals. As Executive Vice President of R&amp;D at Tacora Corporation he was responsible for merging the Company with Access Pharmaceuticals. He is a recognized leader in the development of drug delivery systems and has been involved in taking lead products &amp; technologies from concept to commercialization. Glynn has a Ph.D. in Biochemistry and conducted medical research at The Rockefeller University, New York. He has been on the Board of TapImmune for 4 years.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63" w:name="page64"/>
    <w:bookmarkEnd w:id="63"/>
    <w:p>
      <w:pPr>
        <w:ind w:left="1"/>
        <w:spacing w:after="0"/>
        <w:rPr>
          <w:sz w:val="20"/>
          <w:szCs w:val="20"/>
          <w:color w:val="auto"/>
        </w:rPr>
      </w:pPr>
      <w:r>
        <w:rPr>
          <w:rFonts w:ascii="Arial" w:cs="Arial" w:eastAsia="Arial" w:hAnsi="Arial"/>
          <w:sz w:val="16"/>
          <w:szCs w:val="16"/>
          <w:b w:val="1"/>
          <w:bCs w:val="1"/>
          <w:color w:val="auto"/>
        </w:rPr>
        <w:t>Mark Reddish, BOD</w:t>
      </w:r>
    </w:p>
    <w:p>
      <w:pPr>
        <w:spacing w:after="0" w:line="239" w:lineRule="exact"/>
        <w:rPr>
          <w:sz w:val="20"/>
          <w:szCs w:val="20"/>
          <w:color w:val="auto"/>
        </w:rPr>
      </w:pPr>
    </w:p>
    <w:p>
      <w:pPr>
        <w:jc w:val="both"/>
        <w:ind w:left="1"/>
        <w:spacing w:after="0" w:line="286" w:lineRule="auto"/>
        <w:rPr>
          <w:sz w:val="20"/>
          <w:szCs w:val="20"/>
          <w:color w:val="auto"/>
        </w:rPr>
      </w:pPr>
      <w:r>
        <w:rPr>
          <w:rFonts w:ascii="Arial" w:cs="Arial" w:eastAsia="Arial" w:hAnsi="Arial"/>
          <w:sz w:val="15"/>
          <w:szCs w:val="15"/>
          <w:color w:val="auto"/>
        </w:rPr>
        <w:t>Mark was formerly Vice President of Product Development and Principal Investigator, Biodefense at ID Biomedical, Bothell, WA, prior to the acquisition of the company by Glaxo SmithKline for $1.6 billion. At Biomira Inc, (renamed Oncothyreon) he was responsible for preclinical development of their cancer vaccines program where he led the early research and clinical development of Stimuvax, which is currently in late Stage 3 clinical trials under a partnership with Merck KGa. Mark brings thirty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Sherry Grisewood, Director</w:t>
      </w:r>
    </w:p>
    <w:p>
      <w:pPr>
        <w:spacing w:after="0" w:line="239" w:lineRule="exact"/>
        <w:rPr>
          <w:sz w:val="20"/>
          <w:szCs w:val="20"/>
          <w:color w:val="auto"/>
        </w:rPr>
      </w:pPr>
    </w:p>
    <w:p>
      <w:pPr>
        <w:jc w:val="both"/>
        <w:ind w:left="1"/>
        <w:spacing w:after="0" w:line="261" w:lineRule="auto"/>
        <w:rPr>
          <w:sz w:val="20"/>
          <w:szCs w:val="20"/>
          <w:color w:val="auto"/>
        </w:rPr>
      </w:pPr>
      <w:r>
        <w:rPr>
          <w:rFonts w:ascii="Arial" w:cs="Arial" w:eastAsia="Arial" w:hAnsi="Arial"/>
          <w:sz w:val="16"/>
          <w:szCs w:val="16"/>
          <w:color w:val="auto"/>
        </w:rPr>
        <w:t>Sherry Grisewood, CFA, has over 25 years securities industry experience in a range of investment banking, advisory and research-related activities. She is currently associated with Dawson James Securities Inc in a senior banking analytical role. Prior to joining Dawson James, she most recently inaugurated a Lifesciences specialty practice as Managing Director, Lifesciences and Technology Banking for Tripoint Global Equities. Prior to Tripoint, Ms. Grisewood served as Senior Life Sciences Banker at Jesup &amp; Lamont Securities Corp. and as an independent strategic advisor and consultant for several investment banks over the prior 12 year period. She has participated in over 50 transaction-related projects involving initial public offerings, secondary offerings, PIPE’s, private equity, M&amp;A and licensing transactions. These deals and projects represented US, Canadian, Scandinavian, UK, Chinese and Australian clients with advanced technologies and the development of nucleic acid therapeutics and delivery systems in the life sciences such as those addressing nucleic acid therapeutics, regenerative medicine, CNS diseases, or leading edge technologies for lifescience special situations. Prior to consulting for investment banks, Ms. Grisewood served as Director of Research for several mid-tier brokerage companies and a leading independent investment research company.</w:t>
      </w:r>
    </w:p>
    <w:p>
      <w:pPr>
        <w:spacing w:after="0" w:line="195" w:lineRule="exact"/>
        <w:rPr>
          <w:sz w:val="20"/>
          <w:szCs w:val="20"/>
          <w:color w:val="auto"/>
        </w:rPr>
      </w:pPr>
    </w:p>
    <w:p>
      <w:pPr>
        <w:jc w:val="both"/>
        <w:ind w:left="1"/>
        <w:spacing w:after="0" w:line="272" w:lineRule="auto"/>
        <w:rPr>
          <w:sz w:val="20"/>
          <w:szCs w:val="20"/>
          <w:color w:val="auto"/>
        </w:rPr>
      </w:pPr>
      <w:r>
        <w:rPr>
          <w:rFonts w:ascii="Arial" w:cs="Arial" w:eastAsia="Arial" w:hAnsi="Arial"/>
          <w:sz w:val="16"/>
          <w:szCs w:val="16"/>
          <w:color w:val="auto"/>
        </w:rPr>
        <w:t>Ms. Grisewood holds a Bachelor of Science degree (Highest Honors, 4.0GPA) in Life Science from Ramapo College of New Jersey. She is a member of the American Society of Gene and Cell Therapy, the Tissue Engineering and Regenerative Medicine Society International, the Society of Biomaterials, the CFA Institute and the NY Society of Security Analysts.</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Term of Office</w:t>
      </w:r>
    </w:p>
    <w:p>
      <w:pPr>
        <w:spacing w:after="0" w:line="239" w:lineRule="exact"/>
        <w:rPr>
          <w:sz w:val="20"/>
          <w:szCs w:val="20"/>
          <w:color w:val="auto"/>
        </w:rPr>
      </w:pPr>
    </w:p>
    <w:p>
      <w:pPr>
        <w:jc w:val="both"/>
        <w:ind w:left="1"/>
        <w:spacing w:after="0" w:line="324" w:lineRule="auto"/>
        <w:rPr>
          <w:sz w:val="20"/>
          <w:szCs w:val="20"/>
          <w:color w:val="auto"/>
        </w:rPr>
      </w:pPr>
      <w:r>
        <w:rPr>
          <w:rFonts w:ascii="Arial" w:cs="Arial" w:eastAsia="Arial" w:hAnsi="Arial"/>
          <w:sz w:val="15"/>
          <w:szCs w:val="15"/>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14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Significant Employees</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color w:val="auto"/>
        </w:rPr>
        <w:t>On December 31, 2013 we had 2 full-time employees and a number of management and scientific consultants.</w:t>
      </w:r>
    </w:p>
    <w:p>
      <w:pPr>
        <w:spacing w:after="0" w:line="23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Audit Committee</w:t>
      </w:r>
    </w:p>
    <w:p>
      <w:pPr>
        <w:spacing w:after="0" w:line="239"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Our Board of Directors has established an Audit Committee which functions pursuant to a written charter adopted by our Board of Directors in March 2004. The members of our Audit Committee as of December 31, 2013 were Dr. Wilson, Mr. Reddish and Ms. Grisewood.</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5"/>
          <w:szCs w:val="15"/>
          <w:color w:val="auto"/>
        </w:rPr>
        <w:t>Our Board of Directors has determined that our Audit Committee does not have a member that qualifies as an “audit committee financial expert” as defined in Item 407(d)(5)</w:t>
      </w:r>
    </w:p>
    <w:p>
      <w:pPr>
        <w:spacing w:after="0" w:line="36" w:lineRule="exact"/>
        <w:rPr>
          <w:sz w:val="20"/>
          <w:szCs w:val="20"/>
          <w:color w:val="auto"/>
        </w:rPr>
      </w:pPr>
    </w:p>
    <w:p>
      <w:pPr>
        <w:jc w:val="both"/>
        <w:ind w:left="1" w:hanging="1"/>
        <w:spacing w:after="0" w:line="285" w:lineRule="auto"/>
        <w:tabs>
          <w:tab w:leader="none" w:pos="267" w:val="left"/>
        </w:tabs>
        <w:numPr>
          <w:ilvl w:val="0"/>
          <w:numId w:val="12"/>
        </w:numPr>
        <w:rPr>
          <w:rFonts w:ascii="Arial" w:cs="Arial" w:eastAsia="Arial" w:hAnsi="Arial"/>
          <w:sz w:val="15"/>
          <w:szCs w:val="15"/>
          <w:color w:val="auto"/>
        </w:rPr>
      </w:pPr>
      <w:r>
        <w:rPr>
          <w:rFonts w:ascii="Arial" w:cs="Arial" w:eastAsia="Arial" w:hAnsi="Arial"/>
          <w:sz w:val="15"/>
          <w:szCs w:val="15"/>
          <w:color w:val="auto"/>
        </w:rPr>
        <w:t>of Regulation S-K. Our Board of Directors believes that it is capable of analyzing and evaluating our financial statements and understanding internal controls and procedures for financial reporting and that retaining an independent director who would qualify as an “audit committee financial expert” would be overly costly and burdensome at this time. In a subsequent development in March 2013, the Company appointed Sherry Grisewood to the Board of Directors. Ms. Grisewood has over 25 years of securities industry experience in a range of investment banking, advisory and research-related activities. Ms. Grisewood is leading the audit committee.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80" w:right="2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Compensation Committee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Dr. Wilson and Ms. Grisewood serve on our compensation committee, which is now led by Sherry Grisewood.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Scientific Advisory Board</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On March 19, 2014, we established the scientific advisory board. Also, on that date, Dr. Keith Knutson was appointed as chairman of the Scientific Advisory Board.</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Involvement in Certain Legal Proceedings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None of our directors, executive officers or control persons has been involved in any of the following events during the past five years: (i) any bankruptcy petition filed by or against any business of which such person was a general partner or executive officer either at the time of the bankruptcy or within two years prior to that time; (ii) any conviction in a criminal proceeding or being subject to a pending criminal proceeding (excluding traffic violations and other minor offences); (iii) being subject to any order, judgment or decree, not subsequently reversed, suspended or vacated, of any court of competent jurisdiction, permanently or temporarily enjoining, barring, suspending or otherwise limiting his involvement in any type of business, securities or banking activities; or (iv) 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Conduct</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have adopted a Code of Conduct policy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of Conduct can be viewed on our website at the following URL: http://www.tapimmune.com/investors/corporate_info/</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Compliance with Section 16(a) of the Exchange Act</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Section 16(a) of the Exchange Act requires our directors and officers, and the persons who beneficially own more than 10% of our common stock, to file reports of ownership and changes in ownership with the SEC. Copies of all filed reports are required to be furnished to us pursuant to Rule 16a-3 promulgated under the Exchange Act. Based solely on the reports received by us and on the representations of the reporting persons, we believe that these persons have complied with all applicable filing requirements during the Year Ended December 31, 2013.</w:t>
      </w:r>
    </w:p>
    <w:p>
      <w:pPr>
        <w:spacing w:after="0" w:line="18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11.</w:t>
        <w:tab/>
        <w:t>EXECUTIVE COMPENSATION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compensation paid to our executive officers for their services as executive officers during our fiscal years ended December 31, 2013 and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Summary Compensation Table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Stock</w:t>
            </w:r>
          </w:p>
        </w:tc>
        <w:tc>
          <w:tcPr>
            <w:tcW w:w="1220" w:type="dxa"/>
            <w:vAlign w:val="bottom"/>
            <w:tcBorders>
              <w:top w:val="single" w:sz="8" w:color="auto"/>
            </w:tcBorders>
          </w:tcPr>
          <w:p>
            <w:pPr>
              <w:jc w:val="center"/>
              <w:ind w:left="38"/>
              <w:spacing w:after="0"/>
              <w:rPr>
                <w:sz w:val="20"/>
                <w:szCs w:val="20"/>
                <w:color w:val="auto"/>
              </w:rPr>
            </w:pPr>
            <w:r>
              <w:rPr>
                <w:rFonts w:ascii="Arial" w:cs="Arial" w:eastAsia="Arial" w:hAnsi="Arial"/>
                <w:sz w:val="16"/>
                <w:szCs w:val="16"/>
                <w:b w:val="1"/>
                <w:bCs w:val="1"/>
                <w:color w:val="auto"/>
                <w:w w:val="96"/>
              </w:rPr>
              <w:t>Option</w:t>
            </w: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1100" w:type="dxa"/>
            <w:vAlign w:val="bottom"/>
            <w:tcBorders>
              <w:top w:val="single" w:sz="8" w:color="auto"/>
            </w:tcBorders>
          </w:tcPr>
          <w:p>
            <w:pPr>
              <w:spacing w:after="0"/>
              <w:rPr>
                <w:sz w:val="16"/>
                <w:szCs w:val="16"/>
                <w:color w:val="auto"/>
              </w:rPr>
            </w:pPr>
          </w:p>
        </w:tc>
      </w:tr>
      <w:tr>
        <w:trPr>
          <w:trHeight w:val="197"/>
        </w:trPr>
        <w:tc>
          <w:tcPr>
            <w:tcW w:w="2260" w:type="dxa"/>
            <w:vAlign w:val="bottom"/>
          </w:tcPr>
          <w:p>
            <w:pPr>
              <w:spacing w:after="0"/>
              <w:rPr>
                <w:sz w:val="20"/>
                <w:szCs w:val="20"/>
                <w:color w:val="auto"/>
              </w:rPr>
            </w:pPr>
            <w:r>
              <w:rPr>
                <w:rFonts w:ascii="Arial" w:cs="Arial" w:eastAsia="Arial" w:hAnsi="Arial"/>
                <w:sz w:val="16"/>
                <w:szCs w:val="16"/>
                <w:b w:val="1"/>
                <w:bCs w:val="1"/>
                <w:color w:val="auto"/>
              </w:rPr>
              <w:t>Name and Principal</w:t>
            </w:r>
          </w:p>
        </w:tc>
        <w:tc>
          <w:tcPr>
            <w:tcW w:w="14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Salary</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Bonus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Awards</w:t>
            </w:r>
          </w:p>
        </w:tc>
        <w:tc>
          <w:tcPr>
            <w:tcW w:w="1220" w:type="dxa"/>
            <w:vAlign w:val="bottom"/>
          </w:tcPr>
          <w:p>
            <w:pPr>
              <w:jc w:val="center"/>
              <w:ind w:left="38"/>
              <w:spacing w:after="0"/>
              <w:rPr>
                <w:sz w:val="20"/>
                <w:szCs w:val="20"/>
                <w:color w:val="auto"/>
              </w:rPr>
            </w:pPr>
            <w:r>
              <w:rPr>
                <w:rFonts w:ascii="Arial" w:cs="Arial" w:eastAsia="Arial" w:hAnsi="Arial"/>
                <w:sz w:val="16"/>
                <w:szCs w:val="16"/>
                <w:b w:val="1"/>
                <w:bCs w:val="1"/>
                <w:color w:val="auto"/>
                <w:w w:val="93"/>
              </w:rPr>
              <w:t>Awards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Compen-sation</w:t>
            </w:r>
          </w:p>
        </w:tc>
        <w:tc>
          <w:tcPr>
            <w:tcW w:w="1100" w:type="dxa"/>
            <w:vAlign w:val="bottom"/>
          </w:tcPr>
          <w:p>
            <w:pPr>
              <w:jc w:val="center"/>
              <w:ind w:right="98"/>
              <w:spacing w:after="0"/>
              <w:rPr>
                <w:sz w:val="20"/>
                <w:szCs w:val="20"/>
                <w:color w:val="auto"/>
              </w:rPr>
            </w:pPr>
            <w:r>
              <w:rPr>
                <w:rFonts w:ascii="Arial" w:cs="Arial" w:eastAsia="Arial" w:hAnsi="Arial"/>
                <w:sz w:val="16"/>
                <w:szCs w:val="16"/>
                <w:b w:val="1"/>
                <w:bCs w:val="1"/>
                <w:color w:val="auto"/>
                <w:w w:val="94"/>
              </w:rPr>
              <w:t>Total</w:t>
            </w:r>
          </w:p>
        </w:tc>
      </w:tr>
      <w:tr>
        <w:trPr>
          <w:trHeight w:val="212"/>
        </w:trPr>
        <w:tc>
          <w:tcPr>
            <w:tcW w:w="2260" w:type="dxa"/>
            <w:vAlign w:val="bottom"/>
          </w:tcPr>
          <w:p>
            <w:pPr>
              <w:spacing w:after="0"/>
              <w:rPr>
                <w:sz w:val="20"/>
                <w:szCs w:val="20"/>
                <w:color w:val="auto"/>
              </w:rPr>
            </w:pPr>
            <w:r>
              <w:rPr>
                <w:rFonts w:ascii="Arial" w:cs="Arial" w:eastAsia="Arial" w:hAnsi="Arial"/>
                <w:sz w:val="16"/>
                <w:szCs w:val="16"/>
                <w:b w:val="1"/>
                <w:bCs w:val="1"/>
                <w:color w:val="auto"/>
              </w:rPr>
              <w:t>Position</w:t>
            </w:r>
          </w:p>
        </w:tc>
        <w:tc>
          <w:tcPr>
            <w:tcW w:w="1480" w:type="dxa"/>
            <w:vAlign w:val="bottom"/>
          </w:tcPr>
          <w:p>
            <w:pPr>
              <w:ind w:left="860"/>
              <w:spacing w:after="0"/>
              <w:rPr>
                <w:sz w:val="20"/>
                <w:szCs w:val="20"/>
                <w:color w:val="auto"/>
              </w:rPr>
            </w:pPr>
            <w:r>
              <w:rPr>
                <w:rFonts w:ascii="Arial" w:cs="Arial" w:eastAsia="Arial" w:hAnsi="Arial"/>
                <w:sz w:val="16"/>
                <w:szCs w:val="16"/>
                <w:b w:val="1"/>
                <w:bCs w:val="1"/>
                <w:color w:val="auto"/>
              </w:rPr>
              <w:t>Year</w:t>
            </w:r>
          </w:p>
        </w:tc>
        <w:tc>
          <w:tcPr>
            <w:tcW w:w="1160" w:type="dxa"/>
            <w:vAlign w:val="bottom"/>
          </w:tcPr>
          <w:p>
            <w:pPr>
              <w:jc w:val="right"/>
              <w:ind w:right="438"/>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38"/>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220" w:type="dxa"/>
            <w:vAlign w:val="bottom"/>
          </w:tcPr>
          <w:p>
            <w:pPr>
              <w:jc w:val="center"/>
              <w:ind w:left="38"/>
              <w:spacing w:after="0"/>
              <w:rPr>
                <w:sz w:val="20"/>
                <w:szCs w:val="20"/>
                <w:color w:val="auto"/>
              </w:rPr>
            </w:pPr>
            <w:r>
              <w:rPr>
                <w:rFonts w:ascii="Arial" w:cs="Arial" w:eastAsia="Arial" w:hAnsi="Arial"/>
                <w:sz w:val="16"/>
                <w:szCs w:val="16"/>
                <w:b w:val="1"/>
                <w:bCs w:val="1"/>
                <w:color w:val="auto"/>
                <w:w w:val="91"/>
              </w:rPr>
              <w:t>($)</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100" w:type="dxa"/>
            <w:vAlign w:val="bottom"/>
          </w:tcPr>
          <w:p>
            <w:pPr>
              <w:jc w:val="right"/>
              <w:ind w:right="458"/>
              <w:spacing w:after="0"/>
              <w:rPr>
                <w:sz w:val="20"/>
                <w:szCs w:val="20"/>
                <w:color w:val="auto"/>
              </w:rPr>
            </w:pPr>
            <w:r>
              <w:rPr>
                <w:rFonts w:ascii="Arial" w:cs="Arial" w:eastAsia="Arial" w:hAnsi="Arial"/>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5868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Glynn Wilson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CEO and Principal Executive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Officer and Acting Principal Accounting</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Officer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Denis Corin</w:t>
      </w:r>
    </w:p>
    <w:p>
      <w:pPr>
        <w:spacing w:after="0" w:line="24" w:lineRule="exact"/>
        <w:rPr>
          <w:sz w:val="20"/>
          <w:szCs w:val="20"/>
          <w:color w:val="auto"/>
        </w:rPr>
      </w:pPr>
    </w:p>
    <w:p>
      <w:pPr>
        <w:spacing w:after="0" w:line="274" w:lineRule="auto"/>
        <w:rPr>
          <w:sz w:val="20"/>
          <w:szCs w:val="20"/>
          <w:color w:val="auto"/>
        </w:rPr>
      </w:pPr>
      <w:r>
        <w:rPr>
          <w:rFonts w:ascii="Arial" w:cs="Arial" w:eastAsia="Arial" w:hAnsi="Arial"/>
          <w:sz w:val="16"/>
          <w:szCs w:val="16"/>
          <w:i w:val="1"/>
          <w:iCs w:val="1"/>
          <w:color w:val="auto"/>
        </w:rPr>
        <w:t>Former CFO, Acting Principal Accounting Officer and a director</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Mark Reddish</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VP Development</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600" w:type="dxa"/>
            <w:vAlign w:val="bottom"/>
          </w:tcPr>
          <w:p>
            <w:pPr>
              <w:jc w:val="right"/>
              <w:ind w:right="198"/>
              <w:spacing w:after="0"/>
              <w:rPr>
                <w:sz w:val="20"/>
                <w:szCs w:val="20"/>
                <w:color w:val="auto"/>
              </w:rPr>
            </w:pPr>
            <w:r>
              <w:rPr>
                <w:rFonts w:ascii="Arial" w:cs="Arial" w:eastAsia="Arial" w:hAnsi="Arial"/>
                <w:sz w:val="16"/>
                <w:szCs w:val="16"/>
                <w:color w:val="auto"/>
                <w:w w:val="84"/>
              </w:rPr>
              <w:t>2013</w:t>
            </w:r>
          </w:p>
        </w:tc>
        <w:tc>
          <w:tcPr>
            <w:tcW w:w="1240" w:type="dxa"/>
            <w:vAlign w:val="bottom"/>
          </w:tcPr>
          <w:p>
            <w:pPr>
              <w:jc w:val="center"/>
              <w:ind w:right="38"/>
              <w:spacing w:after="0"/>
              <w:rPr>
                <w:sz w:val="20"/>
                <w:szCs w:val="20"/>
                <w:color w:val="auto"/>
              </w:rPr>
            </w:pPr>
            <w:r>
              <w:rPr>
                <w:rFonts w:ascii="Arial" w:cs="Arial" w:eastAsia="Arial" w:hAnsi="Arial"/>
                <w:sz w:val="16"/>
                <w:szCs w:val="16"/>
                <w:color w:val="auto"/>
                <w:w w:val="89"/>
              </w:rPr>
              <w:t>180,000</w:t>
            </w:r>
          </w:p>
        </w:tc>
        <w:tc>
          <w:tcPr>
            <w:tcW w:w="1180" w:type="dxa"/>
            <w:vAlign w:val="bottom"/>
          </w:tcPr>
          <w:p>
            <w:pPr>
              <w:ind w:left="420"/>
              <w:spacing w:after="0"/>
              <w:rPr>
                <w:sz w:val="20"/>
                <w:szCs w:val="20"/>
                <w:color w:val="auto"/>
              </w:rPr>
            </w:pPr>
            <w:r>
              <w:rPr>
                <w:rFonts w:ascii="Arial" w:cs="Arial" w:eastAsia="Arial" w:hAnsi="Arial"/>
                <w:sz w:val="16"/>
                <w:szCs w:val="16"/>
                <w:color w:val="auto"/>
              </w:rPr>
              <w:t>Nil</w:t>
            </w:r>
          </w:p>
        </w:tc>
        <w:tc>
          <w:tcPr>
            <w:tcW w:w="1260" w:type="dxa"/>
            <w:vAlign w:val="bottom"/>
          </w:tcPr>
          <w:p>
            <w:pPr>
              <w:ind w:left="520"/>
              <w:spacing w:after="0"/>
              <w:rPr>
                <w:sz w:val="20"/>
                <w:szCs w:val="20"/>
                <w:color w:val="auto"/>
              </w:rPr>
            </w:pPr>
            <w:r>
              <w:rPr>
                <w:rFonts w:ascii="Arial" w:cs="Arial" w:eastAsia="Arial" w:hAnsi="Arial"/>
                <w:sz w:val="16"/>
                <w:szCs w:val="16"/>
                <w:color w:val="auto"/>
              </w:rPr>
              <w:t>Nil</w:t>
            </w:r>
          </w:p>
        </w:tc>
        <w:tc>
          <w:tcPr>
            <w:tcW w:w="1460" w:type="dxa"/>
            <w:vAlign w:val="bottom"/>
          </w:tcPr>
          <w:p>
            <w:pPr>
              <w:ind w:left="620"/>
              <w:spacing w:after="0"/>
              <w:rPr>
                <w:sz w:val="20"/>
                <w:szCs w:val="20"/>
                <w:color w:val="auto"/>
              </w:rPr>
            </w:pPr>
            <w:r>
              <w:rPr>
                <w:rFonts w:ascii="Arial" w:cs="Arial" w:eastAsia="Arial" w:hAnsi="Arial"/>
                <w:sz w:val="16"/>
                <w:szCs w:val="16"/>
                <w:color w:val="auto"/>
              </w:rPr>
              <w:t>Nil</w:t>
            </w:r>
          </w:p>
        </w:tc>
        <w:tc>
          <w:tcPr>
            <w:tcW w:w="1200" w:type="dxa"/>
            <w:vAlign w:val="bottom"/>
          </w:tcPr>
          <w:p>
            <w:pPr>
              <w:ind w:left="520"/>
              <w:spacing w:after="0"/>
              <w:rPr>
                <w:sz w:val="20"/>
                <w:szCs w:val="20"/>
                <w:color w:val="auto"/>
              </w:rPr>
            </w:pPr>
            <w:r>
              <w:rPr>
                <w:rFonts w:ascii="Arial" w:cs="Arial" w:eastAsia="Arial" w:hAnsi="Arial"/>
                <w:sz w:val="16"/>
                <w:szCs w:val="16"/>
                <w:color w:val="auto"/>
              </w:rPr>
              <w:t>Nil</w:t>
            </w:r>
          </w:p>
        </w:tc>
        <w:tc>
          <w:tcPr>
            <w:tcW w:w="980" w:type="dxa"/>
            <w:vAlign w:val="bottom"/>
          </w:tcPr>
          <w:p>
            <w:pPr>
              <w:jc w:val="right"/>
              <w:spacing w:after="0"/>
              <w:rPr>
                <w:sz w:val="20"/>
                <w:szCs w:val="20"/>
                <w:color w:val="auto"/>
              </w:rPr>
            </w:pPr>
            <w:r>
              <w:rPr>
                <w:rFonts w:ascii="Arial" w:cs="Arial" w:eastAsia="Arial" w:hAnsi="Arial"/>
                <w:sz w:val="16"/>
                <w:szCs w:val="16"/>
                <w:color w:val="auto"/>
              </w:rPr>
              <w:t>180,000</w:t>
            </w:r>
          </w:p>
        </w:tc>
      </w:tr>
      <w:tr>
        <w:trPr>
          <w:trHeight w:val="208"/>
        </w:trPr>
        <w:tc>
          <w:tcPr>
            <w:tcW w:w="600" w:type="dxa"/>
            <w:vAlign w:val="bottom"/>
          </w:tcPr>
          <w:p>
            <w:pPr>
              <w:jc w:val="right"/>
              <w:ind w:right="198"/>
              <w:spacing w:after="0"/>
              <w:rPr>
                <w:sz w:val="20"/>
                <w:szCs w:val="20"/>
                <w:color w:val="auto"/>
              </w:rPr>
            </w:pPr>
            <w:r>
              <w:rPr>
                <w:rFonts w:ascii="Arial" w:cs="Arial" w:eastAsia="Arial" w:hAnsi="Arial"/>
                <w:sz w:val="16"/>
                <w:szCs w:val="16"/>
                <w:color w:val="auto"/>
                <w:w w:val="84"/>
              </w:rPr>
              <w:t>2012</w:t>
            </w:r>
          </w:p>
        </w:tc>
        <w:tc>
          <w:tcPr>
            <w:tcW w:w="1240" w:type="dxa"/>
            <w:vAlign w:val="bottom"/>
          </w:tcPr>
          <w:p>
            <w:pPr>
              <w:jc w:val="center"/>
              <w:ind w:right="38"/>
              <w:spacing w:after="0"/>
              <w:rPr>
                <w:sz w:val="20"/>
                <w:szCs w:val="20"/>
                <w:color w:val="auto"/>
              </w:rPr>
            </w:pPr>
            <w:r>
              <w:rPr>
                <w:rFonts w:ascii="Arial" w:cs="Arial" w:eastAsia="Arial" w:hAnsi="Arial"/>
                <w:sz w:val="16"/>
                <w:szCs w:val="16"/>
                <w:color w:val="auto"/>
                <w:w w:val="89"/>
              </w:rPr>
              <w:t>180,000</w:t>
            </w:r>
          </w:p>
        </w:tc>
        <w:tc>
          <w:tcPr>
            <w:tcW w:w="1180" w:type="dxa"/>
            <w:vAlign w:val="bottom"/>
          </w:tcPr>
          <w:p>
            <w:pPr>
              <w:ind w:left="420"/>
              <w:spacing w:after="0"/>
              <w:rPr>
                <w:sz w:val="20"/>
                <w:szCs w:val="20"/>
                <w:color w:val="auto"/>
              </w:rPr>
            </w:pPr>
            <w:r>
              <w:rPr>
                <w:rFonts w:ascii="Arial" w:cs="Arial" w:eastAsia="Arial" w:hAnsi="Arial"/>
                <w:sz w:val="16"/>
                <w:szCs w:val="16"/>
                <w:color w:val="auto"/>
              </w:rPr>
              <w:t>Nil</w:t>
            </w:r>
          </w:p>
        </w:tc>
        <w:tc>
          <w:tcPr>
            <w:tcW w:w="1260" w:type="dxa"/>
            <w:vAlign w:val="bottom"/>
          </w:tcPr>
          <w:p>
            <w:pPr>
              <w:ind w:left="520"/>
              <w:spacing w:after="0"/>
              <w:rPr>
                <w:sz w:val="20"/>
                <w:szCs w:val="20"/>
                <w:color w:val="auto"/>
              </w:rPr>
            </w:pPr>
            <w:r>
              <w:rPr>
                <w:rFonts w:ascii="Arial" w:cs="Arial" w:eastAsia="Arial" w:hAnsi="Arial"/>
                <w:sz w:val="16"/>
                <w:szCs w:val="16"/>
                <w:color w:val="auto"/>
              </w:rPr>
              <w:t>Nil</w:t>
            </w:r>
          </w:p>
        </w:tc>
        <w:tc>
          <w:tcPr>
            <w:tcW w:w="1460" w:type="dxa"/>
            <w:vAlign w:val="bottom"/>
          </w:tcPr>
          <w:p>
            <w:pPr>
              <w:ind w:left="620"/>
              <w:spacing w:after="0"/>
              <w:rPr>
                <w:sz w:val="20"/>
                <w:szCs w:val="20"/>
                <w:color w:val="auto"/>
              </w:rPr>
            </w:pPr>
            <w:r>
              <w:rPr>
                <w:rFonts w:ascii="Arial" w:cs="Arial" w:eastAsia="Arial" w:hAnsi="Arial"/>
                <w:sz w:val="16"/>
                <w:szCs w:val="16"/>
                <w:color w:val="auto"/>
              </w:rPr>
              <w:t>Nil</w:t>
            </w:r>
          </w:p>
        </w:tc>
        <w:tc>
          <w:tcPr>
            <w:tcW w:w="1200" w:type="dxa"/>
            <w:vAlign w:val="bottom"/>
          </w:tcPr>
          <w:p>
            <w:pPr>
              <w:ind w:left="520"/>
              <w:spacing w:after="0"/>
              <w:rPr>
                <w:sz w:val="20"/>
                <w:szCs w:val="20"/>
                <w:color w:val="auto"/>
              </w:rPr>
            </w:pPr>
            <w:r>
              <w:rPr>
                <w:rFonts w:ascii="Arial" w:cs="Arial" w:eastAsia="Arial" w:hAnsi="Arial"/>
                <w:sz w:val="16"/>
                <w:szCs w:val="16"/>
                <w:color w:val="auto"/>
              </w:rPr>
              <w:t>Nil</w:t>
            </w:r>
          </w:p>
        </w:tc>
        <w:tc>
          <w:tcPr>
            <w:tcW w:w="980" w:type="dxa"/>
            <w:vAlign w:val="bottom"/>
          </w:tcPr>
          <w:p>
            <w:pPr>
              <w:jc w:val="right"/>
              <w:spacing w:after="0"/>
              <w:rPr>
                <w:sz w:val="20"/>
                <w:szCs w:val="20"/>
                <w:color w:val="auto"/>
              </w:rPr>
            </w:pPr>
            <w:r>
              <w:rPr>
                <w:rFonts w:ascii="Arial" w:cs="Arial" w:eastAsia="Arial" w:hAnsi="Arial"/>
                <w:sz w:val="16"/>
                <w:szCs w:val="16"/>
                <w:color w:val="auto"/>
              </w:rPr>
              <w:t>180,000</w:t>
            </w:r>
          </w:p>
        </w:tc>
      </w:tr>
      <w:tr>
        <w:trPr>
          <w:trHeight w:val="788"/>
        </w:trPr>
        <w:tc>
          <w:tcPr>
            <w:tcW w:w="600" w:type="dxa"/>
            <w:vAlign w:val="bottom"/>
          </w:tcPr>
          <w:p>
            <w:pPr>
              <w:jc w:val="right"/>
              <w:ind w:right="198"/>
              <w:spacing w:after="0"/>
              <w:rPr>
                <w:sz w:val="20"/>
                <w:szCs w:val="20"/>
                <w:color w:val="auto"/>
              </w:rPr>
            </w:pPr>
            <w:r>
              <w:rPr>
                <w:rFonts w:ascii="Arial" w:cs="Arial" w:eastAsia="Arial" w:hAnsi="Arial"/>
                <w:sz w:val="16"/>
                <w:szCs w:val="16"/>
                <w:color w:val="auto"/>
                <w:w w:val="84"/>
              </w:rPr>
              <w:t>2012</w:t>
            </w:r>
          </w:p>
        </w:tc>
        <w:tc>
          <w:tcPr>
            <w:tcW w:w="1240" w:type="dxa"/>
            <w:vAlign w:val="bottom"/>
          </w:tcPr>
          <w:p>
            <w:pPr>
              <w:jc w:val="center"/>
              <w:ind w:right="38"/>
              <w:spacing w:after="0"/>
              <w:rPr>
                <w:sz w:val="20"/>
                <w:szCs w:val="20"/>
                <w:color w:val="auto"/>
              </w:rPr>
            </w:pPr>
            <w:r>
              <w:rPr>
                <w:rFonts w:ascii="Arial" w:cs="Arial" w:eastAsia="Arial" w:hAnsi="Arial"/>
                <w:sz w:val="16"/>
                <w:szCs w:val="16"/>
                <w:color w:val="auto"/>
                <w:w w:val="89"/>
              </w:rPr>
              <w:t>62,040</w:t>
            </w:r>
          </w:p>
        </w:tc>
        <w:tc>
          <w:tcPr>
            <w:tcW w:w="1180" w:type="dxa"/>
            <w:vAlign w:val="bottom"/>
          </w:tcPr>
          <w:p>
            <w:pPr>
              <w:ind w:left="420"/>
              <w:spacing w:after="0"/>
              <w:rPr>
                <w:sz w:val="20"/>
                <w:szCs w:val="20"/>
                <w:color w:val="auto"/>
              </w:rPr>
            </w:pPr>
            <w:r>
              <w:rPr>
                <w:rFonts w:ascii="Arial" w:cs="Arial" w:eastAsia="Arial" w:hAnsi="Arial"/>
                <w:sz w:val="16"/>
                <w:szCs w:val="16"/>
                <w:color w:val="auto"/>
              </w:rPr>
              <w:t>Nil</w:t>
            </w:r>
          </w:p>
        </w:tc>
        <w:tc>
          <w:tcPr>
            <w:tcW w:w="1260" w:type="dxa"/>
            <w:vAlign w:val="bottom"/>
          </w:tcPr>
          <w:p>
            <w:pPr>
              <w:ind w:left="520"/>
              <w:spacing w:after="0"/>
              <w:rPr>
                <w:sz w:val="20"/>
                <w:szCs w:val="20"/>
                <w:color w:val="auto"/>
              </w:rPr>
            </w:pPr>
            <w:r>
              <w:rPr>
                <w:rFonts w:ascii="Arial" w:cs="Arial" w:eastAsia="Arial" w:hAnsi="Arial"/>
                <w:sz w:val="16"/>
                <w:szCs w:val="16"/>
                <w:color w:val="auto"/>
              </w:rPr>
              <w:t>Nil</w:t>
            </w:r>
          </w:p>
        </w:tc>
        <w:tc>
          <w:tcPr>
            <w:tcW w:w="1460" w:type="dxa"/>
            <w:vAlign w:val="bottom"/>
          </w:tcPr>
          <w:p>
            <w:pPr>
              <w:jc w:val="right"/>
              <w:ind w:right="458"/>
              <w:spacing w:after="0"/>
              <w:rPr>
                <w:sz w:val="20"/>
                <w:szCs w:val="20"/>
                <w:color w:val="auto"/>
              </w:rPr>
            </w:pPr>
            <w:r>
              <w:rPr>
                <w:rFonts w:ascii="Arial" w:cs="Arial" w:eastAsia="Arial" w:hAnsi="Arial"/>
                <w:sz w:val="16"/>
                <w:szCs w:val="16"/>
                <w:color w:val="auto"/>
              </w:rPr>
              <w:t>6,720</w:t>
            </w:r>
          </w:p>
        </w:tc>
        <w:tc>
          <w:tcPr>
            <w:tcW w:w="1200" w:type="dxa"/>
            <w:vAlign w:val="bottom"/>
          </w:tcPr>
          <w:p>
            <w:pPr>
              <w:ind w:left="520"/>
              <w:spacing w:after="0"/>
              <w:rPr>
                <w:sz w:val="20"/>
                <w:szCs w:val="20"/>
                <w:color w:val="auto"/>
              </w:rPr>
            </w:pPr>
            <w:r>
              <w:rPr>
                <w:rFonts w:ascii="Arial" w:cs="Arial" w:eastAsia="Arial" w:hAnsi="Arial"/>
                <w:sz w:val="16"/>
                <w:szCs w:val="16"/>
                <w:color w:val="auto"/>
              </w:rPr>
              <w:t>Nil</w:t>
            </w:r>
          </w:p>
        </w:tc>
        <w:tc>
          <w:tcPr>
            <w:tcW w:w="980" w:type="dxa"/>
            <w:vAlign w:val="bottom"/>
          </w:tcPr>
          <w:p>
            <w:pPr>
              <w:jc w:val="right"/>
              <w:spacing w:after="0"/>
              <w:rPr>
                <w:sz w:val="20"/>
                <w:szCs w:val="20"/>
                <w:color w:val="auto"/>
              </w:rPr>
            </w:pPr>
            <w:r>
              <w:rPr>
                <w:rFonts w:ascii="Arial" w:cs="Arial" w:eastAsia="Arial" w:hAnsi="Arial"/>
                <w:sz w:val="16"/>
                <w:szCs w:val="16"/>
                <w:color w:val="auto"/>
              </w:rPr>
              <w:t>68,760</w:t>
            </w:r>
          </w:p>
        </w:tc>
      </w:tr>
      <w:tr>
        <w:trPr>
          <w:trHeight w:val="481"/>
        </w:trPr>
        <w:tc>
          <w:tcPr>
            <w:tcW w:w="600" w:type="dxa"/>
            <w:vAlign w:val="bottom"/>
          </w:tcPr>
          <w:p>
            <w:pPr>
              <w:jc w:val="right"/>
              <w:ind w:right="198"/>
              <w:spacing w:after="0"/>
              <w:rPr>
                <w:sz w:val="20"/>
                <w:szCs w:val="20"/>
                <w:color w:val="auto"/>
              </w:rPr>
            </w:pPr>
            <w:r>
              <w:rPr>
                <w:rFonts w:ascii="Arial" w:cs="Arial" w:eastAsia="Arial" w:hAnsi="Arial"/>
                <w:sz w:val="16"/>
                <w:szCs w:val="16"/>
                <w:color w:val="auto"/>
                <w:w w:val="84"/>
              </w:rPr>
              <w:t>2013</w:t>
            </w:r>
          </w:p>
        </w:tc>
        <w:tc>
          <w:tcPr>
            <w:tcW w:w="1240" w:type="dxa"/>
            <w:vAlign w:val="bottom"/>
          </w:tcPr>
          <w:p>
            <w:pPr>
              <w:jc w:val="center"/>
              <w:ind w:right="38"/>
              <w:spacing w:after="0"/>
              <w:rPr>
                <w:sz w:val="20"/>
                <w:szCs w:val="20"/>
                <w:color w:val="auto"/>
              </w:rPr>
            </w:pPr>
            <w:r>
              <w:rPr>
                <w:rFonts w:ascii="Arial" w:cs="Arial" w:eastAsia="Arial" w:hAnsi="Arial"/>
                <w:sz w:val="16"/>
                <w:szCs w:val="16"/>
                <w:color w:val="auto"/>
                <w:w w:val="89"/>
              </w:rPr>
              <w:t>60,000</w:t>
            </w:r>
          </w:p>
        </w:tc>
        <w:tc>
          <w:tcPr>
            <w:tcW w:w="1180" w:type="dxa"/>
            <w:vAlign w:val="bottom"/>
          </w:tcPr>
          <w:p>
            <w:pPr>
              <w:ind w:left="420"/>
              <w:spacing w:after="0"/>
              <w:rPr>
                <w:sz w:val="20"/>
                <w:szCs w:val="20"/>
                <w:color w:val="auto"/>
              </w:rPr>
            </w:pPr>
            <w:r>
              <w:rPr>
                <w:rFonts w:ascii="Arial" w:cs="Arial" w:eastAsia="Arial" w:hAnsi="Arial"/>
                <w:sz w:val="16"/>
                <w:szCs w:val="16"/>
                <w:color w:val="auto"/>
              </w:rPr>
              <w:t>Nil</w:t>
            </w:r>
          </w:p>
        </w:tc>
        <w:tc>
          <w:tcPr>
            <w:tcW w:w="1260" w:type="dxa"/>
            <w:vAlign w:val="bottom"/>
          </w:tcPr>
          <w:p>
            <w:pPr>
              <w:ind w:left="520"/>
              <w:spacing w:after="0"/>
              <w:rPr>
                <w:sz w:val="20"/>
                <w:szCs w:val="20"/>
                <w:color w:val="auto"/>
              </w:rPr>
            </w:pPr>
            <w:r>
              <w:rPr>
                <w:rFonts w:ascii="Arial" w:cs="Arial" w:eastAsia="Arial" w:hAnsi="Arial"/>
                <w:sz w:val="16"/>
                <w:szCs w:val="16"/>
                <w:color w:val="auto"/>
              </w:rPr>
              <w:t>Nil</w:t>
            </w:r>
          </w:p>
        </w:tc>
        <w:tc>
          <w:tcPr>
            <w:tcW w:w="1460" w:type="dxa"/>
            <w:vAlign w:val="bottom"/>
          </w:tcPr>
          <w:p>
            <w:pPr>
              <w:ind w:left="620"/>
              <w:spacing w:after="0"/>
              <w:rPr>
                <w:sz w:val="20"/>
                <w:szCs w:val="20"/>
                <w:color w:val="auto"/>
              </w:rPr>
            </w:pPr>
            <w:r>
              <w:rPr>
                <w:rFonts w:ascii="Arial" w:cs="Arial" w:eastAsia="Arial" w:hAnsi="Arial"/>
                <w:sz w:val="16"/>
                <w:szCs w:val="16"/>
                <w:color w:val="auto"/>
              </w:rPr>
              <w:t>Nil</w:t>
            </w:r>
          </w:p>
        </w:tc>
        <w:tc>
          <w:tcPr>
            <w:tcW w:w="1200" w:type="dxa"/>
            <w:vAlign w:val="bottom"/>
          </w:tcPr>
          <w:p>
            <w:pPr>
              <w:ind w:left="520"/>
              <w:spacing w:after="0"/>
              <w:rPr>
                <w:sz w:val="20"/>
                <w:szCs w:val="20"/>
                <w:color w:val="auto"/>
              </w:rPr>
            </w:pPr>
            <w:r>
              <w:rPr>
                <w:rFonts w:ascii="Arial" w:cs="Arial" w:eastAsia="Arial" w:hAnsi="Arial"/>
                <w:sz w:val="16"/>
                <w:szCs w:val="16"/>
                <w:color w:val="auto"/>
              </w:rPr>
              <w:t>Nil</w:t>
            </w:r>
          </w:p>
        </w:tc>
        <w:tc>
          <w:tcPr>
            <w:tcW w:w="980" w:type="dxa"/>
            <w:vAlign w:val="bottom"/>
          </w:tcPr>
          <w:p>
            <w:pPr>
              <w:jc w:val="right"/>
              <w:spacing w:after="0"/>
              <w:rPr>
                <w:sz w:val="20"/>
                <w:szCs w:val="20"/>
                <w:color w:val="auto"/>
              </w:rPr>
            </w:pPr>
            <w:r>
              <w:rPr>
                <w:rFonts w:ascii="Arial" w:cs="Arial" w:eastAsia="Arial" w:hAnsi="Arial"/>
                <w:sz w:val="16"/>
                <w:szCs w:val="16"/>
                <w:color w:val="auto"/>
              </w:rPr>
              <w:t>60,000</w:t>
            </w:r>
          </w:p>
        </w:tc>
      </w:tr>
      <w:tr>
        <w:trPr>
          <w:trHeight w:val="208"/>
        </w:trPr>
        <w:tc>
          <w:tcPr>
            <w:tcW w:w="600" w:type="dxa"/>
            <w:vAlign w:val="bottom"/>
          </w:tcPr>
          <w:p>
            <w:pPr>
              <w:jc w:val="right"/>
              <w:ind w:right="198"/>
              <w:spacing w:after="0"/>
              <w:rPr>
                <w:sz w:val="20"/>
                <w:szCs w:val="20"/>
                <w:color w:val="auto"/>
              </w:rPr>
            </w:pPr>
            <w:r>
              <w:rPr>
                <w:rFonts w:ascii="Arial" w:cs="Arial" w:eastAsia="Arial" w:hAnsi="Arial"/>
                <w:sz w:val="16"/>
                <w:szCs w:val="16"/>
                <w:color w:val="auto"/>
                <w:w w:val="84"/>
              </w:rPr>
              <w:t>2012</w:t>
            </w:r>
          </w:p>
        </w:tc>
        <w:tc>
          <w:tcPr>
            <w:tcW w:w="1240" w:type="dxa"/>
            <w:vAlign w:val="bottom"/>
          </w:tcPr>
          <w:p>
            <w:pPr>
              <w:jc w:val="center"/>
              <w:ind w:right="38"/>
              <w:spacing w:after="0"/>
              <w:rPr>
                <w:sz w:val="20"/>
                <w:szCs w:val="20"/>
                <w:color w:val="auto"/>
              </w:rPr>
            </w:pPr>
            <w:r>
              <w:rPr>
                <w:rFonts w:ascii="Arial" w:cs="Arial" w:eastAsia="Arial" w:hAnsi="Arial"/>
                <w:sz w:val="16"/>
                <w:szCs w:val="16"/>
                <w:color w:val="auto"/>
                <w:w w:val="89"/>
              </w:rPr>
              <w:t>150,000</w:t>
            </w:r>
          </w:p>
        </w:tc>
        <w:tc>
          <w:tcPr>
            <w:tcW w:w="1180" w:type="dxa"/>
            <w:vAlign w:val="bottom"/>
          </w:tcPr>
          <w:p>
            <w:pPr>
              <w:ind w:left="420"/>
              <w:spacing w:after="0"/>
              <w:rPr>
                <w:sz w:val="20"/>
                <w:szCs w:val="20"/>
                <w:color w:val="auto"/>
              </w:rPr>
            </w:pPr>
            <w:r>
              <w:rPr>
                <w:rFonts w:ascii="Arial" w:cs="Arial" w:eastAsia="Arial" w:hAnsi="Arial"/>
                <w:sz w:val="16"/>
                <w:szCs w:val="16"/>
                <w:color w:val="auto"/>
              </w:rPr>
              <w:t>Nil</w:t>
            </w:r>
          </w:p>
        </w:tc>
        <w:tc>
          <w:tcPr>
            <w:tcW w:w="1260" w:type="dxa"/>
            <w:vAlign w:val="bottom"/>
          </w:tcPr>
          <w:p>
            <w:pPr>
              <w:ind w:left="520"/>
              <w:spacing w:after="0"/>
              <w:rPr>
                <w:sz w:val="20"/>
                <w:szCs w:val="20"/>
                <w:color w:val="auto"/>
              </w:rPr>
            </w:pPr>
            <w:r>
              <w:rPr>
                <w:rFonts w:ascii="Arial" w:cs="Arial" w:eastAsia="Arial" w:hAnsi="Arial"/>
                <w:sz w:val="16"/>
                <w:szCs w:val="16"/>
                <w:color w:val="auto"/>
              </w:rPr>
              <w:t>Nil</w:t>
            </w:r>
          </w:p>
        </w:tc>
        <w:tc>
          <w:tcPr>
            <w:tcW w:w="1460" w:type="dxa"/>
            <w:vAlign w:val="bottom"/>
          </w:tcPr>
          <w:p>
            <w:pPr>
              <w:jc w:val="right"/>
              <w:ind w:right="418"/>
              <w:spacing w:after="0"/>
              <w:rPr>
                <w:sz w:val="20"/>
                <w:szCs w:val="20"/>
                <w:color w:val="auto"/>
              </w:rPr>
            </w:pPr>
            <w:r>
              <w:rPr>
                <w:rFonts w:ascii="Arial" w:cs="Arial" w:eastAsia="Arial" w:hAnsi="Arial"/>
                <w:sz w:val="16"/>
                <w:szCs w:val="16"/>
                <w:color w:val="auto"/>
              </w:rPr>
              <w:t>45,000</w:t>
            </w:r>
          </w:p>
        </w:tc>
        <w:tc>
          <w:tcPr>
            <w:tcW w:w="1200" w:type="dxa"/>
            <w:vAlign w:val="bottom"/>
          </w:tcPr>
          <w:p>
            <w:pPr>
              <w:ind w:left="520"/>
              <w:spacing w:after="0"/>
              <w:rPr>
                <w:sz w:val="20"/>
                <w:szCs w:val="20"/>
                <w:color w:val="auto"/>
              </w:rPr>
            </w:pPr>
            <w:r>
              <w:rPr>
                <w:rFonts w:ascii="Arial" w:cs="Arial" w:eastAsia="Arial" w:hAnsi="Arial"/>
                <w:sz w:val="16"/>
                <w:szCs w:val="16"/>
                <w:color w:val="auto"/>
              </w:rPr>
              <w:t>Nil</w:t>
            </w:r>
          </w:p>
        </w:tc>
        <w:tc>
          <w:tcPr>
            <w:tcW w:w="980" w:type="dxa"/>
            <w:vAlign w:val="bottom"/>
          </w:tcPr>
          <w:p>
            <w:pPr>
              <w:jc w:val="right"/>
              <w:spacing w:after="0"/>
              <w:rPr>
                <w:sz w:val="20"/>
                <w:szCs w:val="20"/>
                <w:color w:val="auto"/>
              </w:rPr>
            </w:pPr>
            <w:r>
              <w:rPr>
                <w:rFonts w:ascii="Arial" w:cs="Arial" w:eastAsia="Arial" w:hAnsi="Arial"/>
                <w:sz w:val="16"/>
                <w:szCs w:val="16"/>
                <w:color w:val="auto"/>
              </w:rPr>
              <w:t>195,000</w:t>
            </w:r>
          </w:p>
        </w:tc>
      </w:tr>
    </w:tbl>
    <w:p>
      <w:pPr>
        <w:spacing w:after="0" w:line="200" w:lineRule="exact"/>
        <w:rPr>
          <w:sz w:val="20"/>
          <w:szCs w:val="20"/>
          <w:color w:val="auto"/>
        </w:rPr>
      </w:pPr>
    </w:p>
    <w:p>
      <w:pPr>
        <w:sectPr>
          <w:pgSz w:w="11900" w:h="16838" w:orient="portrait"/>
          <w:cols w:equalWidth="0" w:num="2">
            <w:col w:w="2840" w:space="280"/>
            <w:col w:w="8300"/>
          </w:cols>
          <w:pgMar w:left="240" w:top="480" w:right="239" w:bottom="1440" w:gutter="0" w:footer="0" w:header="0"/>
          <w:type w:val="continuous"/>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7263765"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type w:val="continuous"/>
        </w:sectPr>
      </w:pPr>
    </w:p>
    <w:bookmarkStart w:id="65" w:name="page66"/>
    <w:bookmarkEnd w:id="65"/>
    <w:p>
      <w:pPr>
        <w:jc w:val="both"/>
        <w:ind w:left="1"/>
        <w:spacing w:after="0" w:line="272" w:lineRule="auto"/>
        <w:rPr>
          <w:sz w:val="20"/>
          <w:szCs w:val="20"/>
          <w:color w:val="auto"/>
        </w:rPr>
      </w:pPr>
      <w:r>
        <w:rPr>
          <w:rFonts w:ascii="Arial" w:cs="Arial" w:eastAsia="Arial" w:hAnsi="Arial"/>
          <w:sz w:val="16"/>
          <w:szCs w:val="16"/>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health, annuity, insurance, profit sharing or similar benefit plans.</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table sets forth information as at December 31, 2013 relating to outstanding equity awards for each Named Executive Officer: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Outstanding Equity Awards at Year End Table</w:t>
      </w:r>
    </w:p>
    <w:p>
      <w:pPr>
        <w:spacing w:after="0" w:line="28" w:lineRule="exact"/>
        <w:rPr>
          <w:sz w:val="20"/>
          <w:szCs w:val="20"/>
          <w:color w:val="auto"/>
        </w:rPr>
      </w:pPr>
    </w:p>
    <w:tbl>
      <w:tblPr>
        <w:tblLayout w:type="fixed"/>
        <w:tblInd w:w="1" w:type="dxa"/>
        <w:tblCellMar>
          <w:top w:w="0" w:type="dxa"/>
          <w:left w:w="0" w:type="dxa"/>
          <w:bottom w:w="0" w:type="dxa"/>
          <w:right w:w="0" w:type="dxa"/>
        </w:tblCellMar>
      </w:tblPr>
      <w:tr>
        <w:trPr>
          <w:trHeight w:val="187"/>
        </w:trPr>
        <w:tc>
          <w:tcPr>
            <w:tcW w:w="36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center"/>
              <w:ind w:left="18"/>
              <w:spacing w:after="0"/>
              <w:rPr>
                <w:sz w:val="20"/>
                <w:szCs w:val="20"/>
                <w:color w:val="auto"/>
              </w:rPr>
            </w:pPr>
            <w:r>
              <w:rPr>
                <w:rFonts w:ascii="Arial" w:cs="Arial" w:eastAsia="Arial" w:hAnsi="Arial"/>
                <w:sz w:val="16"/>
                <w:szCs w:val="16"/>
                <w:b w:val="1"/>
                <w:bCs w:val="1"/>
                <w:color w:val="auto"/>
                <w:w w:val="94"/>
              </w:rPr>
              <w:t>Number of</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3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80" w:type="dxa"/>
            <w:vAlign w:val="bottom"/>
          </w:tcPr>
          <w:p>
            <w:pPr>
              <w:spacing w:after="0"/>
              <w:rPr>
                <w:sz w:val="17"/>
                <w:szCs w:val="17"/>
                <w:color w:val="auto"/>
              </w:rPr>
            </w:pPr>
          </w:p>
        </w:tc>
        <w:tc>
          <w:tcPr>
            <w:tcW w:w="1700" w:type="dxa"/>
            <w:vAlign w:val="bottom"/>
          </w:tcPr>
          <w:p>
            <w:pPr>
              <w:jc w:val="center"/>
              <w:ind w:left="18"/>
              <w:spacing w:after="0"/>
              <w:rPr>
                <w:sz w:val="20"/>
                <w:szCs w:val="20"/>
                <w:color w:val="auto"/>
              </w:rPr>
            </w:pPr>
            <w:r>
              <w:rPr>
                <w:rFonts w:ascii="Arial" w:cs="Arial" w:eastAsia="Arial" w:hAnsi="Arial"/>
                <w:sz w:val="16"/>
                <w:szCs w:val="16"/>
                <w:b w:val="1"/>
                <w:bCs w:val="1"/>
                <w:color w:val="auto"/>
                <w:w w:val="88"/>
              </w:rPr>
              <w:t>Securities</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80" w:type="dxa"/>
            <w:vAlign w:val="bottom"/>
          </w:tcPr>
          <w:p>
            <w:pPr>
              <w:spacing w:after="0"/>
              <w:rPr>
                <w:sz w:val="17"/>
                <w:szCs w:val="17"/>
                <w:color w:val="auto"/>
              </w:rPr>
            </w:pPr>
          </w:p>
        </w:tc>
        <w:tc>
          <w:tcPr>
            <w:tcW w:w="1700" w:type="dxa"/>
            <w:vAlign w:val="bottom"/>
          </w:tcPr>
          <w:p>
            <w:pPr>
              <w:jc w:val="center"/>
              <w:ind w:left="18"/>
              <w:spacing w:after="0"/>
              <w:rPr>
                <w:sz w:val="20"/>
                <w:szCs w:val="20"/>
                <w:color w:val="auto"/>
              </w:rPr>
            </w:pPr>
            <w:r>
              <w:rPr>
                <w:rFonts w:ascii="Arial" w:cs="Arial" w:eastAsia="Arial" w:hAnsi="Arial"/>
                <w:sz w:val="16"/>
                <w:szCs w:val="16"/>
                <w:b w:val="1"/>
                <w:bCs w:val="1"/>
                <w:color w:val="auto"/>
                <w:w w:val="95"/>
              </w:rPr>
              <w:t>Underlying</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5"/>
              </w:rPr>
              <w:t>Underlying</w:t>
            </w: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8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Unexercised</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Unexercised</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6"/>
              </w:rPr>
              <w:t>Option</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197"/>
        </w:trPr>
        <w:tc>
          <w:tcPr>
            <w:tcW w:w="3680" w:type="dxa"/>
            <w:vAlign w:val="bottom"/>
          </w:tcPr>
          <w:p>
            <w:pPr>
              <w:spacing w:after="0"/>
              <w:rPr>
                <w:sz w:val="17"/>
                <w:szCs w:val="17"/>
                <w:color w:val="auto"/>
              </w:rPr>
            </w:pPr>
          </w:p>
        </w:tc>
        <w:tc>
          <w:tcPr>
            <w:tcW w:w="1700" w:type="dxa"/>
            <w:vAlign w:val="bottom"/>
          </w:tcPr>
          <w:p>
            <w:pPr>
              <w:jc w:val="center"/>
              <w:ind w:left="18"/>
              <w:spacing w:after="0"/>
              <w:rPr>
                <w:sz w:val="20"/>
                <w:szCs w:val="20"/>
                <w:color w:val="auto"/>
              </w:rPr>
            </w:pPr>
            <w:r>
              <w:rPr>
                <w:rFonts w:ascii="Arial" w:cs="Arial" w:eastAsia="Arial" w:hAnsi="Arial"/>
                <w:sz w:val="16"/>
                <w:szCs w:val="16"/>
                <w:b w:val="1"/>
                <w:bCs w:val="1"/>
                <w:color w:val="auto"/>
                <w:w w:val="92"/>
              </w:rPr>
              <w:t>Options</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Exercise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7"/>
              </w:rPr>
              <w:t>Expiration</w:t>
            </w:r>
          </w:p>
        </w:tc>
        <w:tc>
          <w:tcPr>
            <w:tcW w:w="0" w:type="dxa"/>
            <w:vAlign w:val="bottom"/>
          </w:tcPr>
          <w:p>
            <w:pPr>
              <w:spacing w:after="0"/>
              <w:rPr>
                <w:sz w:val="1"/>
                <w:szCs w:val="1"/>
                <w:color w:val="auto"/>
              </w:rPr>
            </w:pPr>
          </w:p>
        </w:tc>
      </w:tr>
      <w:tr>
        <w:trPr>
          <w:trHeight w:val="218"/>
        </w:trPr>
        <w:tc>
          <w:tcPr>
            <w:tcW w:w="368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Name</w:t>
            </w:r>
          </w:p>
        </w:tc>
        <w:tc>
          <w:tcPr>
            <w:tcW w:w="1700" w:type="dxa"/>
            <w:vAlign w:val="bottom"/>
            <w:tcBorders>
              <w:bottom w:val="single" w:sz="8" w:color="auto"/>
            </w:tcBorders>
          </w:tcPr>
          <w:p>
            <w:pPr>
              <w:jc w:val="center"/>
              <w:ind w:left="18"/>
              <w:spacing w:after="0"/>
              <w:rPr>
                <w:sz w:val="20"/>
                <w:szCs w:val="20"/>
                <w:color w:val="auto"/>
              </w:rPr>
            </w:pPr>
            <w:r>
              <w:rPr>
                <w:rFonts w:ascii="Arial" w:cs="Arial" w:eastAsia="Arial" w:hAnsi="Arial"/>
                <w:sz w:val="16"/>
                <w:szCs w:val="16"/>
                <w:b w:val="1"/>
                <w:bCs w:val="1"/>
                <w:color w:val="auto"/>
                <w:w w:val="89"/>
              </w:rPr>
              <w:t>(exercisable)</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(unexercisable)</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1700" w:type="dxa"/>
            <w:vAlign w:val="bottom"/>
          </w:tcPr>
          <w:p>
            <w:pPr>
              <w:jc w:val="center"/>
              <w:ind w:left="58"/>
              <w:spacing w:after="0"/>
              <w:rPr>
                <w:sz w:val="20"/>
                <w:szCs w:val="20"/>
                <w:color w:val="auto"/>
              </w:rPr>
            </w:pPr>
            <w:r>
              <w:rPr>
                <w:rFonts w:ascii="Arial" w:cs="Arial" w:eastAsia="Arial" w:hAnsi="Arial"/>
                <w:sz w:val="16"/>
                <w:szCs w:val="16"/>
                <w:color w:val="auto"/>
                <w:w w:val="89"/>
              </w:rPr>
              <w:t>400</w:t>
            </w:r>
          </w:p>
        </w:tc>
        <w:tc>
          <w:tcPr>
            <w:tcW w:w="1820" w:type="dxa"/>
            <w:vAlign w:val="bottom"/>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tcPr>
          <w:p>
            <w:pPr>
              <w:jc w:val="center"/>
              <w:spacing w:after="0"/>
              <w:rPr>
                <w:sz w:val="20"/>
                <w:szCs w:val="20"/>
                <w:color w:val="auto"/>
              </w:rPr>
            </w:pPr>
            <w:r>
              <w:rPr>
                <w:rFonts w:ascii="Arial" w:cs="Arial" w:eastAsia="Arial" w:hAnsi="Arial"/>
                <w:sz w:val="16"/>
                <w:szCs w:val="16"/>
                <w:color w:val="auto"/>
              </w:rPr>
              <w:t>Nil</w:t>
            </w:r>
          </w:p>
        </w:tc>
        <w:tc>
          <w:tcPr>
            <w:tcW w:w="1300" w:type="dxa"/>
            <w:vAlign w:val="bottom"/>
          </w:tcPr>
          <w:p>
            <w:pPr>
              <w:jc w:val="right"/>
              <w:ind w:right="218"/>
              <w:spacing w:after="0" w:line="184" w:lineRule="exact"/>
              <w:rPr>
                <w:sz w:val="20"/>
                <w:szCs w:val="20"/>
                <w:color w:val="auto"/>
              </w:rPr>
            </w:pPr>
            <w:r>
              <w:rPr>
                <w:rFonts w:ascii="Arial" w:cs="Arial" w:eastAsia="Arial" w:hAnsi="Arial"/>
                <w:sz w:val="16"/>
                <w:szCs w:val="16"/>
                <w:color w:val="auto"/>
              </w:rPr>
              <w:t>$17.00</w:t>
            </w:r>
            <w:r>
              <w:rPr>
                <w:rFonts w:ascii="Arial" w:cs="Arial" w:eastAsia="Arial" w:hAnsi="Arial"/>
                <w:sz w:val="21"/>
                <w:szCs w:val="21"/>
                <w:color w:val="auto"/>
                <w:vertAlign w:val="superscript"/>
              </w:rPr>
              <w:t>(3)</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07/06/17</w:t>
            </w:r>
          </w:p>
        </w:tc>
        <w:tc>
          <w:tcPr>
            <w:tcW w:w="0" w:type="dxa"/>
            <w:vAlign w:val="bottom"/>
          </w:tcPr>
          <w:p>
            <w:pPr>
              <w:spacing w:after="0"/>
              <w:rPr>
                <w:sz w:val="1"/>
                <w:szCs w:val="1"/>
                <w:color w:val="auto"/>
              </w:rPr>
            </w:pPr>
          </w:p>
        </w:tc>
      </w:tr>
      <w:tr>
        <w:trPr>
          <w:trHeight w:val="197"/>
        </w:trPr>
        <w:tc>
          <w:tcPr>
            <w:tcW w:w="3680" w:type="dxa"/>
            <w:vAlign w:val="bottom"/>
          </w:tcPr>
          <w:p>
            <w:pPr>
              <w:spacing w:after="0"/>
              <w:rPr>
                <w:sz w:val="17"/>
                <w:szCs w:val="17"/>
                <w:color w:val="auto"/>
              </w:rPr>
            </w:pPr>
          </w:p>
        </w:tc>
        <w:tc>
          <w:tcPr>
            <w:tcW w:w="1700" w:type="dxa"/>
            <w:vAlign w:val="bottom"/>
          </w:tcPr>
          <w:p>
            <w:pPr>
              <w:jc w:val="center"/>
              <w:spacing w:after="0" w:line="197" w:lineRule="exact"/>
              <w:rPr>
                <w:sz w:val="20"/>
                <w:szCs w:val="20"/>
                <w:color w:val="auto"/>
              </w:rPr>
            </w:pPr>
            <w:r>
              <w:rPr>
                <w:rFonts w:ascii="Arial" w:cs="Arial" w:eastAsia="Arial" w:hAnsi="Arial"/>
                <w:sz w:val="16"/>
                <w:szCs w:val="16"/>
                <w:color w:val="auto"/>
                <w:w w:val="86"/>
              </w:rPr>
              <w:t>16,000</w:t>
            </w:r>
            <w:r>
              <w:rPr>
                <w:rFonts w:ascii="Arial" w:cs="Arial" w:eastAsia="Arial" w:hAnsi="Arial"/>
                <w:sz w:val="22"/>
                <w:szCs w:val="22"/>
                <w:color w:val="auto"/>
                <w:w w:val="86"/>
                <w:vertAlign w:val="superscript"/>
              </w:rPr>
              <w:t>(2)</w:t>
            </w:r>
          </w:p>
        </w:tc>
        <w:tc>
          <w:tcPr>
            <w:tcW w:w="1820" w:type="dxa"/>
            <w:vAlign w:val="bottom"/>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tcPr>
          <w:p>
            <w:pPr>
              <w:jc w:val="center"/>
              <w:spacing w:after="0"/>
              <w:rPr>
                <w:sz w:val="20"/>
                <w:szCs w:val="20"/>
                <w:color w:val="auto"/>
              </w:rPr>
            </w:pPr>
            <w:r>
              <w:rPr>
                <w:rFonts w:ascii="Arial" w:cs="Arial" w:eastAsia="Arial" w:hAnsi="Arial"/>
                <w:sz w:val="16"/>
                <w:szCs w:val="16"/>
                <w:color w:val="auto"/>
              </w:rPr>
              <w:t>Nil</w:t>
            </w:r>
          </w:p>
        </w:tc>
        <w:tc>
          <w:tcPr>
            <w:tcW w:w="1300" w:type="dxa"/>
            <w:vAlign w:val="bottom"/>
          </w:tcPr>
          <w:p>
            <w:pPr>
              <w:jc w:val="right"/>
              <w:ind w:right="218"/>
              <w:spacing w:after="0" w:line="197" w:lineRule="exact"/>
              <w:rPr>
                <w:sz w:val="20"/>
                <w:szCs w:val="20"/>
                <w:color w:val="auto"/>
              </w:rPr>
            </w:pPr>
            <w:r>
              <w:rPr>
                <w:rFonts w:ascii="Arial" w:cs="Arial" w:eastAsia="Arial" w:hAnsi="Arial"/>
                <w:sz w:val="16"/>
                <w:szCs w:val="16"/>
                <w:color w:val="auto"/>
              </w:rPr>
              <w:t>$17.00</w:t>
            </w:r>
            <w:r>
              <w:rPr>
                <w:rFonts w:ascii="Arial" w:cs="Arial" w:eastAsia="Arial" w:hAnsi="Arial"/>
                <w:sz w:val="22"/>
                <w:szCs w:val="22"/>
                <w:color w:val="auto"/>
                <w:vertAlign w:val="superscript"/>
              </w:rPr>
              <w:t>(3)</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10/14/19</w:t>
            </w:r>
          </w:p>
        </w:tc>
        <w:tc>
          <w:tcPr>
            <w:tcW w:w="0" w:type="dxa"/>
            <w:vAlign w:val="bottom"/>
          </w:tcPr>
          <w:p>
            <w:pPr>
              <w:spacing w:after="0"/>
              <w:rPr>
                <w:sz w:val="1"/>
                <w:szCs w:val="1"/>
                <w:color w:val="auto"/>
              </w:rPr>
            </w:pPr>
          </w:p>
        </w:tc>
      </w:tr>
      <w:tr>
        <w:trPr>
          <w:trHeight w:val="197"/>
        </w:trPr>
        <w:tc>
          <w:tcPr>
            <w:tcW w:w="3680" w:type="dxa"/>
            <w:vAlign w:val="bottom"/>
          </w:tcPr>
          <w:p>
            <w:pPr>
              <w:spacing w:after="0"/>
              <w:rPr>
                <w:sz w:val="20"/>
                <w:szCs w:val="20"/>
                <w:color w:val="auto"/>
              </w:rPr>
            </w:pPr>
            <w:r>
              <w:rPr>
                <w:rFonts w:ascii="Arial" w:cs="Arial" w:eastAsia="Arial" w:hAnsi="Arial"/>
                <w:sz w:val="16"/>
                <w:szCs w:val="16"/>
                <w:color w:val="auto"/>
              </w:rPr>
              <w:t>Glynn Wilson</w:t>
            </w:r>
          </w:p>
        </w:tc>
        <w:tc>
          <w:tcPr>
            <w:tcW w:w="1700" w:type="dxa"/>
            <w:vAlign w:val="bottom"/>
          </w:tcPr>
          <w:p>
            <w:pPr>
              <w:jc w:val="right"/>
              <w:ind w:right="418"/>
              <w:spacing w:after="0" w:line="197" w:lineRule="exact"/>
              <w:rPr>
                <w:sz w:val="20"/>
                <w:szCs w:val="20"/>
                <w:color w:val="auto"/>
              </w:rPr>
            </w:pPr>
            <w:r>
              <w:rPr>
                <w:rFonts w:ascii="Arial" w:cs="Arial" w:eastAsia="Arial" w:hAnsi="Arial"/>
                <w:sz w:val="16"/>
                <w:szCs w:val="16"/>
                <w:color w:val="auto"/>
              </w:rPr>
              <w:t>1,600</w:t>
            </w:r>
            <w:r>
              <w:rPr>
                <w:rFonts w:ascii="Arial" w:cs="Arial" w:eastAsia="Arial" w:hAnsi="Arial"/>
                <w:sz w:val="22"/>
                <w:szCs w:val="22"/>
                <w:color w:val="auto"/>
                <w:vertAlign w:val="superscript"/>
              </w:rPr>
              <w:t>(2)</w:t>
            </w:r>
          </w:p>
        </w:tc>
        <w:tc>
          <w:tcPr>
            <w:tcW w:w="1820" w:type="dxa"/>
            <w:vAlign w:val="bottom"/>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tcPr>
          <w:p>
            <w:pPr>
              <w:jc w:val="center"/>
              <w:spacing w:after="0"/>
              <w:rPr>
                <w:sz w:val="20"/>
                <w:szCs w:val="20"/>
                <w:color w:val="auto"/>
              </w:rPr>
            </w:pPr>
            <w:r>
              <w:rPr>
                <w:rFonts w:ascii="Arial" w:cs="Arial" w:eastAsia="Arial" w:hAnsi="Arial"/>
                <w:sz w:val="16"/>
                <w:szCs w:val="16"/>
                <w:color w:val="auto"/>
              </w:rPr>
              <w:t>Nil</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$17.00</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02/16/21</w:t>
            </w: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Arial" w:cs="Arial" w:eastAsia="Arial" w:hAnsi="Arial"/>
                <w:sz w:val="16"/>
                <w:szCs w:val="16"/>
                <w:i w:val="1"/>
                <w:iCs w:val="1"/>
                <w:color w:val="auto"/>
              </w:rPr>
              <w:t>Chairman, CEO and Principal Executive Officer</w:t>
            </w:r>
          </w:p>
        </w:tc>
        <w:tc>
          <w:tcPr>
            <w:tcW w:w="1700" w:type="dxa"/>
            <w:vAlign w:val="bottom"/>
          </w:tcPr>
          <w:p>
            <w:pPr>
              <w:jc w:val="right"/>
              <w:ind w:right="418"/>
              <w:spacing w:after="0"/>
              <w:rPr>
                <w:sz w:val="20"/>
                <w:szCs w:val="20"/>
                <w:color w:val="auto"/>
              </w:rPr>
            </w:pPr>
            <w:r>
              <w:rPr>
                <w:rFonts w:ascii="Arial" w:cs="Arial" w:eastAsia="Arial" w:hAnsi="Arial"/>
                <w:sz w:val="16"/>
                <w:szCs w:val="16"/>
                <w:color w:val="auto"/>
              </w:rPr>
              <w:t>19,375</w:t>
            </w:r>
            <w:r>
              <w:rPr>
                <w:rFonts w:ascii="Arial" w:cs="Arial" w:eastAsia="Arial" w:hAnsi="Arial"/>
                <w:sz w:val="22"/>
                <w:szCs w:val="22"/>
                <w:color w:val="auto"/>
                <w:vertAlign w:val="superscript"/>
              </w:rPr>
              <w:t>(2)</w:t>
            </w:r>
          </w:p>
        </w:tc>
        <w:tc>
          <w:tcPr>
            <w:tcW w:w="1820" w:type="dxa"/>
            <w:vAlign w:val="bottom"/>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tcPr>
          <w:p>
            <w:pPr>
              <w:jc w:val="center"/>
              <w:spacing w:after="0"/>
              <w:rPr>
                <w:sz w:val="20"/>
                <w:szCs w:val="20"/>
                <w:color w:val="auto"/>
              </w:rPr>
            </w:pPr>
            <w:r>
              <w:rPr>
                <w:rFonts w:ascii="Arial" w:cs="Arial" w:eastAsia="Arial" w:hAnsi="Arial"/>
                <w:sz w:val="16"/>
                <w:szCs w:val="16"/>
                <w:color w:val="auto"/>
                <w:w w:val="89"/>
              </w:rPr>
              <w:t>625</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$19.00</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03/16/16</w:t>
            </w:r>
          </w:p>
        </w:tc>
        <w:tc>
          <w:tcPr>
            <w:tcW w:w="0" w:type="dxa"/>
            <w:vAlign w:val="bottom"/>
          </w:tcPr>
          <w:p>
            <w:pPr>
              <w:spacing w:after="0"/>
              <w:rPr>
                <w:sz w:val="1"/>
                <w:szCs w:val="1"/>
                <w:color w:val="auto"/>
              </w:rPr>
            </w:pPr>
          </w:p>
        </w:tc>
      </w:tr>
      <w:tr>
        <w:trPr>
          <w:trHeight w:val="291"/>
        </w:trPr>
        <w:tc>
          <w:tcPr>
            <w:tcW w:w="3680" w:type="dxa"/>
            <w:vAlign w:val="bottom"/>
          </w:tcPr>
          <w:p>
            <w:pPr>
              <w:spacing w:after="0"/>
              <w:rPr>
                <w:sz w:val="24"/>
                <w:szCs w:val="24"/>
                <w:color w:val="auto"/>
              </w:rPr>
            </w:pPr>
          </w:p>
        </w:tc>
        <w:tc>
          <w:tcPr>
            <w:tcW w:w="1700" w:type="dxa"/>
            <w:vAlign w:val="bottom"/>
          </w:tcPr>
          <w:p>
            <w:pPr>
              <w:jc w:val="center"/>
              <w:ind w:left="18"/>
              <w:spacing w:after="0"/>
              <w:rPr>
                <w:sz w:val="20"/>
                <w:szCs w:val="20"/>
                <w:color w:val="auto"/>
              </w:rPr>
            </w:pPr>
            <w:r>
              <w:rPr>
                <w:rFonts w:ascii="Arial" w:cs="Arial" w:eastAsia="Arial" w:hAnsi="Arial"/>
                <w:sz w:val="16"/>
                <w:szCs w:val="16"/>
                <w:color w:val="auto"/>
                <w:w w:val="89"/>
              </w:rPr>
              <w:t>800</w:t>
            </w:r>
          </w:p>
        </w:tc>
        <w:tc>
          <w:tcPr>
            <w:tcW w:w="1820" w:type="dxa"/>
            <w:vAlign w:val="bottom"/>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tcPr>
          <w:p>
            <w:pPr>
              <w:jc w:val="center"/>
              <w:spacing w:after="0"/>
              <w:rPr>
                <w:sz w:val="20"/>
                <w:szCs w:val="20"/>
                <w:color w:val="auto"/>
              </w:rPr>
            </w:pPr>
            <w:r>
              <w:rPr>
                <w:rFonts w:ascii="Arial" w:cs="Arial" w:eastAsia="Arial" w:hAnsi="Arial"/>
                <w:sz w:val="16"/>
                <w:szCs w:val="16"/>
                <w:color w:val="auto"/>
              </w:rPr>
              <w:t>Nil</w:t>
            </w:r>
          </w:p>
        </w:tc>
        <w:tc>
          <w:tcPr>
            <w:tcW w:w="1300" w:type="dxa"/>
            <w:vAlign w:val="bottom"/>
          </w:tcPr>
          <w:p>
            <w:pPr>
              <w:jc w:val="center"/>
              <w:spacing w:after="0"/>
              <w:rPr>
                <w:sz w:val="20"/>
                <w:szCs w:val="20"/>
                <w:color w:val="auto"/>
              </w:rPr>
            </w:pPr>
            <w:r>
              <w:rPr>
                <w:rFonts w:ascii="Arial" w:cs="Arial" w:eastAsia="Arial" w:hAnsi="Arial"/>
                <w:sz w:val="16"/>
                <w:szCs w:val="16"/>
                <w:color w:val="auto"/>
                <w:w w:val="86"/>
              </w:rPr>
              <w:t>$17.00</w:t>
            </w:r>
            <w:r>
              <w:rPr>
                <w:rFonts w:ascii="Arial" w:cs="Arial" w:eastAsia="Arial" w:hAnsi="Arial"/>
                <w:sz w:val="22"/>
                <w:szCs w:val="22"/>
                <w:color w:val="auto"/>
                <w:w w:val="86"/>
                <w:vertAlign w:val="superscript"/>
              </w:rPr>
              <w:t>(3)</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07/06/17</w:t>
            </w:r>
          </w:p>
        </w:tc>
        <w:tc>
          <w:tcPr>
            <w:tcW w:w="0" w:type="dxa"/>
            <w:vAlign w:val="bottom"/>
          </w:tcPr>
          <w:p>
            <w:pPr>
              <w:spacing w:after="0"/>
              <w:rPr>
                <w:sz w:val="1"/>
                <w:szCs w:val="1"/>
                <w:color w:val="auto"/>
              </w:rPr>
            </w:pPr>
          </w:p>
        </w:tc>
      </w:tr>
      <w:tr>
        <w:trPr>
          <w:trHeight w:val="197"/>
        </w:trPr>
        <w:tc>
          <w:tcPr>
            <w:tcW w:w="3680" w:type="dxa"/>
            <w:vAlign w:val="bottom"/>
          </w:tcPr>
          <w:p>
            <w:pPr>
              <w:spacing w:after="0"/>
              <w:rPr>
                <w:sz w:val="20"/>
                <w:szCs w:val="20"/>
                <w:color w:val="auto"/>
              </w:rPr>
            </w:pPr>
            <w:r>
              <w:rPr>
                <w:rFonts w:ascii="Arial" w:cs="Arial" w:eastAsia="Arial" w:hAnsi="Arial"/>
                <w:sz w:val="16"/>
                <w:szCs w:val="16"/>
                <w:color w:val="auto"/>
              </w:rPr>
              <w:t>Denis Corin</w:t>
            </w:r>
          </w:p>
        </w:tc>
        <w:tc>
          <w:tcPr>
            <w:tcW w:w="1700" w:type="dxa"/>
            <w:vAlign w:val="bottom"/>
          </w:tcPr>
          <w:p>
            <w:pPr>
              <w:jc w:val="center"/>
              <w:spacing w:after="0" w:line="197" w:lineRule="exact"/>
              <w:rPr>
                <w:sz w:val="20"/>
                <w:szCs w:val="20"/>
                <w:color w:val="auto"/>
              </w:rPr>
            </w:pPr>
            <w:r>
              <w:rPr>
                <w:rFonts w:ascii="Arial" w:cs="Arial" w:eastAsia="Arial" w:hAnsi="Arial"/>
                <w:sz w:val="16"/>
                <w:szCs w:val="16"/>
                <w:color w:val="auto"/>
                <w:w w:val="86"/>
              </w:rPr>
              <w:t>11,000</w:t>
            </w:r>
            <w:r>
              <w:rPr>
                <w:rFonts w:ascii="Arial" w:cs="Arial" w:eastAsia="Arial" w:hAnsi="Arial"/>
                <w:sz w:val="22"/>
                <w:szCs w:val="22"/>
                <w:color w:val="auto"/>
                <w:w w:val="86"/>
                <w:vertAlign w:val="superscript"/>
              </w:rPr>
              <w:t>(2)</w:t>
            </w:r>
          </w:p>
        </w:tc>
        <w:tc>
          <w:tcPr>
            <w:tcW w:w="1820" w:type="dxa"/>
            <w:vAlign w:val="bottom"/>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tcPr>
          <w:p>
            <w:pPr>
              <w:jc w:val="center"/>
              <w:spacing w:after="0"/>
              <w:rPr>
                <w:sz w:val="20"/>
                <w:szCs w:val="20"/>
                <w:color w:val="auto"/>
              </w:rPr>
            </w:pPr>
            <w:r>
              <w:rPr>
                <w:rFonts w:ascii="Arial" w:cs="Arial" w:eastAsia="Arial" w:hAnsi="Arial"/>
                <w:sz w:val="16"/>
                <w:szCs w:val="16"/>
                <w:color w:val="auto"/>
              </w:rPr>
              <w:t>Nil</w:t>
            </w:r>
          </w:p>
        </w:tc>
        <w:tc>
          <w:tcPr>
            <w:tcW w:w="1300" w:type="dxa"/>
            <w:vAlign w:val="bottom"/>
          </w:tcPr>
          <w:p>
            <w:pPr>
              <w:jc w:val="center"/>
              <w:spacing w:after="0" w:line="197" w:lineRule="exact"/>
              <w:rPr>
                <w:sz w:val="20"/>
                <w:szCs w:val="20"/>
                <w:color w:val="auto"/>
              </w:rPr>
            </w:pPr>
            <w:r>
              <w:rPr>
                <w:rFonts w:ascii="Arial" w:cs="Arial" w:eastAsia="Arial" w:hAnsi="Arial"/>
                <w:sz w:val="16"/>
                <w:szCs w:val="16"/>
                <w:color w:val="auto"/>
                <w:w w:val="86"/>
              </w:rPr>
              <w:t>$17.00</w:t>
            </w:r>
            <w:r>
              <w:rPr>
                <w:rFonts w:ascii="Arial" w:cs="Arial" w:eastAsia="Arial" w:hAnsi="Arial"/>
                <w:sz w:val="22"/>
                <w:szCs w:val="22"/>
                <w:color w:val="auto"/>
                <w:w w:val="86"/>
                <w:vertAlign w:val="superscript"/>
              </w:rPr>
              <w:t>(3)</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10/14/19</w:t>
            </w:r>
          </w:p>
        </w:tc>
        <w:tc>
          <w:tcPr>
            <w:tcW w:w="0" w:type="dxa"/>
            <w:vAlign w:val="bottom"/>
          </w:tcPr>
          <w:p>
            <w:pPr>
              <w:spacing w:after="0"/>
              <w:rPr>
                <w:sz w:val="1"/>
                <w:szCs w:val="1"/>
                <w:color w:val="auto"/>
              </w:rPr>
            </w:pPr>
          </w:p>
        </w:tc>
      </w:tr>
      <w:tr>
        <w:trPr>
          <w:trHeight w:val="197"/>
        </w:trPr>
        <w:tc>
          <w:tcPr>
            <w:tcW w:w="3680" w:type="dxa"/>
            <w:vAlign w:val="bottom"/>
          </w:tcPr>
          <w:p>
            <w:pPr>
              <w:spacing w:after="0"/>
              <w:rPr>
                <w:sz w:val="20"/>
                <w:szCs w:val="20"/>
                <w:color w:val="auto"/>
              </w:rPr>
            </w:pPr>
            <w:r>
              <w:rPr>
                <w:rFonts w:ascii="Arial" w:cs="Arial" w:eastAsia="Arial" w:hAnsi="Arial"/>
                <w:sz w:val="16"/>
                <w:szCs w:val="16"/>
                <w:i w:val="1"/>
                <w:iCs w:val="1"/>
                <w:color w:val="auto"/>
              </w:rPr>
              <w:t>Former President, CFO, Acting Principal</w:t>
            </w:r>
          </w:p>
        </w:tc>
        <w:tc>
          <w:tcPr>
            <w:tcW w:w="1700" w:type="dxa"/>
            <w:vAlign w:val="bottom"/>
          </w:tcPr>
          <w:p>
            <w:pPr>
              <w:jc w:val="right"/>
              <w:ind w:right="418"/>
              <w:spacing w:after="0" w:line="197" w:lineRule="exact"/>
              <w:rPr>
                <w:sz w:val="20"/>
                <w:szCs w:val="20"/>
                <w:color w:val="auto"/>
              </w:rPr>
            </w:pPr>
            <w:r>
              <w:rPr>
                <w:rFonts w:ascii="Arial" w:cs="Arial" w:eastAsia="Arial" w:hAnsi="Arial"/>
                <w:sz w:val="16"/>
                <w:szCs w:val="16"/>
                <w:color w:val="auto"/>
              </w:rPr>
              <w:t>1,600</w:t>
            </w:r>
            <w:r>
              <w:rPr>
                <w:rFonts w:ascii="Arial" w:cs="Arial" w:eastAsia="Arial" w:hAnsi="Arial"/>
                <w:sz w:val="22"/>
                <w:szCs w:val="22"/>
                <w:color w:val="auto"/>
                <w:vertAlign w:val="superscript"/>
              </w:rPr>
              <w:t>(2)</w:t>
            </w:r>
          </w:p>
        </w:tc>
        <w:tc>
          <w:tcPr>
            <w:tcW w:w="1820" w:type="dxa"/>
            <w:vAlign w:val="bottom"/>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tcPr>
          <w:p>
            <w:pPr>
              <w:jc w:val="center"/>
              <w:spacing w:after="0"/>
              <w:rPr>
                <w:sz w:val="20"/>
                <w:szCs w:val="20"/>
                <w:color w:val="auto"/>
              </w:rPr>
            </w:pPr>
            <w:r>
              <w:rPr>
                <w:rFonts w:ascii="Arial" w:cs="Arial" w:eastAsia="Arial" w:hAnsi="Arial"/>
                <w:sz w:val="16"/>
                <w:szCs w:val="16"/>
                <w:color w:val="auto"/>
              </w:rPr>
              <w:t>Nil</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$17.00</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02/16/21</w:t>
            </w: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Arial" w:cs="Arial" w:eastAsia="Arial" w:hAnsi="Arial"/>
                <w:sz w:val="16"/>
                <w:szCs w:val="16"/>
                <w:i w:val="1"/>
                <w:iCs w:val="1"/>
                <w:color w:val="auto"/>
              </w:rPr>
              <w:t>Accounting Officer and a director</w:t>
            </w:r>
          </w:p>
        </w:tc>
        <w:tc>
          <w:tcPr>
            <w:tcW w:w="1700" w:type="dxa"/>
            <w:vAlign w:val="bottom"/>
          </w:tcPr>
          <w:p>
            <w:pPr>
              <w:jc w:val="right"/>
              <w:ind w:right="418"/>
              <w:spacing w:after="0"/>
              <w:rPr>
                <w:sz w:val="20"/>
                <w:szCs w:val="20"/>
                <w:color w:val="auto"/>
              </w:rPr>
            </w:pPr>
            <w:r>
              <w:rPr>
                <w:rFonts w:ascii="Arial" w:cs="Arial" w:eastAsia="Arial" w:hAnsi="Arial"/>
                <w:sz w:val="16"/>
                <w:szCs w:val="16"/>
                <w:color w:val="auto"/>
              </w:rPr>
              <w:t>1,680</w:t>
            </w:r>
            <w:r>
              <w:rPr>
                <w:rFonts w:ascii="Arial" w:cs="Arial" w:eastAsia="Arial" w:hAnsi="Arial"/>
                <w:sz w:val="22"/>
                <w:szCs w:val="22"/>
                <w:color w:val="auto"/>
                <w:vertAlign w:val="superscript"/>
              </w:rPr>
              <w:t>(2)</w:t>
            </w:r>
          </w:p>
        </w:tc>
        <w:tc>
          <w:tcPr>
            <w:tcW w:w="1820" w:type="dxa"/>
            <w:vAlign w:val="bottom"/>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tcPr>
          <w:p>
            <w:pPr>
              <w:jc w:val="center"/>
              <w:spacing w:after="0"/>
              <w:rPr>
                <w:sz w:val="20"/>
                <w:szCs w:val="20"/>
                <w:color w:val="auto"/>
              </w:rPr>
            </w:pPr>
            <w:r>
              <w:rPr>
                <w:rFonts w:ascii="Arial" w:cs="Arial" w:eastAsia="Arial" w:hAnsi="Arial"/>
                <w:sz w:val="16"/>
                <w:szCs w:val="16"/>
                <w:color w:val="auto"/>
                <w:w w:val="89"/>
              </w:rPr>
              <w:t>82,000</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$17.00</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05/08/22</w:t>
            </w:r>
          </w:p>
        </w:tc>
        <w:tc>
          <w:tcPr>
            <w:tcW w:w="0" w:type="dxa"/>
            <w:vAlign w:val="bottom"/>
          </w:tcPr>
          <w:p>
            <w:pPr>
              <w:spacing w:after="0"/>
              <w:rPr>
                <w:sz w:val="1"/>
                <w:szCs w:val="1"/>
                <w:color w:val="auto"/>
              </w:rPr>
            </w:pPr>
          </w:p>
        </w:tc>
      </w:tr>
      <w:tr>
        <w:trPr>
          <w:trHeight w:val="293"/>
        </w:trPr>
        <w:tc>
          <w:tcPr>
            <w:tcW w:w="3680" w:type="dxa"/>
            <w:vAlign w:val="bottom"/>
          </w:tcPr>
          <w:p>
            <w:pPr>
              <w:spacing w:after="0"/>
              <w:rPr>
                <w:sz w:val="20"/>
                <w:szCs w:val="20"/>
                <w:color w:val="auto"/>
              </w:rPr>
            </w:pPr>
            <w:r>
              <w:rPr>
                <w:rFonts w:ascii="Arial" w:cs="Arial" w:eastAsia="Arial" w:hAnsi="Arial"/>
                <w:sz w:val="16"/>
                <w:szCs w:val="16"/>
                <w:color w:val="auto"/>
              </w:rPr>
              <w:t>Mark Reddish</w:t>
            </w:r>
          </w:p>
        </w:tc>
        <w:tc>
          <w:tcPr>
            <w:tcW w:w="1700" w:type="dxa"/>
            <w:vAlign w:val="bottom"/>
          </w:tcPr>
          <w:p>
            <w:pPr>
              <w:jc w:val="right"/>
              <w:ind w:right="538"/>
              <w:spacing w:after="0"/>
              <w:rPr>
                <w:sz w:val="20"/>
                <w:szCs w:val="20"/>
                <w:color w:val="auto"/>
              </w:rPr>
            </w:pPr>
            <w:r>
              <w:rPr>
                <w:rFonts w:ascii="Arial" w:cs="Arial" w:eastAsia="Arial" w:hAnsi="Arial"/>
                <w:sz w:val="16"/>
                <w:szCs w:val="16"/>
                <w:color w:val="auto"/>
              </w:rPr>
              <w:t>2,000</w:t>
            </w:r>
          </w:p>
        </w:tc>
        <w:tc>
          <w:tcPr>
            <w:tcW w:w="1820" w:type="dxa"/>
            <w:vAlign w:val="bottom"/>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tcPr>
          <w:p>
            <w:pPr>
              <w:jc w:val="center"/>
              <w:spacing w:after="0"/>
              <w:rPr>
                <w:sz w:val="20"/>
                <w:szCs w:val="20"/>
                <w:color w:val="auto"/>
              </w:rPr>
            </w:pPr>
            <w:r>
              <w:rPr>
                <w:rFonts w:ascii="Arial" w:cs="Arial" w:eastAsia="Arial" w:hAnsi="Arial"/>
                <w:sz w:val="16"/>
                <w:szCs w:val="16"/>
                <w:color w:val="auto"/>
              </w:rPr>
              <w:t>Nil</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$17.00</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3"/>
              </w:rPr>
              <w:t>02/16/21</w:t>
            </w:r>
          </w:p>
        </w:tc>
        <w:tc>
          <w:tcPr>
            <w:tcW w:w="0" w:type="dxa"/>
            <w:vAlign w:val="bottom"/>
          </w:tcPr>
          <w:p>
            <w:pPr>
              <w:spacing w:after="0"/>
              <w:rPr>
                <w:sz w:val="1"/>
                <w:szCs w:val="1"/>
                <w:color w:val="auto"/>
              </w:rPr>
            </w:pPr>
          </w:p>
        </w:tc>
      </w:tr>
      <w:tr>
        <w:trPr>
          <w:trHeight w:val="99"/>
        </w:trPr>
        <w:tc>
          <w:tcPr>
            <w:tcW w:w="3680" w:type="dxa"/>
            <w:vAlign w:val="bottom"/>
            <w:vMerge w:val="restart"/>
          </w:tcPr>
          <w:p>
            <w:pPr>
              <w:spacing w:after="0"/>
              <w:rPr>
                <w:sz w:val="20"/>
                <w:szCs w:val="20"/>
                <w:color w:val="auto"/>
              </w:rPr>
            </w:pPr>
            <w:r>
              <w:rPr>
                <w:rFonts w:ascii="Arial" w:cs="Arial" w:eastAsia="Arial" w:hAnsi="Arial"/>
                <w:sz w:val="16"/>
                <w:szCs w:val="16"/>
                <w:i w:val="1"/>
                <w:iCs w:val="1"/>
                <w:color w:val="auto"/>
              </w:rPr>
              <w:t>VP Development</w:t>
            </w:r>
          </w:p>
        </w:tc>
        <w:tc>
          <w:tcPr>
            <w:tcW w:w="1700" w:type="dxa"/>
            <w:vAlign w:val="bottom"/>
            <w:vMerge w:val="restart"/>
          </w:tcPr>
          <w:p>
            <w:pPr>
              <w:jc w:val="center"/>
              <w:ind w:left="18"/>
              <w:spacing w:after="0"/>
              <w:rPr>
                <w:sz w:val="20"/>
                <w:szCs w:val="20"/>
                <w:color w:val="auto"/>
              </w:rPr>
            </w:pPr>
            <w:r>
              <w:rPr>
                <w:rFonts w:ascii="Arial" w:cs="Arial" w:eastAsia="Arial" w:hAnsi="Arial"/>
                <w:sz w:val="16"/>
                <w:szCs w:val="16"/>
                <w:color w:val="auto"/>
                <w:w w:val="89"/>
              </w:rPr>
              <w:t>556</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rPr>
              <w:t>Nil</w:t>
            </w: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w w:val="89"/>
              </w:rPr>
              <w:t>194,444</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3"/>
              </w:rPr>
              <w:t>$18.00</w:t>
            </w: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3"/>
              </w:rPr>
              <w:t>04/30/22</w:t>
            </w:r>
          </w:p>
        </w:tc>
        <w:tc>
          <w:tcPr>
            <w:tcW w:w="0" w:type="dxa"/>
            <w:vAlign w:val="bottom"/>
          </w:tcPr>
          <w:p>
            <w:pPr>
              <w:spacing w:after="0"/>
              <w:rPr>
                <w:sz w:val="1"/>
                <w:szCs w:val="1"/>
                <w:color w:val="auto"/>
              </w:rPr>
            </w:pPr>
          </w:p>
        </w:tc>
      </w:tr>
      <w:tr>
        <w:trPr>
          <w:trHeight w:val="99"/>
        </w:trPr>
        <w:tc>
          <w:tcPr>
            <w:tcW w:w="36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868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17" w:lineRule="exact"/>
        <w:rPr>
          <w:sz w:val="20"/>
          <w:szCs w:val="20"/>
          <w:color w:val="auto"/>
        </w:rPr>
      </w:pPr>
    </w:p>
    <w:p>
      <w:pPr>
        <w:ind w:left="301" w:hanging="301"/>
        <w:spacing w:after="0"/>
        <w:tabs>
          <w:tab w:leader="none" w:pos="3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Corin was appointed Secretary, Treasurer, CFO and Acting Principal Accounting Officer on July 16, 2010. Mr. Corin resigned on May 8, 2012.</w:t>
      </w:r>
    </w:p>
    <w:p>
      <w:pPr>
        <w:spacing w:after="0" w:line="24" w:lineRule="exact"/>
        <w:rPr>
          <w:rFonts w:ascii="Arial" w:cs="Arial" w:eastAsia="Arial" w:hAnsi="Arial"/>
          <w:sz w:val="16"/>
          <w:szCs w:val="16"/>
          <w:color w:val="auto"/>
        </w:rPr>
      </w:pPr>
    </w:p>
    <w:p>
      <w:pPr>
        <w:ind w:left="301" w:hanging="301"/>
        <w:spacing w:after="0" w:line="257" w:lineRule="auto"/>
        <w:tabs>
          <w:tab w:leader="none" w:pos="3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plan under which these shares were issued was approved by the Board of Directors and the shareholders in 2009 but did not come into effect until February 22, 2010.</w:t>
      </w:r>
    </w:p>
    <w:p>
      <w:pPr>
        <w:ind w:left="301" w:hanging="301"/>
        <w:spacing w:after="0"/>
        <w:tabs>
          <w:tab w:leader="none" w:pos="3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Effective February 16, 2011, the option exercise price was reduced to $17.00.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-498475</wp:posOffset>
            </wp:positionV>
            <wp:extent cx="725868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04"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The following table sets forth information relating to compensation paid to our directors for their services as directors in the fiscal Year Ended December 31, 2013, and excludes compensation paid to our directors for their services as executive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 Compensation Table</w:t>
      </w:r>
    </w:p>
    <w:p>
      <w:pPr>
        <w:spacing w:after="0" w:line="28" w:lineRule="exact"/>
        <w:rPr>
          <w:sz w:val="20"/>
          <w:szCs w:val="20"/>
          <w:color w:val="auto"/>
        </w:rPr>
      </w:pPr>
    </w:p>
    <w:tbl>
      <w:tblPr>
        <w:tblLayout w:type="fixed"/>
        <w:tblInd w:w="1" w:type="dxa"/>
        <w:tblCellMar>
          <w:top w:w="0" w:type="dxa"/>
          <w:left w:w="0" w:type="dxa"/>
          <w:bottom w:w="0" w:type="dxa"/>
          <w:right w:w="0" w:type="dxa"/>
        </w:tblCellMar>
      </w:tblPr>
      <w:tr>
        <w:trPr>
          <w:trHeight w:val="187"/>
        </w:trPr>
        <w:tc>
          <w:tcPr>
            <w:tcW w:w="266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tcPr>
          <w:p>
            <w:pPr>
              <w:jc w:val="center"/>
              <w:ind w:left="658"/>
              <w:spacing w:after="0"/>
              <w:rPr>
                <w:sz w:val="20"/>
                <w:szCs w:val="20"/>
                <w:color w:val="auto"/>
              </w:rPr>
            </w:pPr>
            <w:r>
              <w:rPr>
                <w:rFonts w:ascii="Arial" w:cs="Arial" w:eastAsia="Arial" w:hAnsi="Arial"/>
                <w:sz w:val="16"/>
                <w:szCs w:val="16"/>
                <w:b w:val="1"/>
                <w:bCs w:val="1"/>
                <w:color w:val="auto"/>
                <w:w w:val="87"/>
              </w:rPr>
              <w:t>Fees</w:t>
            </w:r>
          </w:p>
        </w:tc>
        <w:tc>
          <w:tcPr>
            <w:tcW w:w="15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197"/>
        </w:trPr>
        <w:tc>
          <w:tcPr>
            <w:tcW w:w="2660" w:type="dxa"/>
            <w:vAlign w:val="bottom"/>
          </w:tcPr>
          <w:p>
            <w:pPr>
              <w:spacing w:after="0"/>
              <w:rPr>
                <w:sz w:val="17"/>
                <w:szCs w:val="17"/>
                <w:color w:val="auto"/>
              </w:rPr>
            </w:pPr>
          </w:p>
        </w:tc>
        <w:tc>
          <w:tcPr>
            <w:tcW w:w="2420" w:type="dxa"/>
            <w:vAlign w:val="bottom"/>
          </w:tcPr>
          <w:p>
            <w:pPr>
              <w:jc w:val="center"/>
              <w:ind w:left="658"/>
              <w:spacing w:after="0"/>
              <w:rPr>
                <w:sz w:val="20"/>
                <w:szCs w:val="20"/>
                <w:color w:val="auto"/>
              </w:rPr>
            </w:pPr>
            <w:r>
              <w:rPr>
                <w:rFonts w:ascii="Arial" w:cs="Arial" w:eastAsia="Arial" w:hAnsi="Arial"/>
                <w:sz w:val="16"/>
                <w:szCs w:val="16"/>
                <w:b w:val="1"/>
                <w:bCs w:val="1"/>
                <w:color w:val="auto"/>
                <w:w w:val="96"/>
              </w:rPr>
              <w:t>Earned or</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1480" w:type="dxa"/>
            <w:vAlign w:val="bottom"/>
          </w:tcPr>
          <w:p>
            <w:pPr>
              <w:jc w:val="center"/>
              <w:ind w:left="58"/>
              <w:spacing w:after="0"/>
              <w:rPr>
                <w:sz w:val="20"/>
                <w:szCs w:val="20"/>
                <w:color w:val="auto"/>
              </w:rPr>
            </w:pPr>
            <w:r>
              <w:rPr>
                <w:rFonts w:ascii="Arial" w:cs="Arial" w:eastAsia="Arial" w:hAnsi="Arial"/>
                <w:sz w:val="16"/>
                <w:szCs w:val="16"/>
                <w:b w:val="1"/>
                <w:bCs w:val="1"/>
                <w:color w:val="auto"/>
                <w:w w:val="96"/>
              </w:rPr>
              <w:t>Option</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1420" w:type="dxa"/>
            <w:vAlign w:val="bottom"/>
          </w:tcPr>
          <w:p>
            <w:pPr>
              <w:spacing w:after="0"/>
              <w:rPr>
                <w:sz w:val="17"/>
                <w:szCs w:val="17"/>
                <w:color w:val="auto"/>
              </w:rPr>
            </w:pPr>
          </w:p>
        </w:tc>
      </w:tr>
      <w:tr>
        <w:trPr>
          <w:trHeight w:val="197"/>
        </w:trPr>
        <w:tc>
          <w:tcPr>
            <w:tcW w:w="2660" w:type="dxa"/>
            <w:vAlign w:val="bottom"/>
          </w:tcPr>
          <w:p>
            <w:pPr>
              <w:spacing w:after="0"/>
              <w:rPr>
                <w:sz w:val="17"/>
                <w:szCs w:val="17"/>
                <w:color w:val="auto"/>
              </w:rPr>
            </w:pPr>
          </w:p>
        </w:tc>
        <w:tc>
          <w:tcPr>
            <w:tcW w:w="2420" w:type="dxa"/>
            <w:vAlign w:val="bottom"/>
          </w:tcPr>
          <w:p>
            <w:pPr>
              <w:jc w:val="center"/>
              <w:ind w:left="678"/>
              <w:spacing w:after="0"/>
              <w:rPr>
                <w:sz w:val="20"/>
                <w:szCs w:val="20"/>
                <w:color w:val="auto"/>
              </w:rPr>
            </w:pPr>
            <w:r>
              <w:rPr>
                <w:rFonts w:ascii="Arial" w:cs="Arial" w:eastAsia="Arial" w:hAnsi="Arial"/>
                <w:sz w:val="16"/>
                <w:szCs w:val="16"/>
                <w:b w:val="1"/>
                <w:bCs w:val="1"/>
                <w:color w:val="auto"/>
                <w:w w:val="95"/>
              </w:rPr>
              <w:t>Paid in</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3"/>
              </w:rPr>
              <w:t>Awards</w:t>
            </w:r>
          </w:p>
        </w:tc>
        <w:tc>
          <w:tcPr>
            <w:tcW w:w="1480" w:type="dxa"/>
            <w:vAlign w:val="bottom"/>
          </w:tcPr>
          <w:p>
            <w:pPr>
              <w:jc w:val="center"/>
              <w:ind w:left="58"/>
              <w:spacing w:after="0"/>
              <w:rPr>
                <w:sz w:val="20"/>
                <w:szCs w:val="20"/>
                <w:color w:val="auto"/>
              </w:rPr>
            </w:pPr>
            <w:r>
              <w:rPr>
                <w:rFonts w:ascii="Arial" w:cs="Arial" w:eastAsia="Arial" w:hAnsi="Arial"/>
                <w:sz w:val="16"/>
                <w:szCs w:val="16"/>
                <w:b w:val="1"/>
                <w:bCs w:val="1"/>
                <w:color w:val="auto"/>
                <w:w w:val="93"/>
              </w:rPr>
              <w:t>Awards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1"/>
              </w:rPr>
              <w:t>Compensation</w:t>
            </w:r>
          </w:p>
        </w:tc>
        <w:tc>
          <w:tcPr>
            <w:tcW w:w="1420" w:type="dxa"/>
            <w:vAlign w:val="bottom"/>
          </w:tcPr>
          <w:p>
            <w:pPr>
              <w:jc w:val="center"/>
              <w:ind w:right="98"/>
              <w:spacing w:after="0"/>
              <w:rPr>
                <w:sz w:val="20"/>
                <w:szCs w:val="20"/>
                <w:color w:val="auto"/>
              </w:rPr>
            </w:pPr>
            <w:r>
              <w:rPr>
                <w:rFonts w:ascii="Arial" w:cs="Arial" w:eastAsia="Arial" w:hAnsi="Arial"/>
                <w:sz w:val="16"/>
                <w:szCs w:val="16"/>
                <w:b w:val="1"/>
                <w:bCs w:val="1"/>
                <w:color w:val="auto"/>
                <w:w w:val="94"/>
              </w:rPr>
              <w:t>Total</w:t>
            </w:r>
          </w:p>
        </w:tc>
      </w:tr>
      <w:tr>
        <w:trPr>
          <w:trHeight w:val="218"/>
        </w:trPr>
        <w:tc>
          <w:tcPr>
            <w:tcW w:w="266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Name</w:t>
            </w:r>
          </w:p>
        </w:tc>
        <w:tc>
          <w:tcPr>
            <w:tcW w:w="2420" w:type="dxa"/>
            <w:vAlign w:val="bottom"/>
            <w:tcBorders>
              <w:bottom w:val="single" w:sz="8" w:color="auto"/>
            </w:tcBorders>
          </w:tcPr>
          <w:p>
            <w:pPr>
              <w:jc w:val="center"/>
              <w:ind w:left="658"/>
              <w:spacing w:after="0"/>
              <w:rPr>
                <w:sz w:val="20"/>
                <w:szCs w:val="20"/>
                <w:color w:val="auto"/>
              </w:rPr>
            </w:pPr>
            <w:r>
              <w:rPr>
                <w:rFonts w:ascii="Arial" w:cs="Arial" w:eastAsia="Arial" w:hAnsi="Arial"/>
                <w:sz w:val="16"/>
                <w:szCs w:val="16"/>
                <w:b w:val="1"/>
                <w:bCs w:val="1"/>
                <w:color w:val="auto"/>
                <w:w w:val="91"/>
              </w:rPr>
              <w:t>Cash</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480" w:type="dxa"/>
            <w:vAlign w:val="bottom"/>
            <w:tcBorders>
              <w:bottom w:val="single" w:sz="8" w:color="auto"/>
            </w:tcBorders>
          </w:tcPr>
          <w:p>
            <w:pPr>
              <w:jc w:val="center"/>
              <w:ind w:left="58"/>
              <w:spacing w:after="0"/>
              <w:rPr>
                <w:sz w:val="20"/>
                <w:szCs w:val="20"/>
                <w:color w:val="auto"/>
              </w:rPr>
            </w:pPr>
            <w:r>
              <w:rPr>
                <w:rFonts w:ascii="Arial" w:cs="Arial" w:eastAsia="Arial" w:hAnsi="Arial"/>
                <w:sz w:val="16"/>
                <w:szCs w:val="16"/>
                <w:b w:val="1"/>
                <w:bCs w:val="1"/>
                <w:color w:val="auto"/>
                <w:w w:val="91"/>
              </w:rPr>
              <w:t>($)</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91"/>
              </w:rPr>
              <w:t>($)</w:t>
            </w:r>
          </w:p>
        </w:tc>
      </w:tr>
      <w:tr>
        <w:trPr>
          <w:trHeight w:val="208"/>
        </w:trPr>
        <w:tc>
          <w:tcPr>
            <w:tcW w:w="2660" w:type="dxa"/>
            <w:vAlign w:val="bottom"/>
          </w:tcPr>
          <w:p>
            <w:pPr>
              <w:spacing w:after="0"/>
              <w:rPr>
                <w:sz w:val="20"/>
                <w:szCs w:val="20"/>
                <w:color w:val="auto"/>
              </w:rPr>
            </w:pPr>
            <w:r>
              <w:rPr>
                <w:rFonts w:ascii="Arial" w:cs="Arial" w:eastAsia="Arial" w:hAnsi="Arial"/>
                <w:sz w:val="16"/>
                <w:szCs w:val="16"/>
                <w:color w:val="auto"/>
              </w:rPr>
              <w:t>Glynn Wilson</w:t>
            </w:r>
          </w:p>
        </w:tc>
        <w:tc>
          <w:tcPr>
            <w:tcW w:w="2420" w:type="dxa"/>
            <w:vAlign w:val="bottom"/>
          </w:tcPr>
          <w:p>
            <w:pPr>
              <w:jc w:val="center"/>
              <w:ind w:left="658"/>
              <w:spacing w:after="0"/>
              <w:rPr>
                <w:sz w:val="20"/>
                <w:szCs w:val="20"/>
                <w:color w:val="auto"/>
              </w:rPr>
            </w:pPr>
            <w:r>
              <w:rPr>
                <w:rFonts w:ascii="Arial" w:cs="Arial" w:eastAsia="Arial" w:hAnsi="Arial"/>
                <w:sz w:val="16"/>
                <w:szCs w:val="16"/>
                <w:color w:val="auto"/>
              </w:rPr>
              <w:t>Nil</w:t>
            </w:r>
          </w:p>
        </w:tc>
        <w:tc>
          <w:tcPr>
            <w:tcW w:w="1540" w:type="dxa"/>
            <w:vAlign w:val="bottom"/>
          </w:tcPr>
          <w:p>
            <w:pPr>
              <w:jc w:val="center"/>
              <w:spacing w:after="0"/>
              <w:rPr>
                <w:sz w:val="20"/>
                <w:szCs w:val="20"/>
                <w:color w:val="auto"/>
              </w:rPr>
            </w:pPr>
            <w:r>
              <w:rPr>
                <w:rFonts w:ascii="Arial" w:cs="Arial" w:eastAsia="Arial" w:hAnsi="Arial"/>
                <w:sz w:val="16"/>
                <w:szCs w:val="16"/>
                <w:color w:val="auto"/>
              </w:rPr>
              <w:t>Nil</w:t>
            </w:r>
          </w:p>
        </w:tc>
        <w:tc>
          <w:tcPr>
            <w:tcW w:w="1480" w:type="dxa"/>
            <w:vAlign w:val="bottom"/>
          </w:tcPr>
          <w:p>
            <w:pPr>
              <w:jc w:val="center"/>
              <w:ind w:left="58"/>
              <w:spacing w:after="0"/>
              <w:rPr>
                <w:sz w:val="20"/>
                <w:szCs w:val="20"/>
                <w:color w:val="auto"/>
              </w:rPr>
            </w:pPr>
            <w:r>
              <w:rPr>
                <w:rFonts w:ascii="Arial" w:cs="Arial" w:eastAsia="Arial" w:hAnsi="Arial"/>
                <w:sz w:val="16"/>
                <w:szCs w:val="16"/>
                <w:color w:val="auto"/>
              </w:rPr>
              <w:t>Nil</w:t>
            </w:r>
          </w:p>
        </w:tc>
        <w:tc>
          <w:tcPr>
            <w:tcW w:w="1900" w:type="dxa"/>
            <w:vAlign w:val="bottom"/>
          </w:tcPr>
          <w:p>
            <w:pPr>
              <w:jc w:val="center"/>
              <w:spacing w:after="0"/>
              <w:rPr>
                <w:sz w:val="20"/>
                <w:szCs w:val="20"/>
                <w:color w:val="auto"/>
              </w:rPr>
            </w:pPr>
            <w:r>
              <w:rPr>
                <w:rFonts w:ascii="Arial" w:cs="Arial" w:eastAsia="Arial" w:hAnsi="Arial"/>
                <w:sz w:val="16"/>
                <w:szCs w:val="16"/>
                <w:color w:val="auto"/>
              </w:rPr>
              <w:t>Nil</w:t>
            </w:r>
          </w:p>
        </w:tc>
        <w:tc>
          <w:tcPr>
            <w:tcW w:w="1420" w:type="dxa"/>
            <w:vAlign w:val="bottom"/>
          </w:tcPr>
          <w:p>
            <w:pPr>
              <w:jc w:val="center"/>
              <w:ind w:right="78"/>
              <w:spacing w:after="0"/>
              <w:rPr>
                <w:sz w:val="20"/>
                <w:szCs w:val="20"/>
                <w:color w:val="auto"/>
              </w:rPr>
            </w:pPr>
            <w:r>
              <w:rPr>
                <w:rFonts w:ascii="Arial" w:cs="Arial" w:eastAsia="Arial" w:hAnsi="Arial"/>
                <w:sz w:val="16"/>
                <w:szCs w:val="16"/>
                <w:color w:val="auto"/>
              </w:rPr>
              <w:t>Nil</w:t>
            </w:r>
          </w:p>
        </w:tc>
      </w:tr>
      <w:tr>
        <w:trPr>
          <w:trHeight w:val="382"/>
        </w:trPr>
        <w:tc>
          <w:tcPr>
            <w:tcW w:w="2660" w:type="dxa"/>
            <w:vAlign w:val="bottom"/>
          </w:tcPr>
          <w:p>
            <w:pPr>
              <w:spacing w:after="0"/>
              <w:rPr>
                <w:sz w:val="20"/>
                <w:szCs w:val="20"/>
                <w:color w:val="auto"/>
              </w:rPr>
            </w:pPr>
            <w:r>
              <w:rPr>
                <w:rFonts w:ascii="Arial" w:cs="Arial" w:eastAsia="Arial" w:hAnsi="Arial"/>
                <w:sz w:val="16"/>
                <w:szCs w:val="16"/>
                <w:color w:val="auto"/>
              </w:rPr>
              <w:t>Sherry Grisewood</w:t>
            </w:r>
          </w:p>
        </w:tc>
        <w:tc>
          <w:tcPr>
            <w:tcW w:w="2420" w:type="dxa"/>
            <w:vAlign w:val="bottom"/>
          </w:tcPr>
          <w:p>
            <w:pPr>
              <w:jc w:val="center"/>
              <w:ind w:left="658"/>
              <w:spacing w:after="0"/>
              <w:rPr>
                <w:sz w:val="20"/>
                <w:szCs w:val="20"/>
                <w:color w:val="auto"/>
              </w:rPr>
            </w:pPr>
            <w:r>
              <w:rPr>
                <w:rFonts w:ascii="Arial" w:cs="Arial" w:eastAsia="Arial" w:hAnsi="Arial"/>
                <w:sz w:val="16"/>
                <w:szCs w:val="16"/>
                <w:color w:val="auto"/>
              </w:rPr>
              <w:t>Nil</w:t>
            </w:r>
          </w:p>
        </w:tc>
        <w:tc>
          <w:tcPr>
            <w:tcW w:w="1540" w:type="dxa"/>
            <w:vAlign w:val="bottom"/>
          </w:tcPr>
          <w:p>
            <w:pPr>
              <w:jc w:val="center"/>
              <w:spacing w:after="0"/>
              <w:rPr>
                <w:sz w:val="20"/>
                <w:szCs w:val="20"/>
                <w:color w:val="auto"/>
              </w:rPr>
            </w:pPr>
            <w:r>
              <w:rPr>
                <w:rFonts w:ascii="Arial" w:cs="Arial" w:eastAsia="Arial" w:hAnsi="Arial"/>
                <w:sz w:val="16"/>
                <w:szCs w:val="16"/>
                <w:color w:val="auto"/>
              </w:rPr>
              <w:t>Nil</w:t>
            </w:r>
          </w:p>
        </w:tc>
        <w:tc>
          <w:tcPr>
            <w:tcW w:w="1480" w:type="dxa"/>
            <w:vAlign w:val="bottom"/>
          </w:tcPr>
          <w:p>
            <w:pPr>
              <w:jc w:val="center"/>
              <w:ind w:left="58"/>
              <w:spacing w:after="0"/>
              <w:rPr>
                <w:sz w:val="20"/>
                <w:szCs w:val="20"/>
                <w:color w:val="auto"/>
              </w:rPr>
            </w:pPr>
            <w:r>
              <w:rPr>
                <w:rFonts w:ascii="Arial" w:cs="Arial" w:eastAsia="Arial" w:hAnsi="Arial"/>
                <w:sz w:val="16"/>
                <w:szCs w:val="16"/>
                <w:color w:val="auto"/>
              </w:rPr>
              <w:t>Nil</w:t>
            </w:r>
          </w:p>
        </w:tc>
        <w:tc>
          <w:tcPr>
            <w:tcW w:w="1900" w:type="dxa"/>
            <w:vAlign w:val="bottom"/>
          </w:tcPr>
          <w:p>
            <w:pPr>
              <w:jc w:val="center"/>
              <w:spacing w:after="0"/>
              <w:rPr>
                <w:sz w:val="20"/>
                <w:szCs w:val="20"/>
                <w:color w:val="auto"/>
              </w:rPr>
            </w:pPr>
            <w:r>
              <w:rPr>
                <w:rFonts w:ascii="Arial" w:cs="Arial" w:eastAsia="Arial" w:hAnsi="Arial"/>
                <w:sz w:val="16"/>
                <w:szCs w:val="16"/>
                <w:color w:val="auto"/>
              </w:rPr>
              <w:t>Nil</w:t>
            </w:r>
          </w:p>
        </w:tc>
        <w:tc>
          <w:tcPr>
            <w:tcW w:w="1420" w:type="dxa"/>
            <w:vAlign w:val="bottom"/>
          </w:tcPr>
          <w:p>
            <w:pPr>
              <w:jc w:val="center"/>
              <w:ind w:right="78"/>
              <w:spacing w:after="0"/>
              <w:rPr>
                <w:sz w:val="20"/>
                <w:szCs w:val="20"/>
                <w:color w:val="auto"/>
              </w:rPr>
            </w:pPr>
            <w:r>
              <w:rPr>
                <w:rFonts w:ascii="Arial" w:cs="Arial" w:eastAsia="Arial" w:hAnsi="Arial"/>
                <w:sz w:val="16"/>
                <w:szCs w:val="16"/>
                <w:color w:val="auto"/>
              </w:rPr>
              <w:t>Nil</w:t>
            </w:r>
          </w:p>
        </w:tc>
      </w:tr>
      <w:tr>
        <w:trPr>
          <w:trHeight w:val="394"/>
        </w:trPr>
        <w:tc>
          <w:tcPr>
            <w:tcW w:w="2660" w:type="dxa"/>
            <w:vAlign w:val="bottom"/>
          </w:tcPr>
          <w:p>
            <w:pPr>
              <w:spacing w:after="0"/>
              <w:rPr>
                <w:sz w:val="20"/>
                <w:szCs w:val="20"/>
                <w:color w:val="auto"/>
              </w:rPr>
            </w:pPr>
            <w:r>
              <w:rPr>
                <w:rFonts w:ascii="Arial" w:cs="Arial" w:eastAsia="Arial" w:hAnsi="Arial"/>
                <w:sz w:val="16"/>
                <w:szCs w:val="16"/>
                <w:color w:val="auto"/>
              </w:rPr>
              <w:t>Mark Reddish</w:t>
            </w:r>
          </w:p>
        </w:tc>
        <w:tc>
          <w:tcPr>
            <w:tcW w:w="2420" w:type="dxa"/>
            <w:vAlign w:val="bottom"/>
          </w:tcPr>
          <w:p>
            <w:pPr>
              <w:jc w:val="center"/>
              <w:ind w:left="658"/>
              <w:spacing w:after="0"/>
              <w:rPr>
                <w:sz w:val="20"/>
                <w:szCs w:val="20"/>
                <w:color w:val="auto"/>
              </w:rPr>
            </w:pPr>
            <w:r>
              <w:rPr>
                <w:rFonts w:ascii="Arial" w:cs="Arial" w:eastAsia="Arial" w:hAnsi="Arial"/>
                <w:sz w:val="16"/>
                <w:szCs w:val="16"/>
                <w:color w:val="auto"/>
              </w:rPr>
              <w:t>Nil</w:t>
            </w:r>
          </w:p>
        </w:tc>
        <w:tc>
          <w:tcPr>
            <w:tcW w:w="1540" w:type="dxa"/>
            <w:vAlign w:val="bottom"/>
          </w:tcPr>
          <w:p>
            <w:pPr>
              <w:jc w:val="center"/>
              <w:spacing w:after="0"/>
              <w:rPr>
                <w:sz w:val="20"/>
                <w:szCs w:val="20"/>
                <w:color w:val="auto"/>
              </w:rPr>
            </w:pPr>
            <w:r>
              <w:rPr>
                <w:rFonts w:ascii="Arial" w:cs="Arial" w:eastAsia="Arial" w:hAnsi="Arial"/>
                <w:sz w:val="16"/>
                <w:szCs w:val="16"/>
                <w:color w:val="auto"/>
              </w:rPr>
              <w:t>Nil</w:t>
            </w:r>
          </w:p>
        </w:tc>
        <w:tc>
          <w:tcPr>
            <w:tcW w:w="1480" w:type="dxa"/>
            <w:vAlign w:val="bottom"/>
          </w:tcPr>
          <w:p>
            <w:pPr>
              <w:jc w:val="center"/>
              <w:ind w:left="58"/>
              <w:spacing w:after="0"/>
              <w:rPr>
                <w:sz w:val="20"/>
                <w:szCs w:val="20"/>
                <w:color w:val="auto"/>
              </w:rPr>
            </w:pPr>
            <w:r>
              <w:rPr>
                <w:rFonts w:ascii="Arial" w:cs="Arial" w:eastAsia="Arial" w:hAnsi="Arial"/>
                <w:sz w:val="16"/>
                <w:szCs w:val="16"/>
                <w:color w:val="auto"/>
              </w:rPr>
              <w:t>Nil</w:t>
            </w:r>
          </w:p>
        </w:tc>
        <w:tc>
          <w:tcPr>
            <w:tcW w:w="1900" w:type="dxa"/>
            <w:vAlign w:val="bottom"/>
          </w:tcPr>
          <w:p>
            <w:pPr>
              <w:jc w:val="center"/>
              <w:spacing w:after="0"/>
              <w:rPr>
                <w:sz w:val="20"/>
                <w:szCs w:val="20"/>
                <w:color w:val="auto"/>
              </w:rPr>
            </w:pPr>
            <w:r>
              <w:rPr>
                <w:rFonts w:ascii="Arial" w:cs="Arial" w:eastAsia="Arial" w:hAnsi="Arial"/>
                <w:sz w:val="16"/>
                <w:szCs w:val="16"/>
                <w:color w:val="auto"/>
              </w:rPr>
              <w:t>Nil</w:t>
            </w:r>
          </w:p>
        </w:tc>
        <w:tc>
          <w:tcPr>
            <w:tcW w:w="1420" w:type="dxa"/>
            <w:vAlign w:val="bottom"/>
          </w:tcPr>
          <w:p>
            <w:pPr>
              <w:jc w:val="center"/>
              <w:ind w:right="78"/>
              <w:spacing w:after="0"/>
              <w:rPr>
                <w:sz w:val="20"/>
                <w:szCs w:val="20"/>
                <w:color w:val="auto"/>
              </w:rPr>
            </w:pPr>
            <w:r>
              <w:rPr>
                <w:rFonts w:ascii="Arial" w:cs="Arial" w:eastAsia="Arial" w:hAnsi="Arial"/>
                <w:sz w:val="16"/>
                <w:szCs w:val="16"/>
                <w:color w:val="auto"/>
              </w:rPr>
              <w:t>Nil</w:t>
            </w:r>
          </w:p>
        </w:tc>
      </w:tr>
      <w:tr>
        <w:trPr>
          <w:trHeight w:val="198"/>
        </w:trPr>
        <w:tc>
          <w:tcPr>
            <w:tcW w:w="26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Employment, Consulting and Services Agreements</w:t>
      </w:r>
    </w:p>
    <w:p>
      <w:pPr>
        <w:spacing w:after="0" w:line="239" w:lineRule="exact"/>
        <w:rPr>
          <w:sz w:val="20"/>
          <w:szCs w:val="20"/>
          <w:color w:val="auto"/>
        </w:rPr>
      </w:pPr>
    </w:p>
    <w:p>
      <w:pPr>
        <w:jc w:val="both"/>
        <w:ind w:left="1"/>
        <w:spacing w:after="0" w:line="267" w:lineRule="auto"/>
        <w:rPr>
          <w:sz w:val="20"/>
          <w:szCs w:val="20"/>
          <w:color w:val="auto"/>
        </w:rPr>
      </w:pPr>
      <w:r>
        <w:rPr>
          <w:rFonts w:ascii="Arial" w:cs="Arial" w:eastAsia="Arial" w:hAnsi="Arial"/>
          <w:sz w:val="16"/>
          <w:szCs w:val="16"/>
          <w:color w:val="auto"/>
        </w:rPr>
        <w:t>In February 2011, the Company approved an employment agreement with Dr. Wilson with an initial term of 2 years, which may be automatically extended for successive one-year terms. This employment agreement provides for annual compensation of $180,000 and the grant of an option to acquire 20,000 shares of the Company’s common stock at $19.00 per share, 50% of which vested on March 16, 2011, while the remainder will vest monthly over a period of two years (417 per month). The options shall be exercisable for at least five years.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84" w:right="239" w:bottom="1440" w:gutter="0" w:footer="0" w:header="0"/>
        </w:sectPr>
      </w:pPr>
    </w:p>
    <w:bookmarkStart w:id="66" w:name="page67"/>
    <w:bookmarkEnd w:id="66"/>
    <w:p>
      <w:pPr>
        <w:jc w:val="both"/>
        <w:spacing w:after="0" w:line="267" w:lineRule="auto"/>
        <w:rPr>
          <w:sz w:val="20"/>
          <w:szCs w:val="20"/>
          <w:color w:val="auto"/>
        </w:rPr>
      </w:pPr>
      <w:r>
        <w:rPr>
          <w:rFonts w:ascii="Arial" w:cs="Arial" w:eastAsia="Arial" w:hAnsi="Arial"/>
          <w:sz w:val="16"/>
          <w:szCs w:val="16"/>
          <w:color w:val="auto"/>
        </w:rPr>
        <w:t>In May 2012, the Company entered into a one year consulting services agreement superseding the previous management consulting agreement with a consultant (“Consultant A”) to provide expertise in the areas of finance and corporate development to the Management and Board of TapImmune. The consulting services agreement provides for a consulting fee of $12,000 per month from May 2012 to December 2012 and $10,000 for the following four months. The Company also granted 2,500 options to the consultant, vesting equally over twelve months at an exercise price of $17.00 with a ten year term.</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November 2013, the Company entered into an advisory agreement with Consultant A to provide expertise in the areas of finance, corporate restructuring and corporate development to the Management and Board of TapImmune for a one year term. The advisory agreement provides for an advisory fee of $10,000 per month from November 2013 to May 2014 for six months, extendable for additional six months subject to mutual agreement. The Company will also grant 250,000 shares to the consultant post restructuring of the Company’s debt, of which, $150,000 were granted subsequent to the year ended December 31, 2013.</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December 2012, the Company entered into a one year consulting agreement starting on January 1, 2013 with a company owned by a director of the Company to provide consulting services relating to immunotherapies and other technologies of interest to the Company. The consulting agreement provides for a consulting fee of $3,500 per month, of which $2,500 shall be payable in cash and $1,000 paid in common stock. The agreement can be extended by an additional one-year period by mutual written consent. As of December 31, 2013, the consulting agreement had not been extended.</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a compensation committee that is comprised of Dr. Wilson and Ms. Grisewood. All compensation is recommended and resolved by the compensation committee and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table sets forth, as of April 14, 2014 certain information regarding the ownership of our common stock by (i) each person known by us to be the beneficial owner of more than 5% of our outstanding shares of common stock, (ii) each of our directors, (iii) our Principal Executive Officer and (iv) all of our executive officers and directors as a group. Unless otherwise indicated, the address of each person shown is c/o TapImmune Inc., 1551 Eastlake Avenue East, Suite 100, Seattle, Washington, 98102. Beneficial ownership, for purposes of this table, includes options to purchase common stock that are either currently exercisable or will be exercisable within 60 days of April 14, 2014.</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67" w:name="page68"/>
    <w:bookmarkEnd w:id="67"/>
    <w:tbl>
      <w:tblPr>
        <w:tblLayout w:type="fixed"/>
        <w:tblInd w:w="1" w:type="dxa"/>
        <w:tblCellMar>
          <w:top w:w="0" w:type="dxa"/>
          <w:left w:w="0" w:type="dxa"/>
          <w:bottom w:w="0" w:type="dxa"/>
          <w:right w:w="0" w:type="dxa"/>
        </w:tblCellMar>
      </w:tblPr>
      <w:tr>
        <w:trPr>
          <w:trHeight w:val="205"/>
        </w:trPr>
        <w:tc>
          <w:tcPr>
            <w:tcW w:w="8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4"/>
              </w:rPr>
              <w:t>Amount and</w:t>
            </w: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r>
      <w:tr>
        <w:trPr>
          <w:trHeight w:val="197"/>
        </w:trPr>
        <w:tc>
          <w:tcPr>
            <w:tcW w:w="8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Nature of</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8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Beneficial</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8"/>
        </w:trPr>
        <w:tc>
          <w:tcPr>
            <w:tcW w:w="8660" w:type="dxa"/>
            <w:vAlign w:val="bottom"/>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00" w:type="dxa"/>
            <w:vAlign w:val="bottom"/>
          </w:tcPr>
          <w:p>
            <w:pPr>
              <w:spacing w:after="0"/>
              <w:rPr>
                <w:sz w:val="18"/>
                <w:szCs w:val="18"/>
                <w:color w:val="auto"/>
              </w:rPr>
            </w:pPr>
          </w:p>
        </w:tc>
        <w:tc>
          <w:tcPr>
            <w:tcW w:w="1380" w:type="dxa"/>
            <w:vAlign w:val="bottom"/>
            <w:gridSpan w:val="2"/>
          </w:tcPr>
          <w:p>
            <w:pPr>
              <w:jc w:val="center"/>
              <w:ind w:right="240"/>
              <w:spacing w:after="0" w:line="213" w:lineRule="exact"/>
              <w:rPr>
                <w:sz w:val="20"/>
                <w:szCs w:val="20"/>
                <w:color w:val="auto"/>
              </w:rPr>
            </w:pPr>
            <w:r>
              <w:rPr>
                <w:rFonts w:ascii="Arial" w:cs="Arial" w:eastAsia="Arial" w:hAnsi="Arial"/>
                <w:sz w:val="16"/>
                <w:szCs w:val="16"/>
                <w:b w:val="1"/>
                <w:bCs w:val="1"/>
                <w:color w:val="auto"/>
                <w:w w:val="91"/>
              </w:rPr>
              <w:t>Owner</w:t>
            </w:r>
            <w:r>
              <w:rPr>
                <w:rFonts w:ascii="Arial" w:cs="Arial" w:eastAsia="Arial" w:hAnsi="Arial"/>
                <w:sz w:val="22"/>
                <w:szCs w:val="22"/>
                <w:color w:val="auto"/>
                <w:w w:val="91"/>
                <w:vertAlign w:val="superscript"/>
              </w:rPr>
              <w:t>(1)</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89"/>
              </w:rPr>
              <w:t>Percent of Class</w:t>
            </w:r>
          </w:p>
        </w:tc>
      </w:tr>
      <w:tr>
        <w:trPr>
          <w:trHeight w:val="185"/>
        </w:trPr>
        <w:tc>
          <w:tcPr>
            <w:tcW w:w="86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Directors and Officers:</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7"/>
        </w:trPr>
        <w:tc>
          <w:tcPr>
            <w:tcW w:w="8660" w:type="dxa"/>
            <w:vAlign w:val="bottom"/>
          </w:tcPr>
          <w:p>
            <w:pPr>
              <w:spacing w:after="0"/>
              <w:rPr>
                <w:sz w:val="20"/>
                <w:szCs w:val="20"/>
                <w:color w:val="auto"/>
              </w:rPr>
            </w:pPr>
            <w:r>
              <w:rPr>
                <w:rFonts w:ascii="Arial" w:cs="Arial" w:eastAsia="Arial" w:hAnsi="Arial"/>
                <w:sz w:val="16"/>
                <w:szCs w:val="16"/>
                <w:color w:val="auto"/>
              </w:rPr>
              <w:t>Glynn Wilson</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8"/>
        </w:trPr>
        <w:tc>
          <w:tcPr>
            <w:tcW w:w="8660" w:type="dxa"/>
            <w:vAlign w:val="bottom"/>
          </w:tcPr>
          <w:p>
            <w:pPr>
              <w:spacing w:after="0"/>
              <w:rPr>
                <w:sz w:val="20"/>
                <w:szCs w:val="20"/>
                <w:color w:val="auto"/>
              </w:rPr>
            </w:pPr>
            <w:r>
              <w:rPr>
                <w:rFonts w:ascii="Arial" w:cs="Arial" w:eastAsia="Arial" w:hAnsi="Arial"/>
                <w:sz w:val="16"/>
                <w:szCs w:val="16"/>
                <w:color w:val="auto"/>
              </w:rPr>
              <w:t>1551 Eastlake Avenue East, Suite 100, Seattle, Washington</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543,457</w:t>
            </w:r>
            <w:r>
              <w:rPr>
                <w:rFonts w:ascii="Arial" w:cs="Arial" w:eastAsia="Arial" w:hAnsi="Arial"/>
                <w:sz w:val="11"/>
                <w:szCs w:val="11"/>
                <w:color w:val="auto"/>
              </w:rPr>
              <w:t>(2)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3.38%</w:t>
            </w:r>
          </w:p>
        </w:tc>
      </w:tr>
      <w:tr>
        <w:trPr>
          <w:trHeight w:val="383"/>
        </w:trPr>
        <w:tc>
          <w:tcPr>
            <w:tcW w:w="8660" w:type="dxa"/>
            <w:vAlign w:val="bottom"/>
          </w:tcPr>
          <w:p>
            <w:pPr>
              <w:spacing w:after="0"/>
              <w:rPr>
                <w:sz w:val="20"/>
                <w:szCs w:val="20"/>
                <w:color w:val="auto"/>
              </w:rPr>
            </w:pPr>
            <w:r>
              <w:rPr>
                <w:rFonts w:ascii="Arial" w:cs="Arial" w:eastAsia="Arial" w:hAnsi="Arial"/>
                <w:sz w:val="16"/>
                <w:szCs w:val="16"/>
                <w:color w:val="auto"/>
              </w:rPr>
              <w:t>Mark Reddish, VP Development</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7"/>
        </w:trPr>
        <w:tc>
          <w:tcPr>
            <w:tcW w:w="8660" w:type="dxa"/>
            <w:vAlign w:val="bottom"/>
          </w:tcPr>
          <w:p>
            <w:pPr>
              <w:spacing w:after="0"/>
              <w:rPr>
                <w:sz w:val="20"/>
                <w:szCs w:val="20"/>
                <w:color w:val="auto"/>
              </w:rPr>
            </w:pPr>
            <w:r>
              <w:rPr>
                <w:rFonts w:ascii="Arial" w:cs="Arial" w:eastAsia="Arial" w:hAnsi="Arial"/>
                <w:sz w:val="16"/>
                <w:szCs w:val="16"/>
                <w:color w:val="auto"/>
              </w:rPr>
              <w:t>1551 Eastlake Avenue East, Suite 100, Seattle, Washington</w:t>
            </w:r>
          </w:p>
        </w:tc>
        <w:tc>
          <w:tcPr>
            <w:tcW w:w="1480" w:type="dxa"/>
            <w:vAlign w:val="bottom"/>
            <w:gridSpan w:val="3"/>
          </w:tcPr>
          <w:p>
            <w:pPr>
              <w:jc w:val="right"/>
              <w:ind w:right="100"/>
              <w:spacing w:after="0"/>
              <w:rPr>
                <w:sz w:val="20"/>
                <w:szCs w:val="20"/>
                <w:color w:val="auto"/>
              </w:rPr>
            </w:pPr>
            <w:r>
              <w:rPr>
                <w:rFonts w:ascii="Arial" w:cs="Arial" w:eastAsia="Arial" w:hAnsi="Arial"/>
                <w:sz w:val="16"/>
                <w:szCs w:val="16"/>
                <w:color w:val="auto"/>
              </w:rPr>
              <w:t>229,223</w:t>
            </w:r>
            <w:r>
              <w:rPr>
                <w:rFonts w:ascii="Arial" w:cs="Arial" w:eastAsia="Arial" w:hAnsi="Arial"/>
                <w:sz w:val="11"/>
                <w:szCs w:val="11"/>
                <w:color w:val="auto"/>
              </w:rPr>
              <w:t>(3)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1.39%</w:t>
            </w:r>
          </w:p>
        </w:tc>
      </w:tr>
      <w:tr>
        <w:trPr>
          <w:trHeight w:val="197"/>
        </w:trPr>
        <w:tc>
          <w:tcPr>
            <w:tcW w:w="8660" w:type="dxa"/>
            <w:vAlign w:val="bottom"/>
          </w:tcPr>
          <w:p>
            <w:pPr>
              <w:spacing w:after="0"/>
              <w:rPr>
                <w:sz w:val="20"/>
                <w:szCs w:val="20"/>
                <w:color w:val="auto"/>
              </w:rPr>
            </w:pPr>
            <w:r>
              <w:rPr>
                <w:rFonts w:ascii="Arial" w:cs="Arial" w:eastAsia="Arial" w:hAnsi="Arial"/>
                <w:sz w:val="16"/>
                <w:szCs w:val="16"/>
                <w:color w:val="auto"/>
              </w:rPr>
              <w:t>Sherry Grisewood</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8660" w:type="dxa"/>
            <w:vAlign w:val="bottom"/>
          </w:tcPr>
          <w:p>
            <w:pPr>
              <w:spacing w:after="0"/>
              <w:rPr>
                <w:sz w:val="20"/>
                <w:szCs w:val="20"/>
                <w:color w:val="auto"/>
              </w:rPr>
            </w:pPr>
            <w:r>
              <w:rPr>
                <w:rFonts w:ascii="Arial" w:cs="Arial" w:eastAsia="Arial" w:hAnsi="Arial"/>
                <w:sz w:val="16"/>
                <w:szCs w:val="16"/>
                <w:color w:val="auto"/>
              </w:rPr>
              <w:t>1551 Eastlake Avenue East, Suite 100, Seattle, Washington</w:t>
            </w:r>
          </w:p>
        </w:tc>
        <w:tc>
          <w:tcPr>
            <w:tcW w:w="1480" w:type="dxa"/>
            <w:vAlign w:val="bottom"/>
            <w:gridSpan w:val="3"/>
          </w:tcPr>
          <w:p>
            <w:pPr>
              <w:jc w:val="right"/>
              <w:ind w:right="240"/>
              <w:spacing w:after="0"/>
              <w:rPr>
                <w:sz w:val="20"/>
                <w:szCs w:val="20"/>
                <w:color w:val="auto"/>
              </w:rPr>
            </w:pPr>
            <w:r>
              <w:rPr>
                <w:rFonts w:ascii="Arial" w:cs="Arial" w:eastAsia="Arial" w:hAnsi="Arial"/>
                <w:sz w:val="16"/>
                <w:szCs w:val="16"/>
                <w:color w:val="auto"/>
              </w:rPr>
              <w:t>28,329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&lt;1.00%</w:t>
            </w:r>
          </w:p>
        </w:tc>
      </w:tr>
      <w:tr>
        <w:trPr>
          <w:trHeight w:val="208"/>
        </w:trPr>
        <w:tc>
          <w:tcPr>
            <w:tcW w:w="8660" w:type="dxa"/>
            <w:vAlign w:val="bottom"/>
          </w:tcPr>
          <w:p>
            <w:pPr>
              <w:spacing w:after="0"/>
              <w:rPr>
                <w:sz w:val="20"/>
                <w:szCs w:val="20"/>
                <w:color w:val="auto"/>
              </w:rPr>
            </w:pPr>
            <w:r>
              <w:rPr>
                <w:rFonts w:ascii="Arial" w:cs="Arial" w:eastAsia="Arial" w:hAnsi="Arial"/>
                <w:sz w:val="16"/>
                <w:szCs w:val="16"/>
                <w:color w:val="auto"/>
              </w:rPr>
              <w:t>All executive officers and directors as a group (3 persons)</w:t>
            </w:r>
          </w:p>
        </w:tc>
        <w:tc>
          <w:tcPr>
            <w:tcW w:w="1480" w:type="dxa"/>
            <w:vAlign w:val="bottom"/>
            <w:gridSpan w:val="3"/>
          </w:tcPr>
          <w:p>
            <w:pPr>
              <w:jc w:val="right"/>
              <w:ind w:right="240"/>
              <w:spacing w:after="0"/>
              <w:rPr>
                <w:sz w:val="20"/>
                <w:szCs w:val="20"/>
                <w:color w:val="auto"/>
              </w:rPr>
            </w:pPr>
            <w:r>
              <w:rPr>
                <w:rFonts w:ascii="Arial" w:cs="Arial" w:eastAsia="Arial" w:hAnsi="Arial"/>
                <w:sz w:val="16"/>
                <w:szCs w:val="16"/>
                <w:color w:val="auto"/>
              </w:rPr>
              <w:t>801,009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4.98%</w:t>
            </w:r>
          </w:p>
        </w:tc>
      </w:tr>
      <w:tr>
        <w:trPr>
          <w:trHeight w:val="383"/>
        </w:trPr>
        <w:tc>
          <w:tcPr>
            <w:tcW w:w="8660" w:type="dxa"/>
            <w:vAlign w:val="bottom"/>
          </w:tcPr>
          <w:p>
            <w:pPr>
              <w:spacing w:after="0"/>
              <w:rPr>
                <w:sz w:val="20"/>
                <w:szCs w:val="20"/>
                <w:color w:val="auto"/>
              </w:rPr>
            </w:pPr>
            <w:r>
              <w:rPr>
                <w:rFonts w:ascii="Arial" w:cs="Arial" w:eastAsia="Arial" w:hAnsi="Arial"/>
                <w:sz w:val="16"/>
                <w:szCs w:val="16"/>
                <w:b w:val="1"/>
                <w:bCs w:val="1"/>
                <w:color w:val="auto"/>
              </w:rPr>
              <w:t>Major Stockholders: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7"/>
        </w:trPr>
        <w:tc>
          <w:tcPr>
            <w:tcW w:w="8660" w:type="dxa"/>
            <w:vAlign w:val="bottom"/>
          </w:tcPr>
          <w:p>
            <w:pPr>
              <w:spacing w:after="0"/>
              <w:rPr>
                <w:sz w:val="20"/>
                <w:szCs w:val="20"/>
                <w:color w:val="auto"/>
              </w:rPr>
            </w:pPr>
            <w:r>
              <w:rPr>
                <w:rFonts w:ascii="Arial" w:cs="Arial" w:eastAsia="Arial" w:hAnsi="Arial"/>
                <w:sz w:val="16"/>
                <w:szCs w:val="16"/>
                <w:color w:val="auto"/>
              </w:rPr>
              <w:t>Alan Lindsay</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1,243,000</w:t>
            </w:r>
          </w:p>
        </w:tc>
        <w:tc>
          <w:tcPr>
            <w:tcW w:w="2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7.74%</w:t>
            </w:r>
          </w:p>
        </w:tc>
      </w:tr>
      <w:tr>
        <w:trPr>
          <w:trHeight w:val="196"/>
        </w:trPr>
        <w:tc>
          <w:tcPr>
            <w:tcW w:w="8660" w:type="dxa"/>
            <w:vAlign w:val="bottom"/>
          </w:tcPr>
          <w:p>
            <w:pPr>
              <w:spacing w:after="0"/>
              <w:rPr>
                <w:sz w:val="20"/>
                <w:szCs w:val="20"/>
                <w:color w:val="auto"/>
              </w:rPr>
            </w:pPr>
            <w:r>
              <w:rPr>
                <w:rFonts w:ascii="Arial" w:cs="Arial" w:eastAsia="Arial" w:hAnsi="Arial"/>
                <w:sz w:val="16"/>
                <w:szCs w:val="16"/>
                <w:color w:val="auto"/>
              </w:rPr>
              <w:t>Smed Capital</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1,042,663</w:t>
            </w:r>
          </w:p>
        </w:tc>
        <w:tc>
          <w:tcPr>
            <w:tcW w:w="2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6.49%</w:t>
            </w:r>
          </w:p>
        </w:tc>
      </w:tr>
      <w:tr>
        <w:trPr>
          <w:trHeight w:val="197"/>
        </w:trPr>
        <w:tc>
          <w:tcPr>
            <w:tcW w:w="8660" w:type="dxa"/>
            <w:vAlign w:val="bottom"/>
          </w:tcPr>
          <w:p>
            <w:pPr>
              <w:spacing w:after="0" w:line="197" w:lineRule="exact"/>
              <w:rPr>
                <w:sz w:val="20"/>
                <w:szCs w:val="20"/>
                <w:color w:val="auto"/>
              </w:rPr>
            </w:pPr>
            <w:r>
              <w:rPr>
                <w:rFonts w:ascii="Arial" w:cs="Arial" w:eastAsia="Arial" w:hAnsi="Arial"/>
                <w:sz w:val="16"/>
                <w:szCs w:val="16"/>
                <w:color w:val="auto"/>
              </w:rPr>
              <w:t xml:space="preserve">Ayer Capital Partners Kestrel Fund </w:t>
            </w:r>
            <w:r>
              <w:rPr>
                <w:rFonts w:ascii="Arial" w:cs="Arial" w:eastAsia="Arial" w:hAnsi="Arial"/>
                <w:sz w:val="22"/>
                <w:szCs w:val="22"/>
                <w:color w:val="auto"/>
                <w:vertAlign w:val="superscript"/>
              </w:rPr>
              <w:t>(4)</w:t>
            </w:r>
          </w:p>
        </w:tc>
        <w:tc>
          <w:tcPr>
            <w:tcW w:w="1480" w:type="dxa"/>
            <w:vAlign w:val="bottom"/>
            <w:gridSpan w:val="3"/>
          </w:tcPr>
          <w:p>
            <w:pPr>
              <w:jc w:val="right"/>
              <w:ind w:right="240"/>
              <w:spacing w:after="0"/>
              <w:rPr>
                <w:sz w:val="20"/>
                <w:szCs w:val="20"/>
                <w:color w:val="auto"/>
              </w:rPr>
            </w:pPr>
            <w:r>
              <w:rPr>
                <w:rFonts w:ascii="Arial" w:cs="Arial" w:eastAsia="Arial" w:hAnsi="Arial"/>
                <w:sz w:val="16"/>
                <w:szCs w:val="16"/>
                <w:color w:val="auto"/>
              </w:rPr>
              <w:t>630,000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3.92%</w:t>
            </w:r>
          </w:p>
        </w:tc>
      </w:tr>
      <w:tr>
        <w:trPr>
          <w:trHeight w:val="211"/>
        </w:trPr>
        <w:tc>
          <w:tcPr>
            <w:tcW w:w="8660" w:type="dxa"/>
            <w:vAlign w:val="bottom"/>
          </w:tcPr>
          <w:p>
            <w:pPr>
              <w:spacing w:after="0" w:line="211" w:lineRule="exact"/>
              <w:rPr>
                <w:sz w:val="20"/>
                <w:szCs w:val="20"/>
                <w:color w:val="auto"/>
              </w:rPr>
            </w:pPr>
            <w:r>
              <w:rPr>
                <w:rFonts w:ascii="Arial" w:cs="Arial" w:eastAsia="Arial" w:hAnsi="Arial"/>
                <w:sz w:val="16"/>
                <w:szCs w:val="16"/>
                <w:color w:val="auto"/>
              </w:rPr>
              <w:t xml:space="preserve">Ayer Special Situations Fund I LP </w:t>
            </w:r>
            <w:r>
              <w:rPr>
                <w:rFonts w:ascii="Arial" w:cs="Arial" w:eastAsia="Arial" w:hAnsi="Arial"/>
                <w:sz w:val="22"/>
                <w:szCs w:val="22"/>
                <w:color w:val="auto"/>
                <w:vertAlign w:val="superscript"/>
              </w:rPr>
              <w:t>(4)</w:t>
            </w:r>
          </w:p>
        </w:tc>
        <w:tc>
          <w:tcPr>
            <w:tcW w:w="1480" w:type="dxa"/>
            <w:vAlign w:val="bottom"/>
            <w:gridSpan w:val="3"/>
          </w:tcPr>
          <w:p>
            <w:pPr>
              <w:jc w:val="right"/>
              <w:ind w:right="240"/>
              <w:spacing w:after="0"/>
              <w:rPr>
                <w:sz w:val="20"/>
                <w:szCs w:val="20"/>
                <w:color w:val="auto"/>
              </w:rPr>
            </w:pPr>
            <w:r>
              <w:rPr>
                <w:rFonts w:ascii="Arial" w:cs="Arial" w:eastAsia="Arial" w:hAnsi="Arial"/>
                <w:sz w:val="16"/>
                <w:szCs w:val="16"/>
                <w:color w:val="auto"/>
              </w:rPr>
              <w:t>945,000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5.88%</w:t>
            </w:r>
          </w:p>
        </w:tc>
      </w:tr>
      <w:tr>
        <w:trPr>
          <w:trHeight w:val="20"/>
        </w:trPr>
        <w:tc>
          <w:tcPr>
            <w:tcW w:w="8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301" w:hanging="301"/>
        <w:spacing w:after="0" w:line="258" w:lineRule="auto"/>
        <w:tabs>
          <w:tab w:leader="none" w:pos="3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April 14, 2014. As of April 14, 2014, there were 16,058,815 shares of common stock issued and outstanding.</w:t>
      </w:r>
    </w:p>
    <w:p>
      <w:pPr>
        <w:spacing w:after="0" w:line="4" w:lineRule="exact"/>
        <w:rPr>
          <w:rFonts w:ascii="Arial" w:cs="Arial" w:eastAsia="Arial" w:hAnsi="Arial"/>
          <w:sz w:val="16"/>
          <w:szCs w:val="16"/>
          <w:color w:val="auto"/>
        </w:rPr>
      </w:pPr>
    </w:p>
    <w:p>
      <w:pPr>
        <w:jc w:val="both"/>
        <w:ind w:left="301" w:hanging="301"/>
        <w:spacing w:after="0" w:line="257" w:lineRule="auto"/>
        <w:tabs>
          <w:tab w:leader="none" w:pos="3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figure includes (i) 525,457 shares of common stock; and (ii) 18,000 options to acquire an equivalent number of common shares at $17 for 5 years and 20,000 options to acquire an equivalent number of common shares at $19 for 5 years, and 150,000 options to acquire an equivalent number of common shares at $4 for 5 years, vesting 50,000 per year.</w:t>
      </w:r>
    </w:p>
    <w:p>
      <w:pPr>
        <w:ind w:left="301" w:hanging="301"/>
        <w:spacing w:after="0"/>
        <w:tabs>
          <w:tab w:leader="none" w:pos="3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2000 vested options exercisable at $17 and 556 vested options exercisable at $18.</w:t>
      </w:r>
    </w:p>
    <w:p>
      <w:pPr>
        <w:spacing w:after="0" w:line="223" w:lineRule="exact"/>
        <w:rPr>
          <w:rFonts w:ascii="Arial" w:cs="Arial" w:eastAsia="Arial" w:hAnsi="Arial"/>
          <w:sz w:val="16"/>
          <w:szCs w:val="16"/>
          <w:color w:val="auto"/>
        </w:rPr>
      </w:pPr>
    </w:p>
    <w:p>
      <w:pPr>
        <w:ind w:left="301" w:hanging="301"/>
        <w:spacing w:after="0"/>
        <w:tabs>
          <w:tab w:leader="none" w:pos="3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entities may be affiliated and if so their combined holdings are 1,575,000 shares and 9.54%</w:t>
      </w:r>
    </w:p>
    <w:p>
      <w:pPr>
        <w:spacing w:after="0" w:line="235" w:lineRule="exact"/>
        <w:rPr>
          <w:sz w:val="20"/>
          <w:szCs w:val="20"/>
          <w:color w:val="auto"/>
        </w:rPr>
      </w:pPr>
    </w:p>
    <w:p>
      <w:pPr>
        <w:ind w:left="1"/>
        <w:spacing w:after="0" w:line="288" w:lineRule="auto"/>
        <w:rPr>
          <w:sz w:val="20"/>
          <w:szCs w:val="20"/>
          <w:color w:val="auto"/>
        </w:rPr>
      </w:pPr>
      <w:r>
        <w:rPr>
          <w:rFonts w:ascii="Arial" w:cs="Arial" w:eastAsia="Arial" w:hAnsi="Arial"/>
          <w:sz w:val="16"/>
          <w:szCs w:val="16"/>
          <w:color w:val="auto"/>
        </w:rPr>
        <w:t>There are no arrangements or understanding among the parties set out above or their respective associates or affiliates concerning election of directors or any other matters which may require shareholder approval.</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5"/>
          <w:szCs w:val="15"/>
          <w:color w:val="auto"/>
        </w:rPr>
        <w:t>A description of the Company’s equity compensation plan is provided in Part II, Item 5 of this Form 10-K and is hereby incorporated by reference into this Item 12.</w:t>
      </w:r>
    </w:p>
    <w:p>
      <w:pPr>
        <w:spacing w:after="0" w:line="24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Changes in Control</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5"/>
          <w:szCs w:val="15"/>
          <w:color w:val="auto"/>
        </w:rPr>
        <w:t>We are unaware of any contract, or other arrangement or provision, the operation of which may at a subsequent date result in a change of control of our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698"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2013, the Company entered into transactions with certain officers and directors of the Company as follows:</w:t>
      </w:r>
    </w:p>
    <w:p>
      <w:pPr>
        <w:spacing w:after="0" w:line="235" w:lineRule="exact"/>
        <w:rPr>
          <w:sz w:val="20"/>
          <w:szCs w:val="20"/>
          <w:color w:val="auto"/>
        </w:rPr>
      </w:pPr>
    </w:p>
    <w:p>
      <w:pPr>
        <w:ind w:left="880" w:hanging="586"/>
        <w:spacing w:after="0" w:line="288"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incurred $366,500 (2012 - $391,600) in management, consulting and directors’ fees and $129,000 (2012 - $90,000) in research and development services paid to officers and directors during the year;</w:t>
      </w:r>
    </w:p>
    <w:p>
      <w:pPr>
        <w:spacing w:after="0" w:line="174" w:lineRule="exact"/>
        <w:rPr>
          <w:rFonts w:ascii="Arial" w:cs="Arial" w:eastAsia="Arial" w:hAnsi="Arial"/>
          <w:sz w:val="16"/>
          <w:szCs w:val="16"/>
          <w:color w:val="auto"/>
        </w:rPr>
      </w:pPr>
    </w:p>
    <w:p>
      <w:pPr>
        <w:ind w:left="880" w:hanging="586"/>
        <w:spacing w:after="0" w:line="288"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recorded $46,988 (2012 - $124,209) in stock based compensation for the fair value of options granted to management that were granted and or vested during the year;</w:t>
      </w:r>
    </w:p>
    <w:p>
      <w:pPr>
        <w:spacing w:after="0" w:line="174" w:lineRule="exact"/>
        <w:rPr>
          <w:rFonts w:ascii="Arial" w:cs="Arial" w:eastAsia="Arial" w:hAnsi="Arial"/>
          <w:sz w:val="16"/>
          <w:szCs w:val="16"/>
          <w:color w:val="auto"/>
        </w:rPr>
      </w:pPr>
    </w:p>
    <w:p>
      <w:pPr>
        <w:ind w:left="880" w:hanging="586"/>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converted $nil (2012 - $50,000) of debt due to related parties during the year, which was settled with shares.</w:t>
      </w:r>
    </w:p>
    <w:p>
      <w:pPr>
        <w:spacing w:after="0" w:line="234" w:lineRule="exact"/>
        <w:rPr>
          <w:rFonts w:ascii="Arial" w:cs="Arial" w:eastAsia="Arial" w:hAnsi="Arial"/>
          <w:sz w:val="16"/>
          <w:szCs w:val="16"/>
          <w:color w:val="auto"/>
        </w:rPr>
      </w:pPr>
    </w:p>
    <w:p>
      <w:pPr>
        <w:ind w:left="880" w:hanging="586"/>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issued $nil (2012 - $38,000) in promissory notes to an officer and director of the Company (Note 7).</w:t>
      </w:r>
    </w:p>
    <w:p>
      <w:pPr>
        <w:spacing w:after="0" w:line="234" w:lineRule="exact"/>
        <w:rPr>
          <w:rFonts w:ascii="Arial" w:cs="Arial" w:eastAsia="Arial" w:hAnsi="Arial"/>
          <w:sz w:val="16"/>
          <w:szCs w:val="16"/>
          <w:color w:val="auto"/>
        </w:rPr>
      </w:pPr>
    </w:p>
    <w:p>
      <w:pPr>
        <w:ind w:left="880" w:hanging="586"/>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Borrowed $2,200 (2012 - $nil) as a loan from an officer and director of the Company (Note 6).</w:t>
      </w:r>
    </w:p>
    <w:p>
      <w:pPr>
        <w:spacing w:after="0" w:line="234" w:lineRule="exact"/>
        <w:rPr>
          <w:rFonts w:ascii="Arial" w:cs="Arial" w:eastAsia="Arial" w:hAnsi="Arial"/>
          <w:sz w:val="16"/>
          <w:szCs w:val="16"/>
          <w:color w:val="auto"/>
        </w:rPr>
      </w:pPr>
    </w:p>
    <w:p>
      <w:pPr>
        <w:ind w:left="880" w:hanging="586"/>
        <w:spacing w:after="0" w:line="288"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part of our February 2014 debt restructuring, Glynn Wilson, our CEO and a director, converted $410,656 of unpaid remuneration due to him into shares of Series A Convertible Preferred Stock that subsequently converted into 513,319 shares of our common stock.</w:t>
      </w:r>
    </w:p>
    <w:p>
      <w:pPr>
        <w:spacing w:after="0" w:line="174" w:lineRule="exact"/>
        <w:rPr>
          <w:rFonts w:ascii="Arial" w:cs="Arial" w:eastAsia="Arial" w:hAnsi="Arial"/>
          <w:sz w:val="16"/>
          <w:szCs w:val="16"/>
          <w:color w:val="auto"/>
        </w:rPr>
      </w:pPr>
    </w:p>
    <w:p>
      <w:pPr>
        <w:ind w:left="880" w:hanging="586"/>
        <w:spacing w:after="0" w:line="288"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part of our February 2014 debt restructuring, Mark Reddish, our Vice President – Development and a director, converted $180,000 of unpaid remuneration due to him into shares of Series A Convertible Preferred Stock that subsequently converted into 225,000 shares of our common stock.</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All related party transactions (other than stock based compensation) involving provision of services were recorded at the exchange amount, which is the amount established and agreed to by the related parties as representing fair value. The Company accounted for the debt settlement transactions with related parties at management’s estimate of fair value, using amounts similar to arm’s length settlements for debt settled.</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At December 31, 2013, the Company had amounts owing to directors and officers of $369,345 (2012 - $373,346) in fees and $373,200 in loans and other advances. Other than the loans amounting to $5,200 bearing 10% per year interest, all other amounts due to related parties are unsecured, non-interest bearing and have no specific terms of repayment.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Subsequent to year ended December 31, 2013, the related parties settled $691,845 of the debt for shares of common stock of the Company (Note 15).</w:t>
      </w:r>
    </w:p>
    <w:p>
      <w:pPr>
        <w:spacing w:after="0" w:line="231"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14.</w:t>
        <w:tab/>
        <w:t>PRINCIPAL ACCOUNTING FEES AND SERVICES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Dale Matheson Carr-Hilton LaBonte LLP served as our independent registered public accounting firm and audited our financial statements for the fiscal years ended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and 2012. Aggregate fees for professional services rendered to us by our auditor are set forth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2"/>
              </w:rPr>
              <w:t>Year Ended</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6"/>
                <w:szCs w:val="16"/>
                <w:color w:val="auto"/>
                <w:w w:val="89"/>
              </w:rPr>
              <w:t>Year Ended</w:t>
            </w:r>
          </w:p>
        </w:tc>
      </w:tr>
      <w:tr>
        <w:trPr>
          <w:trHeight w:val="197"/>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31,</w:t>
            </w:r>
          </w:p>
        </w:tc>
      </w:tr>
      <w:tr>
        <w:trPr>
          <w:trHeight w:val="214"/>
        </w:trPr>
        <w:tc>
          <w:tcPr>
            <w:tcW w:w="8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2013</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w w:val="95"/>
              </w:rPr>
              <w:t>2012</w:t>
            </w:r>
          </w:p>
        </w:tc>
        <w:tc>
          <w:tcPr>
            <w:tcW w:w="100" w:type="dxa"/>
            <w:vAlign w:val="bottom"/>
          </w:tcPr>
          <w:p>
            <w:pPr>
              <w:spacing w:after="0"/>
              <w:rPr>
                <w:sz w:val="18"/>
                <w:szCs w:val="18"/>
                <w:color w:val="auto"/>
              </w:rPr>
            </w:pPr>
          </w:p>
        </w:tc>
      </w:tr>
      <w:tr>
        <w:trPr>
          <w:trHeight w:val="382"/>
        </w:trPr>
        <w:tc>
          <w:tcPr>
            <w:tcW w:w="8700" w:type="dxa"/>
            <w:vAlign w:val="bottom"/>
          </w:tcPr>
          <w:p>
            <w:pPr>
              <w:spacing w:after="0"/>
              <w:rPr>
                <w:sz w:val="20"/>
                <w:szCs w:val="20"/>
                <w:color w:val="auto"/>
              </w:rPr>
            </w:pPr>
            <w:r>
              <w:rPr>
                <w:rFonts w:ascii="Arial" w:cs="Arial" w:eastAsia="Arial" w:hAnsi="Arial"/>
                <w:sz w:val="16"/>
                <w:szCs w:val="16"/>
                <w:color w:val="auto"/>
              </w:rPr>
              <w:t>Audit Fees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60,000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40,000</w:t>
            </w: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Audit Related Fees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45,500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19,000</w:t>
            </w:r>
          </w:p>
        </w:tc>
      </w:tr>
      <w:tr>
        <w:trPr>
          <w:trHeight w:val="197"/>
        </w:trPr>
        <w:tc>
          <w:tcPr>
            <w:tcW w:w="8700" w:type="dxa"/>
            <w:vAlign w:val="bottom"/>
          </w:tcPr>
          <w:p>
            <w:pPr>
              <w:spacing w:after="0"/>
              <w:rPr>
                <w:sz w:val="20"/>
                <w:szCs w:val="20"/>
                <w:color w:val="auto"/>
              </w:rPr>
            </w:pPr>
            <w:r>
              <w:rPr>
                <w:rFonts w:ascii="Arial" w:cs="Arial" w:eastAsia="Arial" w:hAnsi="Arial"/>
                <w:sz w:val="16"/>
                <w:szCs w:val="16"/>
                <w:color w:val="auto"/>
              </w:rPr>
              <w:t>Tax Fees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Nil</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Nil</w:t>
            </w:r>
          </w:p>
        </w:tc>
      </w:tr>
      <w:tr>
        <w:trPr>
          <w:trHeight w:val="214"/>
        </w:trPr>
        <w:tc>
          <w:tcPr>
            <w:tcW w:w="8700" w:type="dxa"/>
            <w:vAlign w:val="bottom"/>
          </w:tcPr>
          <w:p>
            <w:pPr>
              <w:spacing w:after="0"/>
              <w:rPr>
                <w:sz w:val="20"/>
                <w:szCs w:val="20"/>
                <w:color w:val="auto"/>
              </w:rPr>
            </w:pPr>
            <w:r>
              <w:rPr>
                <w:rFonts w:ascii="Arial" w:cs="Arial" w:eastAsia="Arial" w:hAnsi="Arial"/>
                <w:sz w:val="16"/>
                <w:szCs w:val="16"/>
                <w:color w:val="auto"/>
              </w:rPr>
              <w:t>All Other Fees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Nil</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Nil</w:t>
            </w:r>
          </w:p>
        </w:tc>
      </w:tr>
      <w:tr>
        <w:trPr>
          <w:trHeight w:val="197"/>
        </w:trPr>
        <w:tc>
          <w:tcPr>
            <w:tcW w:w="87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105,500</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59,000</w:t>
            </w:r>
          </w:p>
        </w:tc>
        <w:tc>
          <w:tcPr>
            <w:tcW w:w="100" w:type="dxa"/>
            <w:vAlign w:val="bottom"/>
          </w:tcPr>
          <w:p>
            <w:pPr>
              <w:spacing w:after="0"/>
              <w:rPr>
                <w:sz w:val="17"/>
                <w:szCs w:val="17"/>
                <w:color w:val="auto"/>
              </w:rPr>
            </w:pPr>
          </w:p>
        </w:tc>
      </w:tr>
      <w:tr>
        <w:trPr>
          <w:trHeight w:val="20"/>
        </w:trPr>
        <w:tc>
          <w:tcPr>
            <w:tcW w:w="8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Fees</w:t>
      </w:r>
    </w:p>
    <w:p>
      <w:pPr>
        <w:spacing w:after="0" w:line="2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Audit fees are the aggregate fees billed for professional services rendered by our independent auditors for the audit of our annual financial statements, the review of the financial statements included in each of our quarterly reports and services provided in connection with statutory and regulatory filings or engagements.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Related Fees</w:t>
      </w:r>
    </w:p>
    <w:p>
      <w:pPr>
        <w:spacing w:after="0" w:line="2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Audit related fees are the aggregate fees billed by our independent auditors for assurance and related services that are reasonably related to the performance of the audit or review of our financial statements and are not described in the preceding category.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69" w:name="page70"/>
    <w:bookmarkEnd w:id="69"/>
    <w:p>
      <w:pPr>
        <w:ind w:left="1"/>
        <w:spacing w:after="0"/>
        <w:rPr>
          <w:sz w:val="20"/>
          <w:szCs w:val="20"/>
          <w:color w:val="auto"/>
        </w:rPr>
      </w:pPr>
      <w:r>
        <w:rPr>
          <w:rFonts w:ascii="Arial" w:cs="Arial" w:eastAsia="Arial" w:hAnsi="Arial"/>
          <w:sz w:val="16"/>
          <w:szCs w:val="16"/>
          <w:b w:val="1"/>
          <w:bCs w:val="1"/>
          <w:color w:val="auto"/>
        </w:rPr>
        <w:t>Tax Fees</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6"/>
          <w:szCs w:val="16"/>
          <w:color w:val="auto"/>
        </w:rPr>
        <w:t>Tax fees are billed by our independent auditors for tax compliance, tax advice and tax planning.</w:t>
      </w:r>
    </w:p>
    <w:p>
      <w:pPr>
        <w:spacing w:after="0" w:line="22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All Other Fees</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6"/>
          <w:szCs w:val="16"/>
          <w:color w:val="auto"/>
        </w:rPr>
        <w:t>All other fees include fees billed by our independent auditors for products or services other than as described in the immediately preceding three categories.</w:t>
      </w:r>
    </w:p>
    <w:p>
      <w:pPr>
        <w:spacing w:after="0" w:line="22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Policy on Pre-Approval of Services Performed by Independent Auditors</w:t>
      </w:r>
    </w:p>
    <w:p>
      <w:pPr>
        <w:spacing w:after="0" w:line="28" w:lineRule="exact"/>
        <w:rPr>
          <w:sz w:val="20"/>
          <w:szCs w:val="20"/>
          <w:color w:val="auto"/>
        </w:rPr>
      </w:pPr>
    </w:p>
    <w:p>
      <w:pPr>
        <w:ind w:left="1"/>
        <w:spacing w:after="0" w:line="274" w:lineRule="auto"/>
        <w:rPr>
          <w:sz w:val="20"/>
          <w:szCs w:val="20"/>
          <w:color w:val="auto"/>
        </w:rPr>
      </w:pPr>
      <w:r>
        <w:rPr>
          <w:rFonts w:ascii="Arial" w:cs="Arial" w:eastAsia="Arial" w:hAnsi="Arial"/>
          <w:sz w:val="16"/>
          <w:szCs w:val="16"/>
          <w:color w:val="auto"/>
        </w:rPr>
        <w:t>It is our audit committee’s policy to pre-approve all audit and permissible non-audit services performed by the independent auditors. We approved all services that our independent accountants provided to us in the past two fiscal years.</w:t>
      </w:r>
    </w:p>
    <w:p>
      <w:pPr>
        <w:spacing w:after="0" w:line="181" w:lineRule="exact"/>
        <w:rPr>
          <w:sz w:val="20"/>
          <w:szCs w:val="20"/>
          <w:color w:val="auto"/>
        </w:rPr>
      </w:pPr>
    </w:p>
    <w:tbl>
      <w:tblPr>
        <w:tblLayout w:type="fixed"/>
        <w:tblInd w:w="1" w:type="dxa"/>
        <w:tblCellMar>
          <w:top w:w="0" w:type="dxa"/>
          <w:left w:w="0" w:type="dxa"/>
          <w:bottom w:w="0" w:type="dxa"/>
          <w:right w:w="0" w:type="dxa"/>
        </w:tblCellMar>
      </w:tblPr>
      <w:tr>
        <w:trPr>
          <w:trHeight w:val="201"/>
        </w:trPr>
        <w:tc>
          <w:tcPr>
            <w:tcW w:w="840" w:type="dxa"/>
            <w:vAlign w:val="bottom"/>
          </w:tcPr>
          <w:p>
            <w:pPr>
              <w:spacing w:after="0"/>
              <w:rPr>
                <w:sz w:val="20"/>
                <w:szCs w:val="20"/>
                <w:color w:val="auto"/>
              </w:rPr>
            </w:pPr>
            <w:r>
              <w:rPr>
                <w:rFonts w:ascii="Arial" w:cs="Arial" w:eastAsia="Arial" w:hAnsi="Arial"/>
                <w:sz w:val="16"/>
                <w:szCs w:val="16"/>
                <w:b w:val="1"/>
                <w:bCs w:val="1"/>
                <w:color w:val="auto"/>
              </w:rPr>
              <w:t>ITEM 15.</w:t>
            </w:r>
          </w:p>
        </w:tc>
        <w:tc>
          <w:tcPr>
            <w:tcW w:w="10580" w:type="dxa"/>
            <w:vAlign w:val="bottom"/>
          </w:tcPr>
          <w:p>
            <w:pPr>
              <w:ind w:left="40"/>
              <w:spacing w:after="0"/>
              <w:rPr>
                <w:sz w:val="20"/>
                <w:szCs w:val="20"/>
                <w:color w:val="auto"/>
              </w:rPr>
            </w:pPr>
            <w:r>
              <w:rPr>
                <w:rFonts w:ascii="Arial" w:cs="Arial" w:eastAsia="Arial" w:hAnsi="Arial"/>
                <w:sz w:val="16"/>
                <w:szCs w:val="16"/>
                <w:b w:val="1"/>
                <w:bCs w:val="1"/>
                <w:color w:val="auto"/>
              </w:rPr>
              <w:t>EXHIBITS</w:t>
            </w:r>
          </w:p>
        </w:tc>
      </w:tr>
      <w:tr>
        <w:trPr>
          <w:trHeight w:val="208"/>
        </w:trPr>
        <w:tc>
          <w:tcPr>
            <w:tcW w:w="11420" w:type="dxa"/>
            <w:vAlign w:val="bottom"/>
            <w:gridSpan w:val="2"/>
          </w:tcPr>
          <w:p>
            <w:pPr>
              <w:spacing w:after="0"/>
              <w:rPr>
                <w:sz w:val="20"/>
                <w:szCs w:val="20"/>
                <w:color w:val="auto"/>
              </w:rPr>
            </w:pPr>
            <w:r>
              <w:rPr>
                <w:rFonts w:ascii="Arial" w:cs="Arial" w:eastAsia="Arial" w:hAnsi="Arial"/>
                <w:sz w:val="16"/>
                <w:szCs w:val="16"/>
                <w:color w:val="auto"/>
              </w:rPr>
              <w:t>The following exhibits are filed as part of this registration statement. Exhibit numbers correspond to the exhibit requirements of Regulation S-K.</w:t>
            </w:r>
          </w:p>
        </w:tc>
      </w:tr>
      <w:tr>
        <w:trPr>
          <w:trHeight w:val="400"/>
        </w:trPr>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8"/>
              </w:rPr>
              <w:t>Exhibit No.</w:t>
            </w:r>
          </w:p>
        </w:tc>
        <w:tc>
          <w:tcPr>
            <w:tcW w:w="1058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Description</w:t>
            </w:r>
          </w:p>
        </w:tc>
      </w:tr>
      <w:tr>
        <w:trPr>
          <w:trHeight w:val="185"/>
        </w:trPr>
        <w:tc>
          <w:tcPr>
            <w:tcW w:w="840" w:type="dxa"/>
            <w:vAlign w:val="bottom"/>
          </w:tcPr>
          <w:p>
            <w:pPr>
              <w:spacing w:after="0"/>
              <w:rPr>
                <w:sz w:val="20"/>
                <w:szCs w:val="20"/>
                <w:color w:val="auto"/>
              </w:rPr>
            </w:pPr>
            <w:r>
              <w:rPr>
                <w:rFonts w:ascii="Arial" w:cs="Arial" w:eastAsia="Arial" w:hAnsi="Arial"/>
                <w:sz w:val="16"/>
                <w:szCs w:val="16"/>
                <w:color w:val="auto"/>
              </w:rPr>
              <w:t>10.1</w:t>
            </w:r>
          </w:p>
        </w:tc>
        <w:tc>
          <w:tcPr>
            <w:tcW w:w="10580" w:type="dxa"/>
            <w:vAlign w:val="bottom"/>
          </w:tcPr>
          <w:p>
            <w:pPr>
              <w:ind w:left="940"/>
              <w:spacing w:after="0"/>
              <w:rPr>
                <w:sz w:val="20"/>
                <w:szCs w:val="20"/>
                <w:color w:val="auto"/>
              </w:rPr>
            </w:pPr>
            <w:r>
              <w:rPr>
                <w:rFonts w:ascii="Arial" w:cs="Arial" w:eastAsia="Arial" w:hAnsi="Arial"/>
                <w:sz w:val="16"/>
                <w:szCs w:val="16"/>
                <w:color w:val="auto"/>
              </w:rPr>
              <w:t>Option Agreement, dated March 18, 2014, between the Company and Ayer Special Situations Fund I, LP</w:t>
            </w:r>
          </w:p>
        </w:tc>
      </w:tr>
      <w:tr>
        <w:trPr>
          <w:trHeight w:val="197"/>
        </w:trPr>
        <w:tc>
          <w:tcPr>
            <w:tcW w:w="840" w:type="dxa"/>
            <w:vAlign w:val="bottom"/>
          </w:tcPr>
          <w:p>
            <w:pPr>
              <w:spacing w:after="0"/>
              <w:rPr>
                <w:sz w:val="20"/>
                <w:szCs w:val="20"/>
                <w:color w:val="auto"/>
              </w:rPr>
            </w:pPr>
            <w:r>
              <w:rPr>
                <w:rFonts w:ascii="Arial" w:cs="Arial" w:eastAsia="Arial" w:hAnsi="Arial"/>
                <w:sz w:val="16"/>
                <w:szCs w:val="16"/>
                <w:color w:val="auto"/>
              </w:rPr>
              <w:t>31.1</w:t>
            </w:r>
          </w:p>
        </w:tc>
        <w:tc>
          <w:tcPr>
            <w:tcW w:w="10580" w:type="dxa"/>
            <w:vAlign w:val="bottom"/>
          </w:tcPr>
          <w:p>
            <w:pPr>
              <w:ind w:left="940"/>
              <w:spacing w:after="0"/>
              <w:rPr>
                <w:sz w:val="20"/>
                <w:szCs w:val="20"/>
                <w:color w:val="auto"/>
              </w:rPr>
            </w:pPr>
            <w:r>
              <w:rPr>
                <w:rFonts w:ascii="Arial" w:cs="Arial" w:eastAsia="Arial" w:hAnsi="Arial"/>
                <w:sz w:val="16"/>
                <w:szCs w:val="16"/>
                <w:color w:val="auto"/>
                <w:w w:val="95"/>
              </w:rPr>
              <w:t>Certification of Principal Executive Officer and Acting Principal Accounting Officer pursuant to Securities Exchange Act of 1934 Rule 13a-14(a)</w:t>
            </w:r>
          </w:p>
        </w:tc>
      </w:tr>
      <w:tr>
        <w:trPr>
          <w:trHeight w:val="197"/>
        </w:trPr>
        <w:tc>
          <w:tcPr>
            <w:tcW w:w="840" w:type="dxa"/>
            <w:vAlign w:val="bottom"/>
          </w:tcPr>
          <w:p>
            <w:pPr>
              <w:spacing w:after="0"/>
              <w:rPr>
                <w:sz w:val="17"/>
                <w:szCs w:val="17"/>
                <w:color w:val="auto"/>
              </w:rPr>
            </w:pPr>
          </w:p>
        </w:tc>
        <w:tc>
          <w:tcPr>
            <w:tcW w:w="10580" w:type="dxa"/>
            <w:vAlign w:val="bottom"/>
          </w:tcPr>
          <w:p>
            <w:pPr>
              <w:ind w:left="940"/>
              <w:spacing w:after="0"/>
              <w:rPr>
                <w:sz w:val="20"/>
                <w:szCs w:val="20"/>
                <w:color w:val="auto"/>
              </w:rPr>
            </w:pPr>
            <w:r>
              <w:rPr>
                <w:rFonts w:ascii="Arial" w:cs="Arial" w:eastAsia="Arial" w:hAnsi="Arial"/>
                <w:sz w:val="16"/>
                <w:szCs w:val="16"/>
                <w:color w:val="auto"/>
              </w:rPr>
              <w:t>or 15d-14(a).</w:t>
            </w:r>
          </w:p>
        </w:tc>
      </w:tr>
      <w:tr>
        <w:trPr>
          <w:trHeight w:val="197"/>
        </w:trPr>
        <w:tc>
          <w:tcPr>
            <w:tcW w:w="840" w:type="dxa"/>
            <w:vAlign w:val="bottom"/>
          </w:tcPr>
          <w:p>
            <w:pPr>
              <w:spacing w:after="0"/>
              <w:rPr>
                <w:sz w:val="20"/>
                <w:szCs w:val="20"/>
                <w:color w:val="auto"/>
              </w:rPr>
            </w:pPr>
            <w:r>
              <w:rPr>
                <w:rFonts w:ascii="Arial" w:cs="Arial" w:eastAsia="Arial" w:hAnsi="Arial"/>
                <w:sz w:val="16"/>
                <w:szCs w:val="16"/>
                <w:color w:val="auto"/>
              </w:rPr>
              <w:t>32.1</w:t>
            </w:r>
          </w:p>
        </w:tc>
        <w:tc>
          <w:tcPr>
            <w:tcW w:w="10580" w:type="dxa"/>
            <w:vAlign w:val="bottom"/>
          </w:tcPr>
          <w:p>
            <w:pPr>
              <w:ind w:left="940"/>
              <w:spacing w:after="0"/>
              <w:rPr>
                <w:sz w:val="20"/>
                <w:szCs w:val="20"/>
                <w:color w:val="auto"/>
              </w:rPr>
            </w:pPr>
            <w:r>
              <w:rPr>
                <w:rFonts w:ascii="Arial" w:cs="Arial" w:eastAsia="Arial" w:hAnsi="Arial"/>
                <w:sz w:val="16"/>
                <w:szCs w:val="16"/>
                <w:color w:val="auto"/>
              </w:rPr>
              <w:t>Certification of Principal Executive Officer and Acting Principal Accounting Officer pursuant to 18 U.S.C. Section 1350.</w:t>
            </w:r>
          </w:p>
        </w:tc>
      </w:tr>
      <w:tr>
        <w:trPr>
          <w:trHeight w:val="197"/>
        </w:trPr>
        <w:tc>
          <w:tcPr>
            <w:tcW w:w="840" w:type="dxa"/>
            <w:vAlign w:val="bottom"/>
          </w:tcPr>
          <w:p>
            <w:pPr>
              <w:spacing w:after="0"/>
              <w:rPr>
                <w:sz w:val="20"/>
                <w:szCs w:val="20"/>
                <w:color w:val="auto"/>
              </w:rPr>
            </w:pPr>
            <w:r>
              <w:rPr>
                <w:rFonts w:ascii="Arial" w:cs="Arial" w:eastAsia="Arial" w:hAnsi="Arial"/>
                <w:sz w:val="16"/>
                <w:szCs w:val="16"/>
                <w:color w:val="auto"/>
              </w:rPr>
              <w:t>101.INS</w:t>
            </w:r>
          </w:p>
        </w:tc>
        <w:tc>
          <w:tcPr>
            <w:tcW w:w="10580" w:type="dxa"/>
            <w:vAlign w:val="bottom"/>
          </w:tcPr>
          <w:p>
            <w:pPr>
              <w:ind w:left="940"/>
              <w:spacing w:after="0"/>
              <w:rPr>
                <w:sz w:val="20"/>
                <w:szCs w:val="20"/>
                <w:color w:val="auto"/>
              </w:rPr>
            </w:pPr>
            <w:r>
              <w:rPr>
                <w:rFonts w:ascii="Arial" w:cs="Arial" w:eastAsia="Arial" w:hAnsi="Arial"/>
                <w:sz w:val="16"/>
                <w:szCs w:val="16"/>
                <w:color w:val="auto"/>
              </w:rPr>
              <w:t>XBRL Instance Document (1)</w:t>
            </w:r>
          </w:p>
        </w:tc>
      </w:tr>
      <w:tr>
        <w:trPr>
          <w:trHeight w:val="197"/>
        </w:trPr>
        <w:tc>
          <w:tcPr>
            <w:tcW w:w="840" w:type="dxa"/>
            <w:vAlign w:val="bottom"/>
          </w:tcPr>
          <w:p>
            <w:pPr>
              <w:spacing w:after="0"/>
              <w:rPr>
                <w:sz w:val="20"/>
                <w:szCs w:val="20"/>
                <w:color w:val="auto"/>
              </w:rPr>
            </w:pPr>
            <w:r>
              <w:rPr>
                <w:rFonts w:ascii="Arial" w:cs="Arial" w:eastAsia="Arial" w:hAnsi="Arial"/>
                <w:sz w:val="16"/>
                <w:szCs w:val="16"/>
                <w:color w:val="auto"/>
              </w:rPr>
              <w:t>101.SCH</w:t>
            </w:r>
          </w:p>
        </w:tc>
        <w:tc>
          <w:tcPr>
            <w:tcW w:w="10580" w:type="dxa"/>
            <w:vAlign w:val="bottom"/>
          </w:tcPr>
          <w:p>
            <w:pPr>
              <w:ind w:left="940"/>
              <w:spacing w:after="0"/>
              <w:rPr>
                <w:sz w:val="20"/>
                <w:szCs w:val="20"/>
                <w:color w:val="auto"/>
              </w:rPr>
            </w:pPr>
            <w:r>
              <w:rPr>
                <w:rFonts w:ascii="Arial" w:cs="Arial" w:eastAsia="Arial" w:hAnsi="Arial"/>
                <w:sz w:val="16"/>
                <w:szCs w:val="16"/>
                <w:color w:val="auto"/>
              </w:rPr>
              <w:t>XBRL Taxonomy Extension Schema Document (1)</w:t>
            </w:r>
          </w:p>
        </w:tc>
      </w:tr>
      <w:tr>
        <w:trPr>
          <w:trHeight w:val="197"/>
        </w:trPr>
        <w:tc>
          <w:tcPr>
            <w:tcW w:w="840" w:type="dxa"/>
            <w:vAlign w:val="bottom"/>
          </w:tcPr>
          <w:p>
            <w:pPr>
              <w:spacing w:after="0"/>
              <w:rPr>
                <w:sz w:val="20"/>
                <w:szCs w:val="20"/>
                <w:color w:val="auto"/>
              </w:rPr>
            </w:pPr>
            <w:r>
              <w:rPr>
                <w:rFonts w:ascii="Arial" w:cs="Arial" w:eastAsia="Arial" w:hAnsi="Arial"/>
                <w:sz w:val="16"/>
                <w:szCs w:val="16"/>
                <w:color w:val="auto"/>
              </w:rPr>
              <w:t>101.CAL</w:t>
            </w:r>
          </w:p>
        </w:tc>
        <w:tc>
          <w:tcPr>
            <w:tcW w:w="10580" w:type="dxa"/>
            <w:vAlign w:val="bottom"/>
          </w:tcPr>
          <w:p>
            <w:pPr>
              <w:ind w:left="940"/>
              <w:spacing w:after="0"/>
              <w:rPr>
                <w:sz w:val="20"/>
                <w:szCs w:val="20"/>
                <w:color w:val="auto"/>
              </w:rPr>
            </w:pPr>
            <w:r>
              <w:rPr>
                <w:rFonts w:ascii="Arial" w:cs="Arial" w:eastAsia="Arial" w:hAnsi="Arial"/>
                <w:sz w:val="16"/>
                <w:szCs w:val="16"/>
                <w:color w:val="auto"/>
              </w:rPr>
              <w:t>XBRL Taxonomy Extension Calculation Linkbase Document (1)</w:t>
            </w:r>
          </w:p>
        </w:tc>
      </w:tr>
      <w:tr>
        <w:trPr>
          <w:trHeight w:val="197"/>
        </w:trPr>
        <w:tc>
          <w:tcPr>
            <w:tcW w:w="840" w:type="dxa"/>
            <w:vAlign w:val="bottom"/>
          </w:tcPr>
          <w:p>
            <w:pPr>
              <w:spacing w:after="0"/>
              <w:rPr>
                <w:sz w:val="20"/>
                <w:szCs w:val="20"/>
                <w:color w:val="auto"/>
              </w:rPr>
            </w:pPr>
            <w:r>
              <w:rPr>
                <w:rFonts w:ascii="Arial" w:cs="Arial" w:eastAsia="Arial" w:hAnsi="Arial"/>
                <w:sz w:val="16"/>
                <w:szCs w:val="16"/>
                <w:color w:val="auto"/>
              </w:rPr>
              <w:t>101.DEF</w:t>
            </w:r>
          </w:p>
        </w:tc>
        <w:tc>
          <w:tcPr>
            <w:tcW w:w="10580" w:type="dxa"/>
            <w:vAlign w:val="bottom"/>
          </w:tcPr>
          <w:p>
            <w:pPr>
              <w:ind w:left="940"/>
              <w:spacing w:after="0"/>
              <w:rPr>
                <w:sz w:val="20"/>
                <w:szCs w:val="20"/>
                <w:color w:val="auto"/>
              </w:rPr>
            </w:pPr>
            <w:r>
              <w:rPr>
                <w:rFonts w:ascii="Arial" w:cs="Arial" w:eastAsia="Arial" w:hAnsi="Arial"/>
                <w:sz w:val="16"/>
                <w:szCs w:val="16"/>
                <w:color w:val="auto"/>
              </w:rPr>
              <w:t>XBRL Taxonomy Extension Definition Linkbase Document (1)</w:t>
            </w:r>
          </w:p>
        </w:tc>
      </w:tr>
      <w:tr>
        <w:trPr>
          <w:trHeight w:val="197"/>
        </w:trPr>
        <w:tc>
          <w:tcPr>
            <w:tcW w:w="840" w:type="dxa"/>
            <w:vAlign w:val="bottom"/>
          </w:tcPr>
          <w:p>
            <w:pPr>
              <w:spacing w:after="0"/>
              <w:rPr>
                <w:sz w:val="20"/>
                <w:szCs w:val="20"/>
                <w:color w:val="auto"/>
              </w:rPr>
            </w:pPr>
            <w:r>
              <w:rPr>
                <w:rFonts w:ascii="Arial" w:cs="Arial" w:eastAsia="Arial" w:hAnsi="Arial"/>
                <w:sz w:val="16"/>
                <w:szCs w:val="16"/>
                <w:color w:val="auto"/>
              </w:rPr>
              <w:t>101.LAB</w:t>
            </w:r>
          </w:p>
        </w:tc>
        <w:tc>
          <w:tcPr>
            <w:tcW w:w="10580" w:type="dxa"/>
            <w:vAlign w:val="bottom"/>
          </w:tcPr>
          <w:p>
            <w:pPr>
              <w:ind w:left="940"/>
              <w:spacing w:after="0"/>
              <w:rPr>
                <w:sz w:val="20"/>
                <w:szCs w:val="20"/>
                <w:color w:val="auto"/>
              </w:rPr>
            </w:pPr>
            <w:r>
              <w:rPr>
                <w:rFonts w:ascii="Arial" w:cs="Arial" w:eastAsia="Arial" w:hAnsi="Arial"/>
                <w:sz w:val="16"/>
                <w:szCs w:val="16"/>
                <w:color w:val="auto"/>
              </w:rPr>
              <w:t>XBRL Taxonomy Extension Label Linkbase Document (1)</w:t>
            </w:r>
          </w:p>
        </w:tc>
      </w:tr>
      <w:tr>
        <w:trPr>
          <w:trHeight w:val="208"/>
        </w:trPr>
        <w:tc>
          <w:tcPr>
            <w:tcW w:w="840" w:type="dxa"/>
            <w:vAlign w:val="bottom"/>
          </w:tcPr>
          <w:p>
            <w:pPr>
              <w:spacing w:after="0"/>
              <w:rPr>
                <w:sz w:val="20"/>
                <w:szCs w:val="20"/>
                <w:color w:val="auto"/>
              </w:rPr>
            </w:pPr>
            <w:r>
              <w:rPr>
                <w:rFonts w:ascii="Arial" w:cs="Arial" w:eastAsia="Arial" w:hAnsi="Arial"/>
                <w:sz w:val="16"/>
                <w:szCs w:val="16"/>
                <w:color w:val="auto"/>
              </w:rPr>
              <w:t>101.PRE</w:t>
            </w:r>
          </w:p>
        </w:tc>
        <w:tc>
          <w:tcPr>
            <w:tcW w:w="10580" w:type="dxa"/>
            <w:vAlign w:val="bottom"/>
          </w:tcPr>
          <w:p>
            <w:pPr>
              <w:ind w:left="940"/>
              <w:spacing w:after="0"/>
              <w:rPr>
                <w:sz w:val="20"/>
                <w:szCs w:val="20"/>
                <w:color w:val="auto"/>
              </w:rPr>
            </w:pPr>
            <w:r>
              <w:rPr>
                <w:rFonts w:ascii="Arial" w:cs="Arial" w:eastAsia="Arial" w:hAnsi="Arial"/>
                <w:sz w:val="16"/>
                <w:szCs w:val="16"/>
                <w:color w:val="auto"/>
              </w:rPr>
              <w:t>XBRL Taxonomy Extension Presentation Linkbase Document (1)</w:t>
            </w:r>
          </w:p>
        </w:tc>
      </w:tr>
    </w:tbl>
    <w:p>
      <w:pPr>
        <w:spacing w:after="0" w:line="124" w:lineRule="exact"/>
        <w:rPr>
          <w:sz w:val="20"/>
          <w:szCs w:val="20"/>
          <w:color w:val="auto"/>
        </w:rPr>
      </w:pPr>
    </w:p>
    <w:p>
      <w:pPr>
        <w:ind w:left="1" w:right="480" w:hanging="1"/>
        <w:spacing w:after="0" w:line="288" w:lineRule="auto"/>
        <w:tabs>
          <w:tab w:leader="none" w:pos="275" w:val="left"/>
        </w:tabs>
        <w:numPr>
          <w:ilvl w:val="0"/>
          <w:numId w:val="16"/>
        </w:numPr>
        <w:rPr>
          <w:rFonts w:ascii="Arial" w:cs="Arial" w:eastAsia="Arial" w:hAnsi="Arial"/>
          <w:sz w:val="16"/>
          <w:szCs w:val="16"/>
          <w:color w:val="auto"/>
        </w:rPr>
      </w:pPr>
      <w:r>
        <w:rPr>
          <w:rFonts w:ascii="Arial" w:cs="Arial" w:eastAsia="Arial" w:hAnsi="Arial"/>
          <w:sz w:val="16"/>
          <w:szCs w:val="16"/>
          <w:color w:val="222222"/>
        </w:rPr>
        <w:t>IN ACCORDANCE WITH THE TEMPORARY HARDSHIP EXEMPTION PROVIDED BY RULE 201 OF REGULATION S-T, THE DATE BY WHICH THE INTERACTIVE DATA FILE IS REQUIRED TO BE SUBMITTED HAS BEEN EXTENDED BY SIX BUSINESS DAYS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1"/>
          </w:cols>
          <w:pgMar w:left="239" w:top="480"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b w:val="1"/>
          <w:bCs w:val="1"/>
          <w:color w:val="auto"/>
        </w:rPr>
        <w:t>SIGNATURES</w:t>
      </w:r>
    </w:p>
    <w:p>
      <w:pPr>
        <w:spacing w:after="0" w:line="23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Pursuant to the requirements of Section 13 and 15 (d) of the Securities Exchange Act of 1934, the registrant has duly caused this report to be signed on its behalf by the undersigned, thereunto duly authorized.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TAPIMMUNE INC.</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Glynn Wilson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Chairman, Chief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 and Acting Principal Accounting</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Officer</w:t>
      </w:r>
    </w:p>
    <w:p>
      <w:pPr>
        <w:spacing w:after="0"/>
        <w:rPr>
          <w:sz w:val="20"/>
          <w:szCs w:val="20"/>
          <w:color w:val="auto"/>
        </w:rPr>
      </w:pPr>
      <w:r>
        <w:rPr>
          <w:rFonts w:ascii="Arial" w:cs="Arial" w:eastAsia="Arial" w:hAnsi="Arial"/>
          <w:sz w:val="16"/>
          <w:szCs w:val="16"/>
          <w:color w:val="auto"/>
        </w:rPr>
        <w:t>Date: April 14, 2014</w:t>
      </w:r>
    </w:p>
    <w:p>
      <w:pPr>
        <w:spacing w:after="0" w:line="221" w:lineRule="exact"/>
        <w:rPr>
          <w:sz w:val="20"/>
          <w:szCs w:val="20"/>
          <w:color w:val="auto"/>
        </w:rPr>
      </w:pPr>
    </w:p>
    <w:p>
      <w:pPr>
        <w:ind w:right="540"/>
        <w:spacing w:after="0" w:line="288"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385" w:lineRule="exact"/>
        <w:rPr>
          <w:sz w:val="20"/>
          <w:szCs w:val="20"/>
          <w:color w:val="auto"/>
        </w:rPr>
      </w:pPr>
    </w:p>
    <w:tbl>
      <w:tblPr>
        <w:tblLayout w:type="fixed"/>
        <w:tblInd w:w="2960" w:type="dxa"/>
        <w:tblCellMar>
          <w:top w:w="0" w:type="dxa"/>
          <w:left w:w="0" w:type="dxa"/>
          <w:bottom w:w="0" w:type="dxa"/>
          <w:right w:w="0" w:type="dxa"/>
        </w:tblCellMar>
      </w:tblPr>
      <w:tr>
        <w:trPr>
          <w:trHeight w:val="184"/>
        </w:trPr>
        <w:tc>
          <w:tcPr>
            <w:tcW w:w="640" w:type="dxa"/>
            <w:vAlign w:val="bottom"/>
          </w:tcPr>
          <w:p>
            <w:pPr>
              <w:spacing w:after="0"/>
              <w:rPr>
                <w:sz w:val="20"/>
                <w:szCs w:val="20"/>
                <w:color w:val="auto"/>
              </w:rPr>
            </w:pPr>
            <w:r>
              <w:rPr>
                <w:rFonts w:ascii="Arial" w:cs="Arial" w:eastAsia="Arial" w:hAnsi="Arial"/>
                <w:sz w:val="16"/>
                <w:szCs w:val="16"/>
                <w:color w:val="auto"/>
              </w:rPr>
              <w:t>By:</w:t>
            </w:r>
          </w:p>
        </w:tc>
        <w:tc>
          <w:tcPr>
            <w:tcW w:w="20" w:type="dxa"/>
            <w:vAlign w:val="bottom"/>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w w:val="95"/>
              </w:rPr>
              <w:t>/s/ Glynn Wilson</w:t>
            </w:r>
          </w:p>
        </w:tc>
        <w:tc>
          <w:tcPr>
            <w:tcW w:w="240" w:type="dxa"/>
            <w:vAlign w:val="bottom"/>
          </w:tcPr>
          <w:p>
            <w:pPr>
              <w:spacing w:after="0"/>
              <w:rPr>
                <w:sz w:val="16"/>
                <w:szCs w:val="16"/>
                <w:color w:val="auto"/>
              </w:rPr>
            </w:pPr>
          </w:p>
        </w:tc>
      </w:tr>
      <w:tr>
        <w:trPr>
          <w:trHeight w:val="213"/>
        </w:trPr>
        <w:tc>
          <w:tcPr>
            <w:tcW w:w="2040" w:type="dxa"/>
            <w:vAlign w:val="bottom"/>
            <w:gridSpan w:val="5"/>
          </w:tcPr>
          <w:p>
            <w:pPr>
              <w:spacing w:after="0"/>
              <w:rPr>
                <w:sz w:val="20"/>
                <w:szCs w:val="20"/>
                <w:color w:val="auto"/>
              </w:rPr>
            </w:pPr>
            <w:r>
              <w:rPr>
                <w:rFonts w:ascii="Arial" w:cs="Arial" w:eastAsia="Arial" w:hAnsi="Arial"/>
                <w:sz w:val="16"/>
                <w:szCs w:val="16"/>
                <w:color w:val="auto"/>
              </w:rPr>
              <w:t>Glynn Wilson, Director</w:t>
            </w:r>
          </w:p>
        </w:tc>
      </w:tr>
      <w:tr>
        <w:trPr>
          <w:trHeight w:val="605"/>
        </w:trPr>
        <w:tc>
          <w:tcPr>
            <w:tcW w:w="640" w:type="dxa"/>
            <w:vAlign w:val="bottom"/>
          </w:tcPr>
          <w:p>
            <w:pPr>
              <w:spacing w:after="0"/>
              <w:rPr>
                <w:sz w:val="20"/>
                <w:szCs w:val="20"/>
                <w:color w:val="auto"/>
              </w:rPr>
            </w:pPr>
            <w:r>
              <w:rPr>
                <w:rFonts w:ascii="Arial" w:cs="Arial" w:eastAsia="Arial" w:hAnsi="Arial"/>
                <w:sz w:val="16"/>
                <w:szCs w:val="16"/>
                <w:color w:val="auto"/>
              </w:rPr>
              <w:t>By:</w:t>
            </w: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3"/>
              </w:rPr>
              <w:t>/s/ Mark Reddish</w:t>
            </w:r>
          </w:p>
        </w:tc>
        <w:tc>
          <w:tcPr>
            <w:tcW w:w="260" w:type="dxa"/>
            <w:vAlign w:val="bottom"/>
            <w:gridSpan w:val="2"/>
          </w:tcPr>
          <w:p>
            <w:pPr>
              <w:spacing w:after="0"/>
              <w:rPr>
                <w:sz w:val="24"/>
                <w:szCs w:val="24"/>
                <w:color w:val="auto"/>
              </w:rPr>
            </w:pPr>
          </w:p>
        </w:tc>
      </w:tr>
      <w:tr>
        <w:trPr>
          <w:trHeight w:val="213"/>
        </w:trPr>
        <w:tc>
          <w:tcPr>
            <w:tcW w:w="2040" w:type="dxa"/>
            <w:vAlign w:val="bottom"/>
            <w:gridSpan w:val="5"/>
          </w:tcPr>
          <w:p>
            <w:pPr>
              <w:spacing w:after="0"/>
              <w:rPr>
                <w:sz w:val="20"/>
                <w:szCs w:val="20"/>
                <w:color w:val="auto"/>
              </w:rPr>
            </w:pPr>
            <w:r>
              <w:rPr>
                <w:rFonts w:ascii="Arial" w:cs="Arial" w:eastAsia="Arial" w:hAnsi="Arial"/>
                <w:sz w:val="16"/>
                <w:szCs w:val="16"/>
                <w:color w:val="auto"/>
              </w:rPr>
              <w:t>Mark Reddish, Director</w:t>
            </w:r>
          </w:p>
        </w:tc>
      </w:tr>
      <w:tr>
        <w:trPr>
          <w:trHeight w:val="605"/>
        </w:trPr>
        <w:tc>
          <w:tcPr>
            <w:tcW w:w="640" w:type="dxa"/>
            <w:vAlign w:val="bottom"/>
          </w:tcPr>
          <w:p>
            <w:pPr>
              <w:spacing w:after="0"/>
              <w:rPr>
                <w:sz w:val="20"/>
                <w:szCs w:val="20"/>
                <w:color w:val="auto"/>
              </w:rPr>
            </w:pPr>
            <w:r>
              <w:rPr>
                <w:rFonts w:ascii="Arial" w:cs="Arial" w:eastAsia="Arial" w:hAnsi="Arial"/>
                <w:sz w:val="16"/>
                <w:szCs w:val="16"/>
                <w:color w:val="auto"/>
              </w:rPr>
              <w:t>By:</w:t>
            </w:r>
          </w:p>
        </w:tc>
        <w:tc>
          <w:tcPr>
            <w:tcW w:w="140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w w:val="92"/>
              </w:rPr>
              <w:t>/s/ Sherry Grisewood</w:t>
            </w:r>
          </w:p>
        </w:tc>
      </w:tr>
    </w:tbl>
    <w:p>
      <w:pPr>
        <w:spacing w:after="0" w:line="12"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Sherry Grisewood,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1492250</wp:posOffset>
            </wp:positionV>
            <wp:extent cx="726376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4127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328930</wp:posOffset>
            </wp:positionV>
            <wp:extent cx="7263765" cy="36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36195"/>
                    </a:xfrm>
                    <a:prstGeom prst="rect">
                      <a:avLst/>
                    </a:prstGeom>
                    <a:noFill/>
                  </pic:spPr>
                </pic:pic>
              </a:graphicData>
            </a:graphic>
          </wp:anchor>
        </w:drawing>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302 OF SARBANES-OXLEY ACT OF 2002</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color w:val="auto"/>
        </w:rPr>
        <w:t>I, Glynn Wilson, certify that:</w:t>
      </w:r>
    </w:p>
    <w:p>
      <w:pPr>
        <w:spacing w:after="0" w:line="235" w:lineRule="exact"/>
        <w:rPr>
          <w:sz w:val="20"/>
          <w:szCs w:val="20"/>
          <w:color w:val="auto"/>
        </w:rPr>
      </w:pPr>
    </w:p>
    <w:p>
      <w:pPr>
        <w:ind w:left="301" w:hanging="301"/>
        <w:spacing w:after="0"/>
        <w:tabs>
          <w:tab w:leader="none" w:pos="3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TapImmune Inc.;</w:t>
      </w:r>
    </w:p>
    <w:p>
      <w:pPr>
        <w:spacing w:after="0" w:line="234" w:lineRule="exact"/>
        <w:rPr>
          <w:rFonts w:ascii="Arial" w:cs="Arial" w:eastAsia="Arial" w:hAnsi="Arial"/>
          <w:sz w:val="16"/>
          <w:szCs w:val="16"/>
          <w:color w:val="auto"/>
        </w:rPr>
      </w:pPr>
    </w:p>
    <w:p>
      <w:pPr>
        <w:ind w:left="301" w:hanging="301"/>
        <w:spacing w:after="0" w:line="288" w:lineRule="auto"/>
        <w:tabs>
          <w:tab w:leader="none" w:pos="3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6"/>
          <w:szCs w:val="16"/>
          <w:color w:val="auto"/>
        </w:rPr>
      </w:pPr>
    </w:p>
    <w:p>
      <w:pPr>
        <w:ind w:left="301" w:hanging="301"/>
        <w:spacing w:after="0" w:line="288" w:lineRule="auto"/>
        <w:tabs>
          <w:tab w:leader="none" w:pos="3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301" w:hanging="301"/>
        <w:spacing w:after="0"/>
        <w:tabs>
          <w:tab w:leader="none" w:pos="301"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w:t>
      </w:r>
    </w:p>
    <w:p>
      <w:pPr>
        <w:spacing w:after="0" w:line="35" w:lineRule="exact"/>
        <w:rPr>
          <w:rFonts w:ascii="Arial" w:cs="Arial" w:eastAsia="Arial" w:hAnsi="Arial"/>
          <w:sz w:val="15"/>
          <w:szCs w:val="15"/>
          <w:color w:val="auto"/>
        </w:rPr>
      </w:pPr>
    </w:p>
    <w:p>
      <w:pPr>
        <w:ind w:left="301"/>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223" w:lineRule="exact"/>
        <w:rPr>
          <w:rFonts w:ascii="Arial" w:cs="Arial" w:eastAsia="Arial" w:hAnsi="Arial"/>
          <w:sz w:val="15"/>
          <w:szCs w:val="15"/>
          <w:color w:val="auto"/>
        </w:rPr>
      </w:pPr>
    </w:p>
    <w:p>
      <w:pPr>
        <w:jc w:val="both"/>
        <w:ind w:left="581" w:hanging="286"/>
        <w:spacing w:after="0" w:line="272" w:lineRule="auto"/>
        <w:tabs>
          <w:tab w:leader="none" w:pos="5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6"/>
          <w:szCs w:val="16"/>
          <w:color w:val="auto"/>
        </w:rPr>
      </w:pPr>
    </w:p>
    <w:p>
      <w:pPr>
        <w:jc w:val="both"/>
        <w:ind w:left="581" w:hanging="286"/>
        <w:spacing w:after="0" w:line="272" w:lineRule="auto"/>
        <w:tabs>
          <w:tab w:leader="none" w:pos="5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7" w:lineRule="exact"/>
        <w:rPr>
          <w:rFonts w:ascii="Arial" w:cs="Arial" w:eastAsia="Arial" w:hAnsi="Arial"/>
          <w:sz w:val="16"/>
          <w:szCs w:val="16"/>
          <w:color w:val="auto"/>
        </w:rPr>
      </w:pPr>
    </w:p>
    <w:p>
      <w:pPr>
        <w:ind w:left="581" w:hanging="286"/>
        <w:spacing w:after="0" w:line="288" w:lineRule="auto"/>
        <w:tabs>
          <w:tab w:leader="none" w:pos="5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4" w:lineRule="exact"/>
        <w:rPr>
          <w:rFonts w:ascii="Arial" w:cs="Arial" w:eastAsia="Arial" w:hAnsi="Arial"/>
          <w:sz w:val="16"/>
          <w:szCs w:val="16"/>
          <w:color w:val="auto"/>
        </w:rPr>
      </w:pPr>
    </w:p>
    <w:p>
      <w:pPr>
        <w:jc w:val="both"/>
        <w:ind w:left="581" w:hanging="286"/>
        <w:spacing w:after="0" w:line="272" w:lineRule="auto"/>
        <w:tabs>
          <w:tab w:leader="none" w:pos="5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6"/>
          <w:szCs w:val="16"/>
          <w:color w:val="auto"/>
        </w:rPr>
      </w:pPr>
    </w:p>
    <w:p>
      <w:pPr>
        <w:ind w:left="301" w:hanging="301"/>
        <w:spacing w:after="0" w:line="288" w:lineRule="auto"/>
        <w:tabs>
          <w:tab w:leader="none" w:pos="3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ind w:left="581" w:hanging="286"/>
        <w:spacing w:after="0" w:line="288" w:lineRule="auto"/>
        <w:tabs>
          <w:tab w:leader="none" w:pos="5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581" w:hanging="286"/>
        <w:spacing w:after="0" w:line="288" w:lineRule="auto"/>
        <w:tabs>
          <w:tab w:leader="none" w:pos="581"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6"/>
          <w:szCs w:val="16"/>
          <w:color w:val="auto"/>
        </w:rPr>
        <w:t>Date: April 14, 2014</w:t>
      </w:r>
    </w:p>
    <w:p>
      <w:pPr>
        <w:spacing w:after="0" w:line="235" w:lineRule="exact"/>
        <w:rPr>
          <w:sz w:val="20"/>
          <w:szCs w:val="20"/>
          <w:color w:val="auto"/>
        </w:rPr>
      </w:pPr>
    </w:p>
    <w:p>
      <w:pPr>
        <w:ind w:left="1"/>
        <w:spacing w:after="0"/>
        <w:tabs>
          <w:tab w:leader="none" w:pos="621"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u w:val="single" w:color="auto"/>
          <w:color w:val="auto"/>
        </w:rPr>
        <w:t>/s/ Glynn Wilson</w:t>
      </w:r>
      <w:r>
        <w:rPr>
          <w:rFonts w:ascii="Arial" w:cs="Arial" w:eastAsia="Arial" w:hAnsi="Arial"/>
          <w:sz w:val="16"/>
          <w:szCs w:val="16"/>
          <w:i w:val="1"/>
          <w:iCs w:val="1"/>
          <w:color w:val="auto"/>
        </w:rPr>
        <w:t>__</w:t>
      </w:r>
    </w:p>
    <w:p>
      <w:pPr>
        <w:spacing w:after="0" w:line="24" w:lineRule="exact"/>
        <w:rPr>
          <w:sz w:val="20"/>
          <w:szCs w:val="20"/>
          <w:color w:val="auto"/>
        </w:rPr>
      </w:pPr>
    </w:p>
    <w:p>
      <w:pPr>
        <w:ind w:left="161"/>
        <w:spacing w:after="0"/>
        <w:rPr>
          <w:sz w:val="20"/>
          <w:szCs w:val="20"/>
          <w:color w:val="auto"/>
        </w:rPr>
      </w:pPr>
      <w:r>
        <w:rPr>
          <w:rFonts w:ascii="Arial" w:cs="Arial" w:eastAsia="Arial" w:hAnsi="Arial"/>
          <w:sz w:val="16"/>
          <w:szCs w:val="16"/>
          <w:color w:val="auto"/>
        </w:rPr>
        <w:t>Glynn Wilson</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6"/>
          <w:szCs w:val="16"/>
          <w:color w:val="auto"/>
        </w:rPr>
        <w:t>Chief Executive Officer, Principal Executive Officer</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6"/>
          <w:szCs w:val="16"/>
          <w:color w:val="auto"/>
        </w:rPr>
        <w:t>and 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781050</wp:posOffset>
            </wp:positionV>
            <wp:extent cx="726376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3765" cy="412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4043045</wp:posOffset>
            </wp:positionV>
            <wp:extent cx="7263765" cy="36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36195"/>
                    </a:xfrm>
                    <a:prstGeom prst="rect">
                      <a:avLst/>
                    </a:prstGeom>
                    <a:noFill/>
                  </pic:spPr>
                </pic:pic>
              </a:graphicData>
            </a:graphic>
          </wp:anchor>
        </w:drawing>
      </w:r>
    </w:p>
    <w:p>
      <w:pPr>
        <w:sectPr>
          <w:pgSz w:w="11900" w:h="16838" w:orient="portrait"/>
          <w:cols w:equalWidth="0" w:num="1">
            <w:col w:w="11421"/>
          </w:cols>
          <w:pgMar w:left="239" w:top="64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auto"/>
        </w:rPr>
        <w:t>Exhibit 32.1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undersigned, Glynn Wilson, the Chief Executive Officer of TapImmune Inc. (the “Company”), hereby certifies, pursuant to 18 U.S.C. Section 1350, as adopted pursuant to Section 906 of the Sarbanes-Oxley Act of 2002, that, to his knowledge, the Annual Report on Form 10-K for the Year Ended December 31, 2013 fully complies with the requirements of Section 13(a) or 15(d) of the Securities Exchange Act of 1934, as amended, and that the information contained in the Annual Report on Form 10-K, as amended, fairly presents in all material respects the financial condition and results of operations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Date: April 14, 2014</w:t>
      </w:r>
    </w:p>
    <w:p>
      <w:pPr>
        <w:spacing w:after="0" w:line="235"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u w:val="single" w:color="auto"/>
          <w:color w:val="auto"/>
        </w:rPr>
        <w:t>/s/ Glynn Wilson</w:t>
      </w:r>
      <w:r>
        <w:rPr>
          <w:rFonts w:ascii="Arial" w:cs="Arial" w:eastAsia="Arial" w:hAnsi="Arial"/>
          <w:sz w:val="16"/>
          <w:szCs w:val="16"/>
          <w:i w:val="1"/>
          <w:iCs w:val="1"/>
          <w:color w:val="auto"/>
        </w:rPr>
        <w:t>_</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Glynn Wilson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Principal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and 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2893060</wp:posOffset>
            </wp:positionV>
            <wp:extent cx="726376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4127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149225</wp:posOffset>
            </wp:positionH>
            <wp:positionV relativeFrom="page">
              <wp:posOffset>328930</wp:posOffset>
            </wp:positionV>
            <wp:extent cx="7263765" cy="36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36195"/>
                    </a:xfrm>
                    <a:prstGeom prst="rect">
                      <a:avLst/>
                    </a:prstGeom>
                    <a:noFill/>
                  </pic:spPr>
                </pic:pic>
              </a:graphicData>
            </a:graphic>
          </wp:anchor>
        </w:drawing>
        <w:t>Exhibti 10.1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OPTION AGREEMENT</w:t>
      </w:r>
    </w:p>
    <w:p>
      <w:pPr>
        <w:spacing w:after="0" w:line="226" w:lineRule="exact"/>
        <w:rPr>
          <w:sz w:val="20"/>
          <w:szCs w:val="20"/>
          <w:color w:val="auto"/>
        </w:rPr>
      </w:pPr>
    </w:p>
    <w:p>
      <w:pPr>
        <w:ind w:right="240"/>
        <w:spacing w:after="0" w:line="324" w:lineRule="auto"/>
        <w:rPr>
          <w:sz w:val="20"/>
          <w:szCs w:val="20"/>
          <w:color w:val="auto"/>
        </w:rPr>
      </w:pPr>
      <w:r>
        <w:rPr>
          <w:rFonts w:ascii="Arial" w:cs="Arial" w:eastAsia="Arial" w:hAnsi="Arial"/>
          <w:sz w:val="15"/>
          <w:szCs w:val="15"/>
          <w:color w:val="auto"/>
        </w:rPr>
        <w:t>This Option Agreement (“Agreement”) is made as of March___, 2014 (“Effective Date”) by and between Ayer Special Situations Fund I ("Ayer ") and TapImmune Inc., a Nevada corporation ("TapImmune"). Ayer and TapImmune shall sometimes be referred herein to individually as a “Party” and collectively as the “Parties”.</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WHEREAS, Ayer has entered into a Technology Option Agreement with Mayo Foundation for Medical Education and Research (“Mayo”), dated __________________ (a</w:t>
      </w:r>
    </w:p>
    <w:p>
      <w:pPr>
        <w:spacing w:after="0" w:line="36"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copy of which is attached as Exhibit 1, the “Technology Option Agreement”), under which Mayo has granted Ayer an exclusive, worldwide option to become an exclusive licensee of Mayo’s rights to the Technology (as defined in the Technology Option Agreement);</w:t>
      </w:r>
    </w:p>
    <w:p>
      <w:pPr>
        <w:spacing w:after="0" w:line="185" w:lineRule="exact"/>
        <w:rPr>
          <w:sz w:val="20"/>
          <w:szCs w:val="20"/>
          <w:color w:val="auto"/>
        </w:rPr>
      </w:pPr>
    </w:p>
    <w:p>
      <w:pPr>
        <w:ind w:right="540"/>
        <w:spacing w:after="0" w:line="288" w:lineRule="auto"/>
        <w:rPr>
          <w:sz w:val="20"/>
          <w:szCs w:val="20"/>
          <w:color w:val="auto"/>
        </w:rPr>
      </w:pPr>
      <w:r>
        <w:rPr>
          <w:rFonts w:ascii="Arial" w:cs="Arial" w:eastAsia="Arial" w:hAnsi="Arial"/>
          <w:sz w:val="16"/>
          <w:szCs w:val="16"/>
          <w:color w:val="auto"/>
        </w:rPr>
        <w:t>WHEREAS, TapImmune desires to acquire an exclusive option (the “Option”) to have Ayer assign its rights and obligations under the Technology Option Agreement between Mayo and Ayer (the “Assignment”); and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WHEREAS, Ayer is willing to grant TapImmune the Option.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of the mutual covenants set forth herein, the Parties hereto agree as follows: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 1</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4"/>
          <w:szCs w:val="14"/>
          <w:color w:val="auto"/>
        </w:rPr>
        <w:t>Ayer hereby grants, and TapImmune hereby acquires, the Option.</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5"/>
          <w:szCs w:val="15"/>
          <w:color w:val="auto"/>
        </w:rPr>
        <w:t>TapImmune can exercise the Option within 150 days of the Effective Date (“Due Date”).</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color w:val="auto"/>
        </w:rPr>
        <w:t>As compensation for the Option provided to TapImmune by Ayer under this Agreement, within five business days of the Effective Date, TapImmune will issue to</w:t>
      </w:r>
      <w:r>
        <w:rPr>
          <w:rFonts w:ascii="Arial" w:cs="Arial" w:eastAsia="Arial" w:hAnsi="Arial"/>
          <w:sz w:val="16"/>
          <w:szCs w:val="16"/>
          <w:b w:val="1"/>
          <w:bCs w:val="1"/>
          <w:color w:val="auto"/>
        </w:rPr>
        <w:t xml:space="preserve"> </w:t>
      </w:r>
      <w:r>
        <w:rPr>
          <w:rFonts w:ascii="Arial" w:cs="Arial" w:eastAsia="Arial" w:hAnsi="Arial"/>
          <w:sz w:val="16"/>
          <w:szCs w:val="16"/>
          <w:color w:val="auto"/>
        </w:rPr>
        <w:t>Ayer a share purchase warrant to purchase One Hundred Thousand (100,000) shares of TapImmune’s common stock at a price of $4.00 per share for a five year term, which warrants shall substantially be in the for attached as Exhibit 2.</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Ayer/TapImmune Option Agreement 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20"/>
          </w:cols>
          <w:pgMar w:left="240" w:top="632" w:right="239" w:bottom="1440" w:gutter="0" w:footer="0" w:header="0"/>
        </w:sectPr>
      </w:pPr>
    </w:p>
    <w:bookmarkStart w:id="74" w:name="page75"/>
    <w:bookmarkEnd w:id="74"/>
    <w:p>
      <w:pPr>
        <w:ind w:left="1" w:firstLine="591"/>
        <w:spacing w:after="0" w:line="294"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color w:val="auto"/>
        </w:rPr>
        <w:t>If TapImmune exercises the Option and the Assignment is completed, within 5 business days of the date of the completion of the Assignment, TapImmune</w:t>
      </w:r>
      <w:r>
        <w:rPr>
          <w:rFonts w:ascii="Arial" w:cs="Arial" w:eastAsia="Arial" w:hAnsi="Arial"/>
          <w:sz w:val="16"/>
          <w:szCs w:val="16"/>
          <w:b w:val="1"/>
          <w:bCs w:val="1"/>
          <w:color w:val="auto"/>
        </w:rPr>
        <w:t xml:space="preserve"> </w:t>
      </w:r>
      <w:r>
        <w:rPr>
          <w:rFonts w:ascii="Arial" w:cs="Arial" w:eastAsia="Arial" w:hAnsi="Arial"/>
          <w:sz w:val="16"/>
          <w:szCs w:val="16"/>
          <w:color w:val="auto"/>
        </w:rPr>
        <w:t>shall pay as additional compensation:</w:t>
      </w:r>
    </w:p>
    <w:p>
      <w:pPr>
        <w:spacing w:after="0" w:line="169" w:lineRule="exact"/>
        <w:rPr>
          <w:sz w:val="20"/>
          <w:szCs w:val="20"/>
          <w:color w:val="auto"/>
        </w:rPr>
      </w:pPr>
    </w:p>
    <w:p>
      <w:pPr>
        <w:ind w:left="1" w:hanging="1"/>
        <w:spacing w:after="0" w:line="284" w:lineRule="auto"/>
        <w:tabs>
          <w:tab w:leader="none" w:pos="608" w:val="left"/>
        </w:tabs>
        <w:numPr>
          <w:ilvl w:val="0"/>
          <w:numId w:val="18"/>
        </w:numPr>
        <w:rPr>
          <w:rFonts w:ascii="Arial" w:cs="Arial" w:eastAsia="Arial" w:hAnsi="Arial"/>
          <w:sz w:val="15"/>
          <w:szCs w:val="15"/>
          <w:color w:val="auto"/>
        </w:rPr>
      </w:pPr>
      <w:r>
        <w:rPr>
          <w:rFonts w:ascii="Arial" w:cs="Arial" w:eastAsia="Arial" w:hAnsi="Arial"/>
          <w:sz w:val="15"/>
          <w:szCs w:val="15"/>
          <w:color w:val="auto"/>
        </w:rPr>
        <w:t>at Ayer’s sole option, (a) a share purchase warrant to purchase One Hundred Thousand (100,000) shares of TapImmune common stock at a price of $4.00 per share for a five-year term (such warrants to substantially be in the form attached as Exhibit 2) or (b) grant to Ayer a on all Licensed Products, as defined in the Mayo-Ayer Technology Option Agreement, equal to 25% of the royalties that Mayo is to receive under the license agreement entered into under Section 2.4 of the Mayo-Ayer Technology Option Agreement. The royalty definition and calculation shall be identical to (and in addition to) that in the Technology Option Agreement and payments due under royalties shall be paid concurrent with any royalties paid to Mayo. In the event additional agreements or approvals need to be executed in order to pay Ayer its royalty, TapImmune shall use commercially reasonable efforts to complete and approve any such agreements or approvals ; and</w:t>
      </w:r>
    </w:p>
    <w:p>
      <w:pPr>
        <w:spacing w:after="0" w:line="179" w:lineRule="exact"/>
        <w:rPr>
          <w:rFonts w:ascii="Arial" w:cs="Arial" w:eastAsia="Arial" w:hAnsi="Arial"/>
          <w:sz w:val="15"/>
          <w:szCs w:val="15"/>
          <w:color w:val="auto"/>
        </w:rPr>
      </w:pPr>
    </w:p>
    <w:p>
      <w:pPr>
        <w:jc w:val="both"/>
        <w:ind w:left="1" w:right="280" w:hanging="1"/>
        <w:spacing w:after="0" w:line="272" w:lineRule="auto"/>
        <w:tabs>
          <w:tab w:leader="none" w:pos="653"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amount equal to all payments made by Ayer to Mayo under Section 2.3 of the Mayo-Ayer Technology Option Agreement in, at Ayer’s sole option, either (a) cash or (b) an amount equal to all payments made by Ayer to Mayo under Section 2.3 shares of unregistered TapImmune common stock equal to such amount divided by $4.00.</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Article 2</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Representations, Warranties and Covenants</w:t>
      </w:r>
    </w:p>
    <w:p>
      <w:pPr>
        <w:spacing w:after="0" w:line="220" w:lineRule="exact"/>
        <w:rPr>
          <w:sz w:val="20"/>
          <w:szCs w:val="20"/>
          <w:color w:val="auto"/>
        </w:rPr>
      </w:pPr>
    </w:p>
    <w:p>
      <w:pPr>
        <w:ind w:left="1"/>
        <w:spacing w:after="0"/>
        <w:tabs>
          <w:tab w:leader="none" w:pos="641"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4"/>
          <w:szCs w:val="14"/>
          <w:color w:val="auto"/>
        </w:rPr>
        <w:t>TapImmune represents, warrants and covenants to Ayer:</w:t>
      </w:r>
    </w:p>
    <w:p>
      <w:pPr>
        <w:spacing w:after="0" w:line="239" w:lineRule="exact"/>
        <w:rPr>
          <w:sz w:val="20"/>
          <w:szCs w:val="20"/>
          <w:color w:val="auto"/>
        </w:rPr>
      </w:pPr>
    </w:p>
    <w:p>
      <w:pPr>
        <w:ind w:left="1" w:right="40" w:firstLine="590"/>
        <w:spacing w:after="0" w:line="272" w:lineRule="auto"/>
        <w:tabs>
          <w:tab w:leader="none" w:pos="119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Agreement and the actions to be undertaken by TapImmune hereunder (including the issuance of the warrants and the shares of common stock underlying the warrants set out in Section 1.3.1 and the shares set out in section 1.3.2) have been duly authorized by TapImmune’s board of directors and, the securities to be issued hereunder, when issued pursuant to the terms of this Agreement, shall be validly issued;</w:t>
      </w:r>
    </w:p>
    <w:p>
      <w:pPr>
        <w:spacing w:after="0" w:line="183" w:lineRule="exact"/>
        <w:rPr>
          <w:sz w:val="20"/>
          <w:szCs w:val="20"/>
          <w:color w:val="auto"/>
        </w:rPr>
      </w:pPr>
    </w:p>
    <w:p>
      <w:pPr>
        <w:ind w:left="1"/>
        <w:spacing w:after="0"/>
        <w:tabs>
          <w:tab w:leader="none" w:pos="621"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4"/>
          <w:szCs w:val="14"/>
          <w:color w:val="auto"/>
        </w:rPr>
        <w:t>Ayer represents, warrants and covenants to TapImmune:</w:t>
      </w:r>
    </w:p>
    <w:p>
      <w:pPr>
        <w:spacing w:after="0" w:line="239" w:lineRule="exact"/>
        <w:rPr>
          <w:sz w:val="20"/>
          <w:szCs w:val="20"/>
          <w:color w:val="auto"/>
        </w:rPr>
      </w:pPr>
    </w:p>
    <w:p>
      <w:pPr>
        <w:ind w:left="1201" w:hanging="610"/>
        <w:spacing w:after="0"/>
        <w:tabs>
          <w:tab w:leader="none" w:pos="1201"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this Agreement and the actions to be undertaken by Ayer hereunder (including the Assignment) have been duly authorized by Ayer’s Managing Member;</w:t>
      </w:r>
    </w:p>
    <w:p>
      <w:pPr>
        <w:spacing w:after="0" w:line="246" w:lineRule="exact"/>
        <w:rPr>
          <w:rFonts w:ascii="Arial" w:cs="Arial" w:eastAsia="Arial" w:hAnsi="Arial"/>
          <w:sz w:val="15"/>
          <w:szCs w:val="15"/>
          <w:color w:val="auto"/>
        </w:rPr>
      </w:pPr>
    </w:p>
    <w:p>
      <w:pPr>
        <w:ind w:left="1" w:right="620" w:firstLine="590"/>
        <w:spacing w:after="0" w:line="288" w:lineRule="auto"/>
        <w:tabs>
          <w:tab w:leader="none" w:pos="1236" w:val="left"/>
        </w:tabs>
        <w:numPr>
          <w:ilvl w:val="0"/>
          <w:numId w:val="20"/>
        </w:numPr>
        <w:rPr>
          <w:rFonts w:ascii="Arial" w:cs="Arial" w:eastAsia="Arial" w:hAnsi="Arial"/>
          <w:sz w:val="16"/>
          <w:szCs w:val="16"/>
          <w:color w:val="auto"/>
        </w:rPr>
      </w:pPr>
      <w:r>
        <w:rPr>
          <w:rFonts w:ascii="Arial" w:cs="Arial" w:eastAsia="Arial" w:hAnsi="Arial"/>
          <w:sz w:val="16"/>
          <w:szCs w:val="16"/>
          <w:color w:val="auto"/>
        </w:rPr>
        <w:t>Ayer will use commercially reasonable efforts to have Mayo consent to the Assignment and will take commercially reasonable efforts required to effectuate the Assignment; and</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Ayer/TapImmune Option Agreement 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01"/>
          </w:cols>
          <w:pgMar w:left="239" w:top="480" w:right="25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Article 3</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of this Agreement</w:t>
      </w:r>
    </w:p>
    <w:p>
      <w:pPr>
        <w:spacing w:after="0" w:line="220" w:lineRule="exact"/>
        <w:rPr>
          <w:sz w:val="20"/>
          <w:szCs w:val="20"/>
          <w:color w:val="auto"/>
        </w:rPr>
      </w:pPr>
    </w:p>
    <w:p>
      <w:pPr>
        <w:ind w:right="700" w:firstLine="591"/>
        <w:spacing w:after="0" w:line="294"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color w:val="auto"/>
        </w:rPr>
        <w:t>This Agreement will only be terminated if (i) Ayer receives written notice from TapImmune declining to exercise the Option granted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(ii) TapImmune’s failure to exercise the Option by the end of the Due Date.</w:t>
      </w:r>
    </w:p>
    <w:p>
      <w:pPr>
        <w:spacing w:after="0" w:line="165" w:lineRule="exact"/>
        <w:rPr>
          <w:sz w:val="20"/>
          <w:szCs w:val="20"/>
          <w:color w:val="auto"/>
        </w:rPr>
      </w:pPr>
    </w:p>
    <w:p>
      <w:pPr>
        <w:ind w:right="240" w:firstLine="591"/>
        <w:spacing w:after="0" w:line="294"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color w:val="auto"/>
        </w:rPr>
        <w:t>Material breach of any of the terms of this Agreement by a Party to this Agreement, which if not cured by the Party in breach within thirty (30) days of</w:t>
      </w:r>
      <w:r>
        <w:rPr>
          <w:rFonts w:ascii="Arial" w:cs="Arial" w:eastAsia="Arial" w:hAnsi="Arial"/>
          <w:sz w:val="16"/>
          <w:szCs w:val="16"/>
          <w:b w:val="1"/>
          <w:bCs w:val="1"/>
          <w:color w:val="auto"/>
        </w:rPr>
        <w:t xml:space="preserve"> </w:t>
      </w:r>
      <w:r>
        <w:rPr>
          <w:rFonts w:ascii="Arial" w:cs="Arial" w:eastAsia="Arial" w:hAnsi="Arial"/>
          <w:sz w:val="16"/>
          <w:szCs w:val="16"/>
          <w:color w:val="auto"/>
        </w:rPr>
        <w:t>receiving a written notice from the other Party informing about such material breach.</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 4</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Miscellaneous</w:t>
      </w:r>
    </w:p>
    <w:p>
      <w:pPr>
        <w:spacing w:after="0" w:line="220" w:lineRule="exact"/>
        <w:rPr>
          <w:sz w:val="20"/>
          <w:szCs w:val="20"/>
          <w:color w:val="auto"/>
        </w:rPr>
      </w:pPr>
    </w:p>
    <w:p>
      <w:pPr>
        <w:ind w:right="440"/>
        <w:spacing w:after="0" w:line="294"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this Agreement nor any of the rights or obligations of either Party under the Agreement may be assigned by a Party without the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of the other Party, not to be unreasonably withheld.</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5"/>
          <w:szCs w:val="15"/>
          <w:b w:val="1"/>
          <w:bCs w:val="1"/>
          <w:u w:val="single" w:color="auto"/>
          <w:color w:val="auto"/>
        </w:rPr>
        <w:t>Survival</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The obligations of Sections 1.3 and 3 will survive the expiration of this Agreement.</w:t>
      </w:r>
    </w:p>
    <w:p>
      <w:pPr>
        <w:spacing w:after="0" w:line="235" w:lineRule="exact"/>
        <w:rPr>
          <w:sz w:val="20"/>
          <w:szCs w:val="20"/>
          <w:color w:val="auto"/>
        </w:rPr>
      </w:pPr>
    </w:p>
    <w:p>
      <w:pPr>
        <w:ind w:right="200" w:firstLine="591"/>
        <w:spacing w:after="0" w:line="269"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u w:val="single" w:color="auto"/>
          <w:color w:val="auto"/>
        </w:rPr>
        <w:t>Waiver</w:t>
      </w:r>
      <w:r>
        <w:rPr>
          <w:rFonts w:ascii="Arial" w:cs="Arial" w:eastAsia="Arial" w:hAnsi="Arial"/>
          <w:sz w:val="16"/>
          <w:szCs w:val="16"/>
          <w:b w:val="1"/>
          <w:bCs w:val="1"/>
          <w:color w:val="auto"/>
        </w:rPr>
        <w:t xml:space="preserve">: </w:t>
      </w:r>
      <w:r>
        <w:rPr>
          <w:rFonts w:ascii="Arial" w:cs="Arial" w:eastAsia="Arial" w:hAnsi="Arial"/>
          <w:sz w:val="16"/>
          <w:szCs w:val="16"/>
          <w:color w:val="auto"/>
        </w:rPr>
        <w:t>The failure of either Party to insist at any time upon the strict observance or performance of any of the provisions of the Agreement, or to</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any right or remedy as provided in this Agreement, will not impair any such right or remedy and will not be construed to be a waiver or relinquishment. Furthermore, no waiver or any provision of this Agreement by either Party will be construed as a waiver of any other provision or as a waiver of the same provision at any subsequent time.</w:t>
      </w:r>
    </w:p>
    <w:p>
      <w:pPr>
        <w:spacing w:after="0" w:line="185"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constitutes the entire agreement between the Parties and supersedes all prior or contemporaneous oral and written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proposals and discussions relating to the same subject matter. The Agreement may be amended only in writing and signed by each of the Parties.</w:t>
      </w:r>
    </w:p>
    <w:p>
      <w:pPr>
        <w:spacing w:after="0" w:line="165"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u w:val="single" w:color="auto"/>
          <w:color w:val="auto"/>
        </w:rPr>
        <w:t>Integration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any number of counterparts, each of which will be considered as an original and all of which together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one and the same instrument.</w:t>
      </w:r>
    </w:p>
    <w:p>
      <w:pPr>
        <w:spacing w:after="0" w:line="165"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any terms or conditions of this Agreement are or become in conflict with the laws, regulations or court order of any jurisdiction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entity having jurisdiction over the Parties, those terms and conditions will be deemed automatically deleted in such jurisdiction(s) only, and the remaining terms and conditions of this Agreement will remain in full force and effect.</w:t>
      </w:r>
    </w:p>
    <w:p>
      <w:pPr>
        <w:spacing w:after="0" w:line="18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b w:val="1"/>
          <w:bCs w:val="1"/>
          <w:u w:val="single" w:color="auto"/>
          <w:color w:val="auto"/>
        </w:rPr>
        <w:t>Independent Contractors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are independent contractors, and this Agreement does not create any agency, joint venture, partnership, or any other joint</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relationship between the two.</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4.8</w:t>
      </w:r>
      <w:r>
        <w:rPr>
          <w:sz w:val="20"/>
          <w:szCs w:val="20"/>
          <w:color w:val="auto"/>
        </w:rPr>
        <w:tab/>
      </w:r>
      <w:r>
        <w:rPr>
          <w:rFonts w:ascii="Arial" w:cs="Arial" w:eastAsia="Arial" w:hAnsi="Arial"/>
          <w:sz w:val="15"/>
          <w:szCs w:val="15"/>
          <w:b w:val="1"/>
          <w:bCs w:val="1"/>
          <w:u w:val="single" w:color="auto"/>
          <w:color w:val="auto"/>
        </w:rPr>
        <w:t>Notices</w:t>
      </w:r>
      <w:r>
        <w:rPr>
          <w:rFonts w:ascii="Arial" w:cs="Arial" w:eastAsia="Arial" w:hAnsi="Arial"/>
          <w:sz w:val="15"/>
          <w:szCs w:val="15"/>
          <w:color w:val="auto"/>
        </w:rPr>
        <w:t>: Any notice required to be given under this Agreement is properly provided if in writing and sent to the Party at its address, facsimile number or E-mail</w:t>
      </w:r>
    </w:p>
    <w:p>
      <w:pPr>
        <w:spacing w:after="0" w:line="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given below, or as otherwise designated by the Parties from time to time in accordance with this provision, and duly given or made: (a) on the date delivered in person; (b) on the date transmitted by facsimile or E-mail, if confirmation is received; (c) three (3) days after deposit in the mail if sent by certified U.S. mail postage prepaid, return receipt requested; and (d) one day after deposit with a nationally recognized overnight carrier service with charges prepaid.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Ayer/TapImmune Option Agreement 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00"/>
          </w:cols>
          <w:pgMar w:left="240" w:top="480" w:right="25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auto"/>
        </w:rPr>
        <w:t>Ayer Special Situations Fund I</w:t>
      </w:r>
      <w:r>
        <w:rPr>
          <w:rFonts w:ascii="Arial" w:cs="Arial" w:eastAsia="Arial" w:hAnsi="Arial"/>
          <w:sz w:val="16"/>
          <w:szCs w:val="16"/>
          <w:b w:val="1"/>
          <w:bCs w:val="1"/>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Ayer Capital Management, LP</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616 Corporate Way, Suite 2-4931</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Valley Cottage, NY 10989</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Attention: Dr. Jay Venkatesan: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E-mail: jrv@ayercapital.com</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TapImmune</w:t>
      </w:r>
      <w:r>
        <w:rPr>
          <w:rFonts w:ascii="Arial" w:cs="Arial" w:eastAsia="Arial" w:hAnsi="Arial"/>
          <w:sz w:val="16"/>
          <w:szCs w:val="16"/>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Dr. Glynn Wilson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1551 Eastlake Avenue East, Suite 100</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Seattle, WA 98102</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With a copy to</w:t>
      </w:r>
      <w:r>
        <w:rPr>
          <w:rFonts w:ascii="Arial" w:cs="Arial" w:eastAsia="Arial" w:hAnsi="Arial"/>
          <w:sz w:val="16"/>
          <w:szCs w:val="16"/>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Sanders Ortoli Vaughn-Flam Rosenstadt LLP</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Attn: William S. Rosenstadt</w:t>
      </w:r>
    </w:p>
    <w:p>
      <w:pPr>
        <w:spacing w:after="0" w:line="202" w:lineRule="auto"/>
        <w:rPr>
          <w:sz w:val="20"/>
          <w:szCs w:val="20"/>
          <w:color w:val="auto"/>
        </w:rPr>
      </w:pPr>
      <w:r>
        <w:rPr>
          <w:rFonts w:ascii="Arial" w:cs="Arial" w:eastAsia="Arial" w:hAnsi="Arial"/>
          <w:sz w:val="16"/>
          <w:szCs w:val="16"/>
          <w:color w:val="auto"/>
        </w:rPr>
        <w:t>501 Madison Avenue – 14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w:t>
      </w:r>
    </w:p>
    <w:p>
      <w:pPr>
        <w:spacing w:after="0"/>
        <w:rPr>
          <w:sz w:val="20"/>
          <w:szCs w:val="20"/>
          <w:color w:val="auto"/>
        </w:rPr>
      </w:pPr>
      <w:r>
        <w:rPr>
          <w:rFonts w:ascii="Arial" w:cs="Arial" w:eastAsia="Arial" w:hAnsi="Arial"/>
          <w:sz w:val="16"/>
          <w:szCs w:val="16"/>
          <w:color w:val="auto"/>
        </w:rPr>
        <w:t>New York, NY 10022</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wsr@sovrlaw.com</w:t>
      </w:r>
    </w:p>
    <w:p>
      <w:pPr>
        <w:spacing w:after="0" w:line="220" w:lineRule="exact"/>
        <w:rPr>
          <w:sz w:val="20"/>
          <w:szCs w:val="20"/>
          <w:color w:val="auto"/>
        </w:rPr>
      </w:pPr>
    </w:p>
    <w:p>
      <w:pPr>
        <w:ind w:firstLine="591"/>
        <w:spacing w:after="0" w:line="294" w:lineRule="auto"/>
        <w:rPr>
          <w:sz w:val="20"/>
          <w:szCs w:val="20"/>
          <w:color w:val="auto"/>
        </w:rPr>
      </w:pPr>
      <w:r>
        <w:rPr>
          <w:rFonts w:ascii="Arial" w:cs="Arial" w:eastAsia="Arial" w:hAnsi="Arial"/>
          <w:sz w:val="16"/>
          <w:szCs w:val="16"/>
          <w:b w:val="1"/>
          <w:bCs w:val="1"/>
          <w:color w:val="auto"/>
        </w:rPr>
        <w:t xml:space="preserve">4.9 </w:t>
      </w: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its effects are subject to and will be construed and enforced in accordance with the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New York, without regard to its conflict of laws and choice of law provisions.</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[Signature Page Follows]</w:t>
      </w:r>
    </w:p>
    <w:p>
      <w:pPr>
        <w:spacing w:after="0" w:line="37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Ayer/TapImmune Option Agreement 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260"/>
          </w:cols>
          <w:pgMar w:left="240" w:top="480" w:right="399" w:bottom="1440" w:gutter="0" w:footer="0" w:header="0"/>
        </w:sectPr>
      </w:pPr>
    </w:p>
    <w:bookmarkStart w:id="77" w:name="page78"/>
    <w:bookmarkEnd w:id="77"/>
    <w:p>
      <w:pPr>
        <w:spacing w:after="0" w:line="294" w:lineRule="auto"/>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each of Ayer and TapImmune have caused this Agreement to be executed on its behalf by its duly authorized representative as of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w:t>
      </w:r>
    </w:p>
    <w:p>
      <w:pPr>
        <w:spacing w:after="0" w:line="165" w:lineRule="exact"/>
        <w:rPr>
          <w:sz w:val="20"/>
          <w:szCs w:val="20"/>
          <w:color w:val="auto"/>
        </w:rPr>
      </w:pPr>
    </w:p>
    <w:p>
      <w:pPr>
        <w:spacing w:after="0"/>
        <w:tabs>
          <w:tab w:leader="none" w:pos="2320" w:val="left"/>
        </w:tabs>
        <w:rPr>
          <w:sz w:val="20"/>
          <w:szCs w:val="20"/>
          <w:color w:val="auto"/>
        </w:rPr>
      </w:pPr>
      <w:r>
        <w:rPr>
          <w:rFonts w:ascii="Arial" w:cs="Arial" w:eastAsia="Arial" w:hAnsi="Arial"/>
          <w:sz w:val="16"/>
          <w:szCs w:val="16"/>
          <w:b w:val="1"/>
          <w:bCs w:val="1"/>
          <w:color w:val="auto"/>
        </w:rPr>
        <w:t>Ayer Special Situations Fund I</w:t>
      </w:r>
      <w:r>
        <w:rPr>
          <w:sz w:val="20"/>
          <w:szCs w:val="20"/>
          <w:color w:val="auto"/>
        </w:rPr>
        <w:tab/>
      </w:r>
      <w:r>
        <w:rPr>
          <w:rFonts w:ascii="Arial" w:cs="Arial" w:eastAsia="Arial" w:hAnsi="Arial"/>
          <w:sz w:val="15"/>
          <w:szCs w:val="15"/>
          <w:b w:val="1"/>
          <w:bCs w:val="1"/>
          <w:color w:val="auto"/>
        </w:rPr>
        <w:t>TapImmune Inc.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20"/>
                <w:szCs w:val="20"/>
                <w:color w:val="auto"/>
              </w:rPr>
            </w:pPr>
            <w:r>
              <w:rPr>
                <w:rFonts w:ascii="Arial" w:cs="Arial" w:eastAsia="Arial" w:hAnsi="Arial"/>
                <w:sz w:val="16"/>
                <w:szCs w:val="16"/>
                <w:color w:val="auto"/>
              </w:rPr>
              <w:t>By:</w:t>
            </w:r>
          </w:p>
        </w:tc>
        <w:tc>
          <w:tcPr>
            <w:tcW w:w="308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color w:val="auto"/>
              </w:rPr>
              <w:t>/s/ Jay Venkatesan</w:t>
            </w:r>
          </w:p>
        </w:tc>
      </w:tr>
      <w:tr>
        <w:trPr>
          <w:trHeight w:val="213"/>
        </w:trPr>
        <w:tc>
          <w:tcPr>
            <w:tcW w:w="3360" w:type="dxa"/>
            <w:vAlign w:val="bottom"/>
            <w:gridSpan w:val="3"/>
          </w:tcPr>
          <w:p>
            <w:pPr>
              <w:spacing w:after="0"/>
              <w:rPr>
                <w:sz w:val="20"/>
                <w:szCs w:val="20"/>
                <w:color w:val="auto"/>
              </w:rPr>
            </w:pPr>
            <w:r>
              <w:rPr>
                <w:rFonts w:ascii="Arial" w:cs="Arial" w:eastAsia="Arial" w:hAnsi="Arial"/>
                <w:sz w:val="16"/>
                <w:szCs w:val="16"/>
                <w:color w:val="auto"/>
              </w:rPr>
              <w:t>Name: Jay Venkatesan</w:t>
            </w:r>
          </w:p>
        </w:tc>
      </w:tr>
      <w:tr>
        <w:trPr>
          <w:trHeight w:val="358"/>
        </w:trPr>
        <w:tc>
          <w:tcPr>
            <w:tcW w:w="280" w:type="dxa"/>
            <w:vAlign w:val="bottom"/>
          </w:tcPr>
          <w:p>
            <w:pPr>
              <w:spacing w:after="0"/>
              <w:rPr>
                <w:sz w:val="20"/>
                <w:szCs w:val="20"/>
                <w:color w:val="auto"/>
              </w:rPr>
            </w:pPr>
            <w:r>
              <w:rPr>
                <w:rFonts w:ascii="Arial" w:cs="Arial" w:eastAsia="Arial" w:hAnsi="Arial"/>
                <w:sz w:val="16"/>
                <w:szCs w:val="16"/>
                <w:color w:val="auto"/>
              </w:rPr>
              <w:t>By:</w:t>
            </w:r>
          </w:p>
        </w:tc>
        <w:tc>
          <w:tcPr>
            <w:tcW w:w="23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/s/Glynn Wilson</w:t>
            </w:r>
          </w:p>
        </w:tc>
        <w:tc>
          <w:tcPr>
            <w:tcW w:w="780" w:type="dxa"/>
            <w:vAlign w:val="bottom"/>
          </w:tcPr>
          <w:p>
            <w:pPr>
              <w:spacing w:after="0"/>
              <w:rPr>
                <w:sz w:val="24"/>
                <w:szCs w:val="24"/>
                <w:color w:val="auto"/>
              </w:rPr>
            </w:pPr>
          </w:p>
        </w:tc>
      </w:tr>
    </w:tbl>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Name: Glynn Wilson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Ayer/TapImmune Option Agreement 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-65405</wp:posOffset>
            </wp:positionV>
            <wp:extent cx="726376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41275"/>
                    </a:xfrm>
                    <a:prstGeom prst="rect">
                      <a:avLst/>
                    </a:prstGeom>
                    <a:noFill/>
                  </pic:spPr>
                </pic:pic>
              </a:graphicData>
            </a:graphic>
          </wp:anchor>
        </w:drawing>
      </w:r>
    </w:p>
    <w:sectPr>
      <w:pgSz w:w="11900" w:h="16838" w:orient="portrait"/>
      <w:cols w:equalWidth="0" w:num="1">
        <w:col w:w="11280"/>
      </w:cols>
      <w:pgMar w:left="240" w:top="4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lvl w:ilvl="1">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lowerRoman"/>
      <w:start w:val="2"/>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lowerRoman"/>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2020-01-26T17:54:28Z</dcterms:created>
  <dcterms:modified xsi:type="dcterms:W3CDTF">2020-01-26T17:54:28Z</dcterms:modified>
</cp:coreProperties>
</file>