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As filed with the U.S. Securities and Exchange Commission on December 23, 2022.</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ind w:left="500"/>
        <w:spacing w:after="0" w:line="219"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459"/>
        <w:spacing w:after="0" w:line="217"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77470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t>FORM S-1</w:t>
      </w:r>
      <w:r>
        <w:rPr>
          <w:rFonts w:ascii="Times New Roman" w:cs="Times New Roman" w:eastAsia="Times New Roman" w:hAnsi="Times New Roman"/>
          <w:sz w:val="16"/>
          <w:szCs w:val="16"/>
          <w:b w:val="1"/>
          <w:bCs w:val="1"/>
          <w:color w:val="auto"/>
        </w:rPr>
        <w:t>​</w:t>
      </w:r>
    </w:p>
    <w:p>
      <w:pPr>
        <w:spacing w:after="0" w:line="4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ind w:left="5060"/>
        <w:spacing w:after="0" w:line="214" w:lineRule="auto"/>
        <w:rPr>
          <w:sz w:val="20"/>
          <w:szCs w:val="20"/>
          <w:color w:val="auto"/>
        </w:rPr>
      </w:pPr>
      <w:r>
        <w:rPr>
          <w:rFonts w:ascii="Times New Roman" w:cs="Times New Roman" w:eastAsia="Times New Roman" w:hAnsi="Times New Roman"/>
          <w:sz w:val="16"/>
          <w:szCs w:val="16"/>
          <w:b w:val="1"/>
          <w:bCs w:val="1"/>
          <w:color w:val="auto"/>
        </w:rPr>
        <w:t>UNDER</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MARKER THERAPEUTICS, INC.</w:t>
      </w:r>
    </w:p>
    <w:p>
      <w:pPr>
        <w:spacing w:after="0" w:line="2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73660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4"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2120" w:type="dxa"/>
            <w:vAlign w:val="bottom"/>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45-4497941</w:t>
            </w:r>
          </w:p>
        </w:tc>
        <w:tc>
          <w:tcPr>
            <w:tcW w:w="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40" w:type="dxa"/>
            <w:vAlign w:val="bottom"/>
          </w:tcPr>
          <w:p>
            <w:pPr>
              <w:spacing w:after="0"/>
              <w:rPr>
                <w:sz w:val="14"/>
                <w:szCs w:val="14"/>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760" w:type="dxa"/>
            <w:vAlign w:val="bottom"/>
          </w:tcPr>
          <w:p>
            <w:pPr>
              <w:spacing w:after="0"/>
              <w:rPr>
                <w:sz w:val="14"/>
                <w:szCs w:val="14"/>
                <w:color w:val="auto"/>
              </w:rPr>
            </w:pPr>
          </w:p>
        </w:tc>
        <w:tc>
          <w:tcPr>
            <w:tcW w:w="25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9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54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2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25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Classification Code Number)</w:t>
            </w: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540" w:type="dxa"/>
            <w:vAlign w:val="bottom"/>
          </w:tcPr>
          <w:p>
            <w:pPr>
              <w:spacing w:after="0"/>
              <w:rPr>
                <w:sz w:val="18"/>
                <w:szCs w:val="18"/>
                <w:color w:val="auto"/>
              </w:rPr>
            </w:pPr>
          </w:p>
        </w:tc>
      </w:tr>
      <w:tr>
        <w:trPr>
          <w:trHeight w:val="303"/>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4551 Kennedy Commerce Dr.</w:t>
            </w:r>
          </w:p>
        </w:tc>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2"/>
        </w:trPr>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6"/>
              </w:rPr>
              <w:t>Houston, Texas 77027</w:t>
            </w: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12"/>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(713) 400-6400</w:t>
            </w:r>
          </w:p>
        </w:tc>
        <w:tc>
          <w:tcPr>
            <w:tcW w:w="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79375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Peter Hoang</w:t>
      </w:r>
    </w:p>
    <w:p>
      <w:pPr>
        <w:ind w:left="3780"/>
        <w:spacing w:after="0" w:line="211" w:lineRule="auto"/>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ind w:left="4460"/>
        <w:spacing w:after="0" w:line="211" w:lineRule="auto"/>
        <w:rPr>
          <w:sz w:val="20"/>
          <w:szCs w:val="20"/>
          <w:color w:val="auto"/>
        </w:rPr>
      </w:pPr>
      <w:r>
        <w:rPr>
          <w:rFonts w:ascii="Times New Roman" w:cs="Times New Roman" w:eastAsia="Times New Roman" w:hAnsi="Times New Roman"/>
          <w:sz w:val="16"/>
          <w:szCs w:val="16"/>
          <w:b w:val="1"/>
          <w:bCs w:val="1"/>
          <w:color w:val="auto"/>
        </w:rPr>
        <w:t>Marker Therapeutics, Inc.</w:t>
      </w:r>
    </w:p>
    <w:p>
      <w:pPr>
        <w:ind w:left="4360"/>
        <w:spacing w:after="0" w:line="211" w:lineRule="auto"/>
        <w:rPr>
          <w:sz w:val="20"/>
          <w:szCs w:val="20"/>
          <w:color w:val="auto"/>
        </w:rPr>
      </w:pPr>
      <w:r>
        <w:rPr>
          <w:rFonts w:ascii="Times New Roman" w:cs="Times New Roman" w:eastAsia="Times New Roman" w:hAnsi="Times New Roman"/>
          <w:sz w:val="16"/>
          <w:szCs w:val="16"/>
          <w:b w:val="1"/>
          <w:bCs w:val="1"/>
          <w:color w:val="auto"/>
        </w:rPr>
        <w:t>4551 Kennedy Commerce Dr.</w:t>
      </w:r>
    </w:p>
    <w:p>
      <w:pPr>
        <w:ind w:left="4620"/>
        <w:spacing w:after="0" w:line="212" w:lineRule="auto"/>
        <w:rPr>
          <w:sz w:val="20"/>
          <w:szCs w:val="20"/>
          <w:color w:val="auto"/>
        </w:rPr>
      </w:pPr>
      <w:r>
        <w:rPr>
          <w:rFonts w:ascii="Times New Roman" w:cs="Times New Roman" w:eastAsia="Times New Roman" w:hAnsi="Times New Roman"/>
          <w:sz w:val="16"/>
          <w:szCs w:val="16"/>
          <w:b w:val="1"/>
          <w:bCs w:val="1"/>
          <w:color w:val="auto"/>
        </w:rPr>
        <w:t>Houston, Texas 77027</w:t>
      </w:r>
    </w:p>
    <w:p>
      <w:pPr>
        <w:ind w:left="4880"/>
        <w:spacing w:after="0"/>
        <w:rPr>
          <w:sz w:val="20"/>
          <w:szCs w:val="20"/>
          <w:color w:val="auto"/>
        </w:rPr>
      </w:pPr>
      <w:r>
        <w:rPr>
          <w:rFonts w:ascii="Times New Roman" w:cs="Times New Roman" w:eastAsia="Times New Roman" w:hAnsi="Times New Roman"/>
          <w:sz w:val="16"/>
          <w:szCs w:val="16"/>
          <w:b w:val="1"/>
          <w:bCs w:val="1"/>
          <w:color w:val="auto"/>
        </w:rPr>
        <w:t>(713) 400-6400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Madison A. Jones</w:t>
      </w:r>
    </w:p>
    <w:p>
      <w:pPr>
        <w:ind w:left="4840"/>
        <w:spacing w:after="0" w:line="211" w:lineRule="auto"/>
        <w:rPr>
          <w:sz w:val="20"/>
          <w:szCs w:val="20"/>
          <w:color w:val="auto"/>
        </w:rPr>
      </w:pPr>
      <w:r>
        <w:rPr>
          <w:rFonts w:ascii="Times New Roman" w:cs="Times New Roman" w:eastAsia="Times New Roman" w:hAnsi="Times New Roman"/>
          <w:sz w:val="16"/>
          <w:szCs w:val="16"/>
          <w:b w:val="1"/>
          <w:bCs w:val="1"/>
          <w:color w:val="auto"/>
        </w:rPr>
        <w:t>Divakar Gupta</w:t>
      </w:r>
    </w:p>
    <w:p>
      <w:pPr>
        <w:ind w:left="4740"/>
        <w:spacing w:after="0" w:line="211" w:lineRule="auto"/>
        <w:rPr>
          <w:sz w:val="20"/>
          <w:szCs w:val="20"/>
          <w:color w:val="auto"/>
        </w:rPr>
      </w:pPr>
      <w:r>
        <w:rPr>
          <w:rFonts w:ascii="Times New Roman" w:cs="Times New Roman" w:eastAsia="Times New Roman" w:hAnsi="Times New Roman"/>
          <w:sz w:val="16"/>
          <w:szCs w:val="16"/>
          <w:b w:val="1"/>
          <w:bCs w:val="1"/>
          <w:color w:val="auto"/>
        </w:rPr>
        <w:t>Darren DeStefano</w:t>
      </w:r>
    </w:p>
    <w:p>
      <w:pPr>
        <w:ind w:left="4940"/>
        <w:spacing w:after="0" w:line="211" w:lineRule="auto"/>
        <w:rPr>
          <w:sz w:val="20"/>
          <w:szCs w:val="20"/>
          <w:color w:val="auto"/>
        </w:rPr>
      </w:pPr>
      <w:r>
        <w:rPr>
          <w:rFonts w:ascii="Times New Roman" w:cs="Times New Roman" w:eastAsia="Times New Roman" w:hAnsi="Times New Roman"/>
          <w:sz w:val="16"/>
          <w:szCs w:val="16"/>
          <w:b w:val="1"/>
          <w:bCs w:val="1"/>
          <w:color w:val="auto"/>
        </w:rPr>
        <w:t>Cooley LLP</w:t>
      </w:r>
    </w:p>
    <w:p>
      <w:pPr>
        <w:ind w:left="4100"/>
        <w:spacing w:after="0" w:line="212" w:lineRule="auto"/>
        <w:rPr>
          <w:sz w:val="20"/>
          <w:szCs w:val="20"/>
          <w:color w:val="auto"/>
        </w:rPr>
      </w:pPr>
      <w:r>
        <w:rPr>
          <w:rFonts w:ascii="Times New Roman" w:cs="Times New Roman" w:eastAsia="Times New Roman" w:hAnsi="Times New Roman"/>
          <w:sz w:val="16"/>
          <w:szCs w:val="16"/>
          <w:b w:val="1"/>
          <w:bCs w:val="1"/>
          <w:color w:val="auto"/>
        </w:rPr>
        <w:t>1299 Pennsylvania Ave NW, Suite 700</w:t>
      </w:r>
    </w:p>
    <w:p>
      <w:pPr>
        <w:ind w:left="4540"/>
        <w:spacing w:after="0" w:line="211" w:lineRule="auto"/>
        <w:rPr>
          <w:sz w:val="20"/>
          <w:szCs w:val="20"/>
          <w:color w:val="auto"/>
        </w:rPr>
      </w:pPr>
      <w:r>
        <w:rPr>
          <w:rFonts w:ascii="Times New Roman" w:cs="Times New Roman" w:eastAsia="Times New Roman" w:hAnsi="Times New Roman"/>
          <w:sz w:val="16"/>
          <w:szCs w:val="16"/>
          <w:b w:val="1"/>
          <w:bCs w:val="1"/>
          <w:color w:val="auto"/>
        </w:rPr>
        <w:t>Washington, D.C. 20004</w:t>
      </w:r>
    </w:p>
    <w:p>
      <w:pPr>
        <w:ind w:left="4880"/>
        <w:spacing w:after="0"/>
        <w:rPr>
          <w:sz w:val="20"/>
          <w:szCs w:val="20"/>
          <w:color w:val="auto"/>
        </w:rPr>
      </w:pPr>
      <w:r>
        <w:rPr>
          <w:rFonts w:ascii="Times New Roman" w:cs="Times New Roman" w:eastAsia="Times New Roman" w:hAnsi="Times New Roman"/>
          <w:sz w:val="16"/>
          <w:szCs w:val="16"/>
          <w:b w:val="1"/>
          <w:bCs w:val="1"/>
          <w:color w:val="auto"/>
        </w:rPr>
        <w:t>(202) 842-7800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86"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As soon as practicable after this Registration Statement is declared effective.</w:t>
      </w:r>
    </w:p>
    <w:p>
      <w:pPr>
        <w:spacing w:after="0" w:line="100" w:lineRule="exact"/>
        <w:rPr>
          <w:sz w:val="24"/>
          <w:szCs w:val="24"/>
          <w:color w:val="auto"/>
        </w:rPr>
      </w:pPr>
    </w:p>
    <w:p>
      <w:pPr>
        <w:jc w:val="both"/>
        <w:ind w:left="500" w:right="30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3" w:lineRule="exact"/>
        <w:rPr>
          <w:sz w:val="24"/>
          <w:szCs w:val="24"/>
          <w:color w:val="auto"/>
        </w:rPr>
      </w:pPr>
    </w:p>
    <w:p>
      <w:pPr>
        <w:ind w:left="500" w:right="20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3" w:lineRule="exact"/>
        <w:rPr>
          <w:sz w:val="24"/>
          <w:szCs w:val="24"/>
          <w:color w:val="auto"/>
        </w:rPr>
      </w:pPr>
    </w:p>
    <w:p>
      <w:pPr>
        <w:ind w:left="500" w:right="32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3" w:lineRule="exact"/>
        <w:rPr>
          <w:sz w:val="24"/>
          <w:szCs w:val="24"/>
          <w:color w:val="auto"/>
        </w:rPr>
      </w:pPr>
    </w:p>
    <w:p>
      <w:pPr>
        <w:ind w:left="500" w:right="30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500" w:right="280" w:firstLine="3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73025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4"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
        </w:trPr>
        <w:tc>
          <w:tcPr>
            <w:tcW w:w="172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120" w:type="dxa"/>
            <w:vAlign w:val="bottom"/>
            <w:vMerge w:val="continue"/>
          </w:tcPr>
          <w:p>
            <w:pPr>
              <w:spacing w:after="0" w:line="20" w:lineRule="exact"/>
              <w:rPr>
                <w:sz w:val="1"/>
                <w:szCs w:val="1"/>
                <w:color w:val="auto"/>
              </w:rPr>
            </w:pPr>
          </w:p>
        </w:tc>
        <w:tc>
          <w:tcPr>
            <w:tcW w:w="840" w:type="dxa"/>
            <w:vAlign w:val="bottom"/>
            <w:vMerge w:val="restart"/>
          </w:tcPr>
          <w:p>
            <w:pPr>
              <w:ind w:left="7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vMerge w:val="restart"/>
          </w:tcPr>
          <w:p>
            <w:pPr>
              <w:jc w:val="right"/>
              <w:ind w:right="151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vMerge w:val="restart"/>
          </w:tcPr>
          <w:p>
            <w:pPr>
              <w:ind w:left="16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9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49"/>
        </w:trPr>
        <w:tc>
          <w:tcPr>
            <w:tcW w:w="17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8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Non- accelerated filer</w:t>
            </w:r>
          </w:p>
        </w:tc>
        <w:tc>
          <w:tcPr>
            <w:tcW w:w="112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4"/>
                <w:szCs w:val="24"/>
                <w:color w:val="auto"/>
              </w:rPr>
            </w:pPr>
          </w:p>
        </w:tc>
        <w:tc>
          <w:tcPr>
            <w:tcW w:w="2620" w:type="dxa"/>
            <w:vAlign w:val="bottom"/>
            <w:gridSpan w:val="3"/>
          </w:tcPr>
          <w:p>
            <w:pPr>
              <w:jc w:val="right"/>
              <w:ind w:right="1519"/>
              <w:spacing w:after="0"/>
              <w:rPr>
                <w:sz w:val="20"/>
                <w:szCs w:val="20"/>
                <w:color w:val="auto"/>
              </w:rPr>
            </w:pPr>
            <w:r>
              <w:rPr>
                <w:rFonts w:ascii="Times New Roman" w:cs="Times New Roman" w:eastAsia="Times New Roman" w:hAnsi="Times New Roman"/>
                <w:sz w:val="16"/>
                <w:szCs w:val="16"/>
                <w:color w:val="auto"/>
              </w:rPr>
              <w:t>​ ​ ​</w:t>
            </w:r>
          </w:p>
        </w:tc>
        <w:tc>
          <w:tcPr>
            <w:tcW w:w="3700" w:type="dxa"/>
            <w:vAlign w:val="bottom"/>
            <w:gridSpan w:val="3"/>
          </w:tcPr>
          <w:p>
            <w:pPr>
              <w:ind w:left="1600"/>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Emerging growth company</w:t>
            </w:r>
          </w:p>
        </w:tc>
        <w:tc>
          <w:tcPr>
            <w:tcW w:w="260" w:type="dxa"/>
            <w:vAlign w:val="bottom"/>
            <w:gridSpan w:val="2"/>
          </w:tcPr>
          <w:p>
            <w:pPr>
              <w:jc w:val="right"/>
              <w:spacing w:after="0" w:line="368" w:lineRule="exact"/>
              <w:rPr>
                <w:sz w:val="20"/>
                <w:szCs w:val="20"/>
                <w:color w:val="auto"/>
              </w:rPr>
            </w:pPr>
            <w:r>
              <w:rPr>
                <w:rFonts w:ascii="MS PGothic" w:cs="MS PGothic" w:eastAsia="MS PGothic" w:hAnsi="MS PGothic"/>
                <w:sz w:val="32"/>
                <w:szCs w:val="32"/>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ind w:left="500" w:right="700" w:firstLine="360"/>
        <w:spacing w:after="0" w:line="18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53340</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6" w:lineRule="exact"/>
        <w:rPr>
          <w:sz w:val="24"/>
          <w:szCs w:val="24"/>
          <w:color w:val="auto"/>
        </w:rPr>
      </w:pPr>
    </w:p>
    <w:p>
      <w:pPr>
        <w:ind w:left="500" w:right="300" w:firstLine="360"/>
        <w:spacing w:after="0" w:line="22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9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 sale is not</w:t>
            </w:r>
          </w:p>
        </w:tc>
      </w:tr>
      <w:tr>
        <w:trPr>
          <w:trHeight w:val="240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 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in any jurisdiction</w:t>
            </w:r>
          </w:p>
        </w:tc>
      </w:tr>
      <w:tr>
        <w:trPr>
          <w:trHeight w:val="149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 until</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it seek an offer to buy</w:t>
            </w:r>
          </w:p>
        </w:tc>
      </w:tr>
      <w:tr>
        <w:trPr>
          <w:trHeight w:val="6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nor does</w:t>
            </w:r>
          </w:p>
        </w:tc>
      </w:tr>
      <w:tr>
        <w:trPr>
          <w:trHeight w:val="11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These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w:t>
            </w:r>
          </w:p>
        </w:tc>
      </w:tr>
      <w:tr>
        <w:trPr>
          <w:trHeight w:val="82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425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7"/>
              </w:rPr>
              <w:t>Commission is effective. This preliminary prospectus is not anpermitted.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FC0014"/>
        </w:rPr>
        <w:t>Subject to Completion, Dated December 23,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97155</wp:posOffset>
            </wp:positionV>
            <wp:extent cx="2854325" cy="779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Up to 25,770,990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101600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7" w:lineRule="exact"/>
        <w:rPr>
          <w:sz w:val="20"/>
          <w:szCs w:val="20"/>
          <w:color w:val="auto"/>
        </w:rPr>
      </w:pPr>
    </w:p>
    <w:p>
      <w:pPr>
        <w:ind w:right="9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of an aggregate of up to 25,770,990 shares of our common stock, $0.001 par value per share, by Lincoln Park Capital Fund, LLC (“Lincoln Park” or the “Selling Stockholder”). The shares included in this prospectus consist of shares of common stock that we have issued or that we may, in our discretion, elect to issue and sell to Lincoln Park, from time to time after the date of this prospectus and the date of the satisfaction of the conditions to the Selling Stockholder’s purchase obligations (the “Commencement Date”) as set forth in the common stock purchase agreement we entered into with Lincoln Park on December 12, 2022 (the “Purchase Agreement”). Pursuant to the Purchase Agreement, Lincoln Park has committed to purchase from us, at our direction, up to $25,000,000 of our common stock, subject to the terms and conditions specified in the Purchase Agreement. The shares included in this prospectus also include the 1,804,098 shares of common stock (the “Commitment Shares”) that we issued to Lincoln Park concurrently with our execution of the Purchase Agreement on December 12, 2022 as consideration for its irrevocable commitment to purchase shares of our common stock at our election in our sole discretion, from time to time after the date of this prospectus, upon the terms and subject to the satisfaction of the conditions set forth in the Purchase Agreement. See the section titled “Committed Equity Financing” for a description of the Purchase Agreement and the section titled “Selling Stockholder” for additional information regarding Lincoln Park.</w:t>
      </w: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not selling any shares of common stock being offered by this prospectus and will not receive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proceeds from the sale of such shares by Lincoln Park. However, we may receive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 in aggregate gross proceeds from sales of our common stock to Lincoln Park that we may,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discretion, elect to make, from time to time after the date of this prospectus, pursuant to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72" w:lineRule="exact"/>
        <w:rPr>
          <w:sz w:val="20"/>
          <w:szCs w:val="20"/>
          <w:color w:val="auto"/>
        </w:rPr>
      </w:pPr>
    </w:p>
    <w:p>
      <w:pPr>
        <w:ind w:right="259" w:firstLine="360"/>
        <w:spacing w:after="0" w:line="258" w:lineRule="auto"/>
        <w:rPr>
          <w:sz w:val="20"/>
          <w:szCs w:val="20"/>
          <w:color w:val="auto"/>
        </w:rPr>
      </w:pPr>
      <w:r>
        <w:rPr>
          <w:rFonts w:ascii="Times New Roman" w:cs="Times New Roman" w:eastAsia="Times New Roman" w:hAnsi="Times New Roman"/>
          <w:sz w:val="18"/>
          <w:szCs w:val="18"/>
          <w:color w:val="auto"/>
        </w:rPr>
        <w:t>Lincoln Park may sell or otherwise dispose of the shares of common stock included in this prospectus in a number of different ways and at varying prices. See the section titled “Plan of Distribution” for more information about how Lincoln Park may sell or otherwise dispose of the common stock being offered in this prospectus. Lincoln Park is an “underwriter” within the meaning of Section 2(a)(11) of the Securities Act of 1933, as amended (the “Securities Act”).</w:t>
      </w:r>
    </w:p>
    <w:p>
      <w:pPr>
        <w:spacing w:after="0" w:line="62" w:lineRule="exact"/>
        <w:rPr>
          <w:sz w:val="20"/>
          <w:szCs w:val="20"/>
          <w:color w:val="auto"/>
        </w:rPr>
      </w:pPr>
    </w:p>
    <w:p>
      <w:pPr>
        <w:jc w:val="both"/>
        <w:ind w:right="119" w:firstLine="360"/>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(“Nasdaq”) under the symbol “MRKR”. On December 22, 2022, the last reported sales price of the common stock as reported on Nasdaq was $0.285 per share.</w:t>
      </w:r>
    </w:p>
    <w:p>
      <w:pPr>
        <w:spacing w:after="0" w:line="54" w:lineRule="exact"/>
        <w:rPr>
          <w:sz w:val="20"/>
          <w:szCs w:val="20"/>
          <w:color w:val="auto"/>
        </w:rPr>
      </w:pPr>
    </w:p>
    <w:p>
      <w:pPr>
        <w:ind w:right="499" w:firstLine="36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(the “SEC”) rules and are subject to reduced public company reporting requirements for this prospectus and future filings. This prospectus complies with the requirements that apply to an issuer that is a smaller reporting company. We are incorporated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142875</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8" w:lineRule="exact"/>
        <w:rPr>
          <w:sz w:val="20"/>
          <w:szCs w:val="20"/>
          <w:color w:val="auto"/>
        </w:rPr>
      </w:pPr>
    </w:p>
    <w:p>
      <w:pPr>
        <w:ind w:right="2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under similar headings in any amendments or supplements to this prospectus and in the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74930</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1" w:lineRule="exact"/>
        <w:rPr>
          <w:sz w:val="20"/>
          <w:szCs w:val="20"/>
          <w:color w:val="auto"/>
        </w:rPr>
      </w:pPr>
    </w:p>
    <w:p>
      <w:pPr>
        <w:ind w:right="1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165100</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sectPr>
          <w:pgSz w:w="11900" w:h="16838" w:orient="portrait"/>
          <w:cols w:equalWidth="0" w:num="2">
            <w:col w:w="1360" w:space="220"/>
            <w:col w:w="8299"/>
          </w:cols>
          <w:pgMar w:left="580" w:top="97" w:right="1440" w:bottom="1440" w:gutter="0" w:footer="0" w:header="0"/>
          <w:type w:val="continuous"/>
        </w:sectPr>
      </w:pP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Prospectus dated 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68065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5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4"/>
          </w:tcPr>
          <w:p>
            <w:pPr>
              <w:jc w:val="center"/>
              <w:ind w:left="2051"/>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16"/>
        </w:trPr>
        <w:tc>
          <w:tcPr>
            <w:tcW w:w="55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ii</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40" w:type="dxa"/>
            <w:vAlign w:val="bottom"/>
            <w:tcBorders>
              <w:left w:val="single" w:sz="8" w:color="CCEEFF"/>
              <w:right w:val="single" w:sz="8" w:color="CCEEFF"/>
            </w:tcBorders>
            <w:gridSpan w:val="3"/>
            <w:shd w:val="clear" w:color="auto" w:fill="CCEEFF"/>
          </w:tcPr>
          <w:p>
            <w:pPr>
              <w:spacing w:after="0"/>
              <w:rPr>
                <w:sz w:val="18"/>
                <w:szCs w:val="18"/>
                <w:color w:val="auto"/>
              </w:rPr>
            </w:pPr>
          </w:p>
        </w:tc>
        <w:tc>
          <w:tcPr>
            <w:tcW w:w="3360" w:type="dxa"/>
            <w:vAlign w:val="bottom"/>
            <w:tcBorders>
              <w:left w:val="single" w:sz="8" w:color="CCEEFF"/>
            </w:tcBorders>
            <w:gridSpan w:val="4"/>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4200" w:type="dxa"/>
            <w:vAlign w:val="bottom"/>
            <w:gridSpan w:val="7"/>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9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COMMITTED EQUITY FINANCING</w:t>
            </w:r>
          </w:p>
        </w:tc>
        <w:tc>
          <w:tcPr>
            <w:tcW w:w="2540" w:type="dxa"/>
            <w:vAlign w:val="bottom"/>
            <w:gridSpan w:val="3"/>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10"/>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320" w:type="dxa"/>
            <w:vAlign w:val="bottom"/>
            <w:gridSpan w:val="2"/>
          </w:tcPr>
          <w:p>
            <w:pPr>
              <w:spacing w:after="0"/>
              <w:rPr>
                <w:sz w:val="18"/>
                <w:szCs w:val="18"/>
                <w:color w:val="auto"/>
              </w:rPr>
            </w:pPr>
          </w:p>
        </w:tc>
        <w:tc>
          <w:tcPr>
            <w:tcW w:w="2540" w:type="dxa"/>
            <w:vAlign w:val="bottom"/>
            <w:gridSpan w:val="3"/>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1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SELLING STOCKHOLDER</w:t>
            </w:r>
          </w:p>
        </w:tc>
        <w:tc>
          <w:tcPr>
            <w:tcW w:w="3360" w:type="dxa"/>
            <w:vAlign w:val="bottom"/>
            <w:tcBorders>
              <w:left w:val="single" w:sz="8" w:color="CCEEFF"/>
            </w:tcBorders>
            <w:gridSpan w:val="4"/>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16</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10"/>
        </w:trPr>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1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2540" w:type="dxa"/>
            <w:vAlign w:val="bottom"/>
            <w:gridSpan w:val="3"/>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8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gridSpan w:val="2"/>
          </w:tcPr>
          <w:p>
            <w:pPr>
              <w:spacing w:after="0"/>
              <w:rPr>
                <w:sz w:val="18"/>
                <w:szCs w:val="18"/>
                <w:color w:val="auto"/>
              </w:rPr>
            </w:pPr>
          </w:p>
        </w:tc>
        <w:tc>
          <w:tcPr>
            <w:tcW w:w="3360" w:type="dxa"/>
            <w:vAlign w:val="bottom"/>
            <w:gridSpan w:val="4"/>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EXPERTS</w:t>
            </w:r>
          </w:p>
        </w:tc>
        <w:tc>
          <w:tcPr>
            <w:tcW w:w="700" w:type="dxa"/>
            <w:vAlign w:val="bottom"/>
            <w:gridSpan w:val="2"/>
            <w:shd w:val="clear" w:color="auto" w:fill="CCEEFF"/>
          </w:tcPr>
          <w:p>
            <w:pPr>
              <w:spacing w:after="0"/>
              <w:rPr>
                <w:sz w:val="18"/>
                <w:szCs w:val="18"/>
                <w:color w:val="auto"/>
              </w:rPr>
            </w:pPr>
          </w:p>
        </w:tc>
        <w:tc>
          <w:tcPr>
            <w:tcW w:w="4000" w:type="dxa"/>
            <w:vAlign w:val="bottom"/>
            <w:gridSpan w:val="6"/>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3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gridSpan w:val="2"/>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231140</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supplement to this prospectus, filed with the Securities and Exchange Commission. Neither we nor the Selling Stockholder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Stockholder is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spacing w:after="0" w:line="12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Stockholder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filed with the Securities and Exchange Commission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0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are incorporated by reference as exhibits to the registration statement of which this prospectus is a part, and you may obtain copies of those documents as described below under the heading “Where You Can Find More Information.”</w:t>
      </w:r>
    </w:p>
    <w:p>
      <w:pPr>
        <w:spacing w:after="0" w:line="120"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 xml:space="preserve">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but such references should not be construed as any indication that their respective owners will not assert, to the fullest extent under applicable law, their rights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contains or incorporates statements that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These forward-looking statements include statements about future financial and operating results of Marker; statements about the plans, strategies and objectives of management for future operations of Marker; and other statements regarding future performance. In some cases, you can identify these forward-looking statements by the use of terminology such as “outlook,” “believes,” “expects,” “potential,” “continues,” “may,” “will,” “should,” “could,” “seeks,” “approximately,” “predicts,” “intends,” “plans,” “estimates,” “anticipates” or the negative version of these words or other comparable words or phrases.</w:t>
      </w:r>
    </w:p>
    <w:p>
      <w:pPr>
        <w:spacing w:after="0" w:line="32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including the information incorporated by reference into this prospectus, reflect our current views about our business and future events and are subject to numerous known and unknown risks, uncertainties, assumptions and changes in circumstances that may cause its actual results to differ significantly from those expressed in any forward-looking statement. There are no guarantees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73" w:lineRule="exact"/>
        <w:rPr>
          <w:sz w:val="20"/>
          <w:szCs w:val="20"/>
          <w:color w:val="auto"/>
        </w:rPr>
      </w:pPr>
    </w:p>
    <w:p>
      <w:pPr>
        <w:ind w:left="1800" w:right="41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the Baylor College of Medicine and other potential collaboration or strategic relationships;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MultiTAA-specific T cell platform to develop future product candidates;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needs for or ability to obtain additional funding;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the potential sales of our common stock to Lincoln Park.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addition, statements that “Marker believes” or “we believe” and similar statements reflect Marker beliefs and opinions on the relevant subject. These statements are based upon information available to Marker as of the date of this prospectus, or in the applicable document incorporated by reference, and while Marker believes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While forward-looking statements reflect Marker’s good faith beliefs, they are not guarantees of future performance. Except to the extent required by applicable law, Marker is under no obligation (and expressly disclaims any such obligation) to update or revise their forward-looking statements whether as a result of new information, future events, or otherwise. For a further discussion of these and other factors that could cause Marker’s future results, performance or transactions to differ significantly from those expressed in any forward-looking statement, please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this prospectus and the documents incorporated by reference herein. You should not place undue reliance on any forward-looking statements, which are based only on information currently available to Marker (or to third parties making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or incorporated by reference elsewhere in this prospectus and does not contain all of the information that you should consider in making your investment decision. Before investing in our securities, you should carefully read this entire prospectus, including our financial statements and the related notes and other documents incorporated by reference in this prospectus, as well as the information under the caption “Risk Factors” herein and under similar headings in the other documents that are incorporated by reference into this prospectus.</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39" w:firstLine="360"/>
        <w:spacing w:after="0" w:line="254"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11"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The Baylor College of Medicine (“BCM”) in March 2018. BCM had utilized the therapy in seven exploratory clinical trials. In these studies, BCM treated over 170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advancing three product candidates as part of our MultiTAA-specific T cell program for:</w:t>
      </w:r>
    </w:p>
    <w:p>
      <w:pPr>
        <w:spacing w:after="0" w:line="117" w:lineRule="exact"/>
        <w:rPr>
          <w:sz w:val="20"/>
          <w:szCs w:val="20"/>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treatment of lymphoma, and selected solid tumors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allogeneic T cells for the treatment of acute myeloid leukemia, (“AML”)</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products in various indications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current clinical development programs are:</w:t>
      </w:r>
    </w:p>
    <w:p>
      <w:pPr>
        <w:spacing w:after="0" w:line="117" w:lineRule="exact"/>
        <w:rPr>
          <w:sz w:val="20"/>
          <w:szCs w:val="20"/>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 for the treatment of post-transplant AML, currently in a Phase 2 clinical trial</w:t>
      </w:r>
    </w:p>
    <w:p>
      <w:pPr>
        <w:spacing w:after="0" w:line="117" w:lineRule="exact"/>
        <w:rPr>
          <w:rFonts w:ascii="Times New Roman" w:cs="Times New Roman" w:eastAsia="Times New Roman" w:hAnsi="Times New Roman"/>
          <w:sz w:val="18"/>
          <w:szCs w:val="18"/>
          <w:color w:val="auto"/>
        </w:rPr>
      </w:pPr>
    </w:p>
    <w:p>
      <w:pPr>
        <w:ind w:left="1820" w:right="69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MT-401-OTS for the treatment of AML, for which we expect to dose the first patient in a Phase 1 clinical trial in 2023</w:t>
      </w:r>
    </w:p>
    <w:p>
      <w:pPr>
        <w:spacing w:after="0" w:line="53" w:lineRule="exact"/>
        <w:rPr>
          <w:rFonts w:ascii="Times New Roman" w:cs="Times New Roman" w:eastAsia="Times New Roman" w:hAnsi="Times New Roman"/>
          <w:sz w:val="18"/>
          <w:szCs w:val="18"/>
          <w:color w:val="auto"/>
        </w:rPr>
      </w:pPr>
    </w:p>
    <w:p>
      <w:pPr>
        <w:jc w:val="both"/>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for the treatment of pancreatic cancer, for which we plan to submit an IND to the U.S. Food and Drug Administration (the “FDA”) in 2022 to initiate a Phase 1 trial in 2023, with the first patient expected to be enrolled in the first quarter of 2023</w:t>
      </w:r>
    </w:p>
    <w:p>
      <w:pPr>
        <w:spacing w:after="0" w:line="67"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for the treatment of lymphoma, for which we have a cleared IND from the FDA to initiate a Phase 1 trial in 2023</w:t>
      </w:r>
    </w:p>
    <w:p>
      <w:pPr>
        <w:spacing w:after="0" w:line="81"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12" w:lineRule="exact"/>
        <w:rPr>
          <w:sz w:val="20"/>
          <w:szCs w:val="20"/>
          <w:color w:val="auto"/>
        </w:rPr>
      </w:pPr>
    </w:p>
    <w:p>
      <w:pPr>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3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833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62" w:lineRule="exact"/>
        <w:rPr>
          <w:sz w:val="20"/>
          <w:szCs w:val="20"/>
          <w:color w:val="auto"/>
        </w:rPr>
      </w:pPr>
    </w:p>
    <w:p>
      <w:pPr>
        <w:ind w:left="1280" w:right="73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that you should be aware of before making an investment decision. These risks are described more fully in the “Risk Factors” section and include, among others:</w:t>
      </w:r>
    </w:p>
    <w:p>
      <w:pPr>
        <w:spacing w:after="0" w:line="54" w:lineRule="exact"/>
        <w:rPr>
          <w:sz w:val="20"/>
          <w:szCs w:val="20"/>
          <w:color w:val="auto"/>
        </w:rPr>
      </w:pPr>
    </w:p>
    <w:p>
      <w:pPr>
        <w:ind w:left="1820" w:right="7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67"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are likely to be adversely affected by the evolving and ongoing COVID-19 global pandemic.</w:t>
      </w:r>
    </w:p>
    <w:p>
      <w:pPr>
        <w:spacing w:after="0" w:line="53" w:lineRule="exact"/>
        <w:rPr>
          <w:rFonts w:ascii="Times New Roman" w:cs="Times New Roman" w:eastAsia="Times New Roman" w:hAnsi="Times New Roman"/>
          <w:sz w:val="18"/>
          <w:szCs w:val="18"/>
          <w:color w:val="auto"/>
        </w:rPr>
      </w:pPr>
    </w:p>
    <w:p>
      <w:pPr>
        <w:ind w:left="1820" w:right="579" w:hanging="182"/>
        <w:spacing w:after="0" w:line="263"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278"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53"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earlier preclinical and clinical trials may not be predictive of future clinical trial results.</w:t>
      </w:r>
    </w:p>
    <w:p>
      <w:pPr>
        <w:spacing w:after="0" w:line="40" w:lineRule="exact"/>
        <w:rPr>
          <w:rFonts w:ascii="Times New Roman" w:cs="Times New Roman" w:eastAsia="Times New Roman" w:hAnsi="Times New Roman"/>
          <w:sz w:val="18"/>
          <w:szCs w:val="18"/>
          <w:color w:val="auto"/>
        </w:rPr>
      </w:pPr>
    </w:p>
    <w:p>
      <w:pPr>
        <w:ind w:left="1820" w:right="85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75" w:lineRule="exact"/>
        <w:rPr>
          <w:rFonts w:ascii="Times New Roman" w:cs="Times New Roman" w:eastAsia="Times New Roman" w:hAnsi="Times New Roman"/>
          <w:sz w:val="18"/>
          <w:szCs w:val="18"/>
          <w:color w:val="auto"/>
        </w:rPr>
      </w:pPr>
    </w:p>
    <w:p>
      <w:pPr>
        <w:ind w:left="1820" w:right="679" w:hanging="182"/>
        <w:spacing w:after="0" w:line="261"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our own current Good Manufacturing Practices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71" w:lineRule="exact"/>
        <w:rPr>
          <w:rFonts w:ascii="Times New Roman" w:cs="Times New Roman" w:eastAsia="Times New Roman" w:hAnsi="Times New Roman"/>
          <w:sz w:val="18"/>
          <w:szCs w:val="18"/>
          <w:color w:val="auto"/>
        </w:rPr>
      </w:pPr>
    </w:p>
    <w:p>
      <w:pPr>
        <w:ind w:left="1820" w:right="63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relationship with BCM is dependent, in part, upon our ongoing relationship with key medical and scientific personnel and advisors.</w:t>
      </w:r>
    </w:p>
    <w:p>
      <w:pPr>
        <w:spacing w:after="0" w:line="40"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upon attaining significant market acceptance of our product candidates, if approved, among physicians, patients, healthcare payors and the medical community.</w:t>
      </w:r>
    </w:p>
    <w:p>
      <w:pPr>
        <w:spacing w:after="0" w:line="53" w:lineRule="exact"/>
        <w:rPr>
          <w:rFonts w:ascii="Times New Roman" w:cs="Times New Roman" w:eastAsia="Times New Roman" w:hAnsi="Times New Roman"/>
          <w:sz w:val="18"/>
          <w:szCs w:val="18"/>
          <w:color w:val="auto"/>
        </w:rPr>
      </w:pPr>
    </w:p>
    <w:p>
      <w:pPr>
        <w:ind w:left="1820" w:right="439" w:hanging="182"/>
        <w:spacing w:after="0" w:line="275"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281"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proprietary rights, we may not be able to compete effectively or operate profitably.</w:t>
      </w:r>
    </w:p>
    <w:p>
      <w:pPr>
        <w:spacing w:after="0" w:line="53"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w:t>
      </w:r>
    </w:p>
    <w:p>
      <w:pPr>
        <w:spacing w:after="0" w:line="117"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compliance with Nasdaq continued listing requirements could result in the delisting of our common stock.</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19" w:firstLine="360"/>
        <w:spacing w:after="0" w:line="244"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54" w:lineRule="auto"/>
        <w:rPr>
          <w:sz w:val="20"/>
          <w:szCs w:val="20"/>
          <w:color w:val="auto"/>
        </w:rPr>
      </w:pPr>
      <w:r>
        <w:rPr>
          <w:rFonts w:ascii="Times New Roman" w:cs="Times New Roman" w:eastAsia="Times New Roman" w:hAnsi="Times New Roman"/>
          <w:sz w:val="18"/>
          <w:szCs w:val="18"/>
          <w:color w:val="auto"/>
        </w:rPr>
        <w:t xml:space="preserve">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4551 Kennedy Commerce Dr., Houston, Texas 77027, and our telephone number is (713) 400-6400. Our website is located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9" w:lineRule="exact"/>
        <w:rPr>
          <w:sz w:val="20"/>
          <w:szCs w:val="20"/>
          <w:color w:val="auto"/>
        </w:rPr>
      </w:pPr>
    </w:p>
    <w:p>
      <w:pPr>
        <w:jc w:val="both"/>
        <w:ind w:left="1820" w:right="39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p>
      <w:pPr>
        <w:ind w:left="1460" w:right="460" w:hanging="179"/>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outstanding</w:t>
      </w:r>
    </w:p>
    <w:p>
      <w:pPr>
        <w:spacing w:after="0" w:line="99"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outstanding after giving effect to the issuance of the shares registered hereunder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399"/>
        <w:spacing w:after="0" w:line="256" w:lineRule="auto"/>
        <w:rPr>
          <w:sz w:val="20"/>
          <w:szCs w:val="20"/>
          <w:color w:val="auto"/>
        </w:rPr>
      </w:pPr>
      <w:r>
        <w:rPr>
          <w:rFonts w:ascii="Times New Roman" w:cs="Times New Roman" w:eastAsia="Times New Roman" w:hAnsi="Times New Roman"/>
          <w:sz w:val="18"/>
          <w:szCs w:val="18"/>
          <w:color w:val="auto"/>
        </w:rPr>
        <w:t>25,770,990 shares of common stock, which includes 1,804,098 shares of our common stock issued to Lincoln Park as consideration for its commitment to purchase shares of our common stock under the Purchase Agreement (the “Commitment Shares”). We will not receive any cash proceeds from the issuance of these Commitment Shares.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83,599,187 shares.</w:t>
      </w:r>
    </w:p>
    <w:p>
      <w:pPr>
        <w:spacing w:after="0" w:line="200" w:lineRule="exact"/>
        <w:rPr>
          <w:sz w:val="20"/>
          <w:szCs w:val="20"/>
          <w:color w:val="auto"/>
        </w:rPr>
      </w:pPr>
    </w:p>
    <w:p>
      <w:pPr>
        <w:spacing w:after="0" w:line="349" w:lineRule="exact"/>
        <w:rPr>
          <w:sz w:val="20"/>
          <w:szCs w:val="20"/>
          <w:color w:val="auto"/>
        </w:rPr>
      </w:pPr>
    </w:p>
    <w:p>
      <w:pPr>
        <w:jc w:val="both"/>
        <w:ind w:right="439"/>
        <w:spacing w:after="0" w:line="261" w:lineRule="auto"/>
        <w:rPr>
          <w:sz w:val="20"/>
          <w:szCs w:val="20"/>
          <w:color w:val="auto"/>
        </w:rPr>
      </w:pPr>
      <w:r>
        <w:rPr>
          <w:rFonts w:ascii="Times New Roman" w:cs="Times New Roman" w:eastAsia="Times New Roman" w:hAnsi="Times New Roman"/>
          <w:sz w:val="18"/>
          <w:szCs w:val="18"/>
          <w:color w:val="auto"/>
        </w:rPr>
        <w:t>109,370,177 shares. The actual number of shares outstanding after the offering will vary depending upon the actual number of shares we issue and sell to Lincoln Park under the Purchase Agreement after the date of this prospectus.</w:t>
      </w:r>
    </w:p>
    <w:p>
      <w:pPr>
        <w:spacing w:after="0" w:line="72" w:lineRule="exact"/>
        <w:rPr>
          <w:sz w:val="20"/>
          <w:szCs w:val="20"/>
          <w:color w:val="auto"/>
        </w:rPr>
      </w:pPr>
    </w:p>
    <w:p>
      <w:pPr>
        <w:ind w:right="479"/>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included in this prospectus by the Selling Stockholder. However, we may receive up to $25 million in aggregate gross proceeds under the Purchase Agreement from sales of common stock that we may elect to make to the Selling Stockholder pursuant to the Purchase Agreement, if any, from time to time in our sole discretion, from and after the Commencement Date.</w:t>
      </w:r>
    </w:p>
    <w:p>
      <w:pPr>
        <w:spacing w:after="0" w:line="124" w:lineRule="exact"/>
        <w:rPr>
          <w:sz w:val="20"/>
          <w:szCs w:val="20"/>
          <w:color w:val="auto"/>
        </w:rPr>
      </w:pPr>
    </w:p>
    <w:p>
      <w:pPr>
        <w:ind w:right="499"/>
        <w:spacing w:after="0" w:line="245" w:lineRule="auto"/>
        <w:rPr>
          <w:sz w:val="20"/>
          <w:szCs w:val="20"/>
          <w:color w:val="auto"/>
        </w:rPr>
      </w:pPr>
      <w:r>
        <w:rPr>
          <w:rFonts w:ascii="Times New Roman" w:cs="Times New Roman" w:eastAsia="Times New Roman" w:hAnsi="Times New Roman"/>
          <w:sz w:val="18"/>
          <w:szCs w:val="18"/>
          <w:color w:val="auto"/>
        </w:rPr>
        <w:t>We expect to use the net proceeds that we receive from sales of our common stock to the Selling Stockholder, if any, under the Purchase Agreement to fund our ongoing Phase 2 clinical trial of MT-401 for the treatment of post-transplant AML, to advance our clinical programs in lymphoma and pancreatic cancer and for working capital and general corporate purposes. See the section titled “Use of Proceeds.”</w:t>
      </w:r>
    </w:p>
    <w:p>
      <w:pPr>
        <w:spacing w:after="0" w:line="73"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This investment involves a high degree of risk. See the section titled “Risk Factors” herein and under similar headings in the other documents that are incorporated by reference herein for a discussion of the risks you should consider carefully before deciding to invest in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“MRKR”</w:t>
      </w:r>
    </w:p>
    <w:p>
      <w:pPr>
        <w:spacing w:after="0" w:line="158" w:lineRule="exact"/>
        <w:rPr>
          <w:sz w:val="20"/>
          <w:szCs w:val="20"/>
          <w:color w:val="auto"/>
        </w:rPr>
      </w:pPr>
    </w:p>
    <w:p>
      <w:pPr>
        <w:sectPr>
          <w:pgSz w:w="11900" w:h="16838" w:orient="portrait"/>
          <w:cols w:equalWidth="0" w:num="2">
            <w:col w:w="4180" w:space="560"/>
            <w:col w:w="5139"/>
          </w:cols>
          <w:pgMar w:left="580" w:top="97" w:right="1440" w:bottom="1440" w:gutter="0" w:footer="0" w:header="0"/>
          <w:type w:val="continuous"/>
        </w:sectPr>
      </w:pPr>
    </w:p>
    <w:p>
      <w:pPr>
        <w:ind w:left="128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is based on 83,599,187 shares of common stock outstanding as of September 30, 2022 and excludes:</w:t>
      </w:r>
    </w:p>
    <w:p>
      <w:pPr>
        <w:spacing w:after="0" w:line="54" w:lineRule="exact"/>
        <w:rPr>
          <w:sz w:val="20"/>
          <w:szCs w:val="20"/>
          <w:color w:val="auto"/>
        </w:rPr>
      </w:pPr>
    </w:p>
    <w:p>
      <w:pPr>
        <w:ind w:left="1820" w:right="5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9,961,686 shares of our common stock issuable upon the exercise of stock options outstanding as of September 30, 2022, at a weighted-average exercise price of $4.27 per share;</w:t>
      </w:r>
    </w:p>
    <w:p>
      <w:pPr>
        <w:spacing w:after="0" w:line="53" w:lineRule="exact"/>
        <w:rPr>
          <w:rFonts w:ascii="Times New Roman" w:cs="Times New Roman" w:eastAsia="Times New Roman" w:hAnsi="Times New Roman"/>
          <w:sz w:val="18"/>
          <w:szCs w:val="18"/>
          <w:color w:val="auto"/>
        </w:rPr>
      </w:pPr>
    </w:p>
    <w:p>
      <w:pPr>
        <w:ind w:left="1820" w:right="77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18,482,000 shares of our common stock issuable upon the exercise of warrants outstanding as of September 30, 2022, at a weighted-average exercise price of $4.45 per share;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9,309,981 shares of our common stock reserved for future issuance under our 2020 Equity Incentive Plan, as amended; and</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458,496 shares of our common stock sold subsequent to September 30, 2022, pursuant to our at-the-market sales agreement with Cantor Fitzgerald &amp; Co. and RBC Capital Markets, LLC.</w:t>
      </w:r>
    </w:p>
    <w:p>
      <w:pPr>
        <w:spacing w:after="0" w:line="94"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the outstanding options and warrants described above.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following risks and uncertainties as well as the risks and uncertainties described in the section entitled “Risk Factors” described in our most recent Annual Report on Form 10- K and our other periodic reports filed with the SEC and incorporated by reference herein. These risks and uncertainties are not the only risks and uncertainties we face. Additional risks and uncertainties not currently known to us, or that we currently view as immaterial, may also impair our business.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 You should carefully consider the following information about risks, together with the other information contained in this prospectus, before making an investment in our common stock.</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December 12, 2022, we entered into the Purchase Agreement with Lincoln Park, pursuant to which Lincoln Park has committed to purchase up to $25,000,000 of our common stock (the “Total Commitment”). Concurrently with entering into the Purchase Agreement, we issued 1,804,098 Commitment Shares to Lincoln Park as a fee for its commitment to purchase shares of our common stock under the Purchase Agreement. The remaining shares of our common stock that may be issued under the Purchase Agreement may be sold by us to Lincoln Park at our discretion from time to time over a 24 -month period commencing after the satisfaction of certain conditions set forth in the Purchase Agreement, which date is referred to as the Commencement Date, including that the registration statement of which this prospectus forms a part has become effective. The purchase price for the shares that we may sell to Lincoln Park under the Purchase Agreement will fluctuate based on the price of our common stock. Depending on market liquidity at the time, sales of such shares may cause the trading price of our common stock to fall.</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future sales of our shares to Lincoln Park. Additional sales of our common stock, if any, to Lincoln Park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19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Purchase Agreement to the Selling Stockholder, or the actual gross proceeds resulting from those sales.</w:t>
      </w:r>
    </w:p>
    <w:p>
      <w:pPr>
        <w:spacing w:after="0" w:line="90"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Because the purchase price per share to be paid by Lincoln Park for the shares of common stock that we may elect to sell to Lincoln Park under the Purchase Agreement, if any, will fluctuate based on the market prices of our common stock during the applicable period for each purchase made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if any.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Moreover, although the Purchase Agreement provides that we may sell up to an aggregate of</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$25,000,000 of our common stock to Lincoln Park, only 25,770,990 shares of our common stock, which</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includes 1,804,098 Commitment Shares, are being registered for resale by Lincoln Park under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statement</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4" w:lineRule="auto"/>
        <w:rPr>
          <w:sz w:val="20"/>
          <w:szCs w:val="20"/>
          <w:color w:val="auto"/>
        </w:rPr>
      </w:pPr>
      <w:r>
        <w:rPr>
          <w:rFonts w:ascii="Times New Roman" w:cs="Times New Roman" w:eastAsia="Times New Roman" w:hAnsi="Times New Roman"/>
          <w:sz w:val="18"/>
          <w:szCs w:val="18"/>
          <w:color w:val="auto"/>
        </w:rPr>
        <w:t>that includes this prospectus, consisting of shares of common stock that we may elect to sell to Lincoln Park, in our sole discretion, from time to time from and after the Commencement Date under the Purchase Agreement. If after the Commencement Date we elect to sell to Lincoln Park all of the 23,966,892 remaining shares of common stock being registered for resale under this prospectus that are available for sale by us to Lincoln Park in Purchases under the Purchase Agreement, depending on the market prices of our common stock during the applicable period for each Purchase made pursuant to the Purchase Agreement, the actual gross proceeds from the sale of all such shares may be substantially less than the $25,000,000 Total Commitment available to us under the Purchase Agreement, which could materially adversely affect our liquidity.</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it becomes necessary for us to issue and sell to Lincoln Park under the Purchase Agreement more than the 25,770,990 shares being registered for resale under the registration statement that includes this prospectus in order to receive aggregate gross proceeds equal to the Total Commitment of $25,000,000 under the Purchase Agreement, we must file with the SEC one or more additional registration statements to register under the Securities Act the resale by Lincoln Park of any such additional shares of our common stock we wish to sell from time to time under the Purchase Agreement, which the SEC must declare effective and we will need to obtain stockholder approval to issue shares of common stock in excess of 17,132,289 shares (the “Exchange Cap”), which is 19.99% of the shares of common stock outstanding immediately prior to the execution of the Purchase Agreement, under the Purchase Agreement in accordance with applicable Nasdaq rules, unless the average per share purchase price paid by Lincoln Park for all shares of common stock sold under the Purchase Agreement equals or exceeds $0.2883, in which case, under applicable Nasdaq rules, the Exchange Cap limitation will not apply to issuances and sales of common stock under the Purchase Agreement, in each case, before we may elect to sell any additional shares of our common stock to Lincoln Park under the Purchase Agreement. Any issuance and sale by us under the Purchase Agreement of a substantial amount of shares of common stock in addition to the 25,770,990 shares of common stock being registered for resale by Lincoln Park under this prospectus could cause additional substantial dilution to our stockholders. The number of shares of our common stock ultimately offered for sale by Lincoln Park is dependent upon the number of shares of common stock, if any, we ultimately sell to Lincoln Park under the Purchase Agreement.</w:t>
      </w:r>
    </w:p>
    <w:p>
      <w:pPr>
        <w:spacing w:after="0" w:line="399" w:lineRule="exact"/>
        <w:rPr>
          <w:sz w:val="20"/>
          <w:szCs w:val="20"/>
          <w:color w:val="auto"/>
        </w:rPr>
      </w:pPr>
    </w:p>
    <w:p>
      <w:pPr>
        <w:ind w:left="126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to determine how to use the funds from our sale of shares of common stock to Lincoln Park, and may use them in ways that may not enhance our operating results or the price of our common stock.</w:t>
      </w:r>
    </w:p>
    <w:p>
      <w:pPr>
        <w:spacing w:after="0" w:line="6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Our management will have broad discretion as to the application of the net proceeds from our sale of shares of common stock to Lincoln Park and could use them for purposes other than those contemplated at the time of the offering. We could spend the proceeds from our sale of shares of common stock to Lincoln Park in ways our stockholders may not agree with or that do not yield a favorable return, if at all. We intend to use the net proceeds, if any, that we receive under the Purchase Agreement to fund our ongoing Phase 2 clinical trial of MT-401 for the treatment of post-transplant AML, to advance our clinical programs in lymphoma and pancreatic cancer and for working capital and general corporate purposes. However, our actual use of these proceeds may differ from our current plans.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 See “Use of Proceeds.”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4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Pursuant to the Purchase Agreement, we will have discretion, subject to market demand, to vary the timing, prices, and numbers of shares sold to Lincoln Park. 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Investors may experience a decline in the value of the shares they purchase from Lincoln Park in this offering as a result of future sales made by us to Lincoln Park at prices lower than the prices such investors paid for their shares in this offering.</w:t>
      </w:r>
    </w:p>
    <w:p>
      <w:pPr>
        <w:spacing w:after="0" w:line="165" w:lineRule="exact"/>
        <w:rPr>
          <w:sz w:val="20"/>
          <w:szCs w:val="20"/>
          <w:color w:val="auto"/>
        </w:rPr>
      </w:pPr>
    </w:p>
    <w:p>
      <w:pPr>
        <w:ind w:left="1260" w:right="7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5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are a clinical- 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and the recent disruptions to and volatility in the credit and financial markets in the United States and worldwide resulting from the ongoing COVID-19 pandemic.</w:t>
      </w:r>
    </w:p>
    <w:p>
      <w:pPr>
        <w:spacing w:after="0" w:line="119"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have sustained losses from operations in each fiscal year since our inception, and we expect losses to continue for the indefinite future due to the substantial investment in research and development.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do not have sufficient cash and cash equivalents to fund our anticipated level of operations as they become due during the next twelve months. The aforementioned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market price of our common stock has fluctuated in the past. For example, our stock price, and the stock price of many other public companies, experienced high volatility in 2022. Such volatility resulted in rapid and substantial increases and decreases in our stock price that may or may not be related to our operating performance or prospects. Consequently, the current market price of our common stock may not be indicative of future market prices, and we may be unable to sustain or increase the value of an investment in our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stockholders are not likely to receive any dividends on their common stock for the foreseeable future. Since we do not intend</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to pay dividends, stockholders’ ability to receive a return on their investment will depend on any future appreciation in the market value of our common stock. Our common stock may not appreciate or even maintain the price at which our holders have purchased it.</w:t>
      </w:r>
    </w:p>
    <w:p>
      <w:pPr>
        <w:spacing w:after="0" w:line="172"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 continued listing requirements could result in the delisting of our common stock.</w:t>
      </w:r>
    </w:p>
    <w:p>
      <w:pPr>
        <w:spacing w:after="0" w:line="91"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“MRKR.”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February 16, 2022, we received a notice from Nasdaq that we were not in compliance with Nasdaq’s Listing Rule 5450(a)(1), as the minimum bid price of our common stock had been below $1.00 per share for 30 consecutive business days. On August 16, 2022, Nasdaq approved our application to transfer to the Nasdaq Capital Market, effective at the opening of business on August 18, 2022, and notified us that we had been granted an additional 180-calendar day compliance period, or until February 13, 2023, to regain compliance with the minimum bid price requirement. As part of the transfer, we provided notice to Nasdaq that we intended to cure the bid price deficiency by effecting a reverse stock split, if necessary, prior to the end of the compliance period. Our failure to regain compliance during this period could result in delisting, which the Company could appeal to a Nasdaq hearings panel. There can be no assurance that we will be able to regain compliance with Nasdaq’s Listing Rule 5450 (a)(1) or will otherwise be in compliance with other Nasdaq listing criteria. If we do not regain compliance within the allotted compliance period(s), including any extensions that may be granted by Nasdaq, Nasdaq will provide notice that our common stock will be subject to delisting.</w:t>
      </w:r>
    </w:p>
    <w:p>
      <w:pPr>
        <w:spacing w:after="0" w:line="325"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our common stock is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December 12, 2022, we entered into the Purchase Agreement and the Registration Rights Agreement with Lincoln Park. Pursuant to the Purchase Agreement, we have the right to sell to Lincoln Park up to $25 million of shares of our common stock, subject to certain limitations and conditions set forth in the Purchase Agreement, from time to time during the term of the Purchase Agreement. Sales of common stock pursuant to the Purchase Agreement, and the timing of any sales, are solely at our option, and we are under no obligation to sell any securities to Lincoln Park under the Purchase Agreement. In accordance with our obligations under the Registration Rights Agreement, we have filed the registration statement that includes this prospectus with the SEC to register under the Securities Act the resale by Lincoln Park of up to 25,770,990 shares of common stock, consisting of 1,804,098 Commitment Shares (as defined in the Purchase Agreement) that we issued to Lincoln Park as payment of a commitment fee for its commitment to purchase shares of common stock at our election under to the Purchase Agreement, and up to 23,966,892 shares of common stock that we may elect, in our sole discretion, to issue and sell to Lincoln Park, from time to time from and after the Commencement Date under the Purchase Agreement.</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do not have the right to commence any sales of our common stock to Lincoln Park under the Purchase Agreement until the Commencement Date, which is the date on which all of the conditions to Lincoln Park’s purchase obligation set forth in the Purchase Agreement have been satisfied, including that the registration statement that includes this prospectus be declared effective by the SEC. From and after the Commencement Date, we will have the right, but not the obligation, from time to time at our sole discretion over the 24-month period commencing on the Commencement Date, to direct Lincoln Park to purchase up to 125,000 shares of our common stock on such business day (or the purchase date), which we refer to as a Regular Purchase, provided that (i) a Regular Purchase may be increased to up to 150,000 shares if the closing sale price of our common stock on Nasdaq is not below $0.50 on the applicable purchase date, (ii) a Regular Purchase may be increased to up to 200,000 shares if the closing sale price of our common stock on Nasdaq is not below $0.75 on the applicable purchase date, (iii) a Regular Purchase may be increased to up to 250,000 shares if the closing sale price of our common stock on Nasdaq is not below $1.00 on the applicable purchase date and (iv) a Regular Purchase may be increased to up to 300,000 shares if the closing sale price of our common stock on Nasdaq is not below $1.25 on the applicable purchase date.</w:t>
      </w:r>
    </w:p>
    <w:p>
      <w:pPr>
        <w:spacing w:after="0" w:line="11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From and after the Commencement Date, we will control the timing and amount of any sales of common stock to Lincoln Park. Actual sales of shares of our common stock to Lincoln Park under the Purchase Agreement will depend on a variety of factors to be determined by us from time to time, including, among other things, market conditions, the trading price of our common stock and determinations by us as to the appropriate sources of funding for our business and its operations.</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Lincoln Park under the Purchase Agreement more than 17,132,289 shares of common stock, which number of shares is equal to 19.99% of the shares of the common stock outstanding as of the date of the Purchase Agreement (the “Exchange Cap”), unless (i) we obtain stockholder approval to issue shares of common stock in excess of the Exchange Cap in accordance with applicable Nasdaq rules or (ii) the average price per share paid by Lincoln Park for all of the shares of common stock that we direct Lincoln Park to purchase from us pursuant to the Purchase Agreement, if any, equals or exceeds $0.2883 per share (representing the lower of the official closing price of our common stock on Nasdaq on the trading day immediately preceding the date of the Purchase Agreement or the average official closing price of our common stock on Nasdaq for the five consecutive trading days ending on the trading day immediately preceding the date of the Purchase Agreement, as adjusted pursuant to applicable Nasdaq rules). Moreover, we may not issue or sell any shares of common stock to Lincoln Park under the Purchase Agreement which, when aggregated with all other shares of common stock then beneficially owned by Lincoln Park and its affiliates (as calculated pursuant to Section 13(d) of the Exchange Act and Rule 13d-3 promulgated thereunder), would result in Lincoln Park beneficially owning shares of common stock in excess of the 9.99% Beneficial Ownership Limitation (as such term defined in the Purchase Agreement).</w:t>
      </w:r>
    </w:p>
    <w:p>
      <w:pPr>
        <w:spacing w:after="0" w:line="200" w:lineRule="exact"/>
        <w:rPr>
          <w:sz w:val="20"/>
          <w:szCs w:val="20"/>
          <w:color w:val="auto"/>
        </w:rPr>
      </w:pPr>
    </w:p>
    <w:p>
      <w:pPr>
        <w:spacing w:after="0" w:line="202" w:lineRule="exact"/>
        <w:rPr>
          <w:sz w:val="20"/>
          <w:szCs w:val="20"/>
          <w:color w:val="auto"/>
        </w:rPr>
      </w:pPr>
    </w:p>
    <w:p>
      <w:pPr>
        <w:ind w:left="1260" w:right="3499"/>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Purchase of Shares of Common Stock Under the Purchase Agreement </w:t>
      </w:r>
      <w:r>
        <w:rPr>
          <w:rFonts w:ascii="Times New Roman" w:cs="Times New Roman" w:eastAsia="Times New Roman" w:hAnsi="Times New Roman"/>
          <w:sz w:val="18"/>
          <w:szCs w:val="18"/>
          <w:i w:val="1"/>
          <w:iCs w:val="1"/>
          <w:color w:val="auto"/>
        </w:rPr>
        <w:t>Regular Purchases</w:t>
      </w:r>
    </w:p>
    <w:p>
      <w:pPr>
        <w:spacing w:after="0" w:line="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Purchase Agreement, after the Commencement Date (as defined below), on any business day selected by us, we may direct Lincoln Park to purchase up to 125,000 shares of our common stock 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business day (or the purchase date), which we refer to as a Regular Purchase, provided, however, that</w:t>
      </w:r>
    </w:p>
    <w:p>
      <w:pPr>
        <w:spacing w:after="0" w:line="27" w:lineRule="exact"/>
        <w:rPr>
          <w:sz w:val="20"/>
          <w:szCs w:val="20"/>
          <w:color w:val="auto"/>
        </w:rPr>
      </w:pPr>
    </w:p>
    <w:p>
      <w:pPr>
        <w:ind w:left="1260" w:right="559"/>
        <w:spacing w:after="0" w:line="251" w:lineRule="auto"/>
        <w:tabs>
          <w:tab w:leader="none" w:pos="14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Regular Purchase may be increased to up to 150,000 shares if the closing sale price of our common stock on Nasdaq is not below $0.50 on the applicable purchase date, (ii) a Regular Purchase may be increased to up to 200,000 shares if the closing sale price of our common stock on Nasdaq is not below $0.75 on the applicable purchase date, (iii) a Regular Purchase may be increased to up to 250,000 shares if the closing sale price of our common stock on Nasdaq is not below $1.00 on the applicable purchase date and (iv) a Regular Purchase may be increased to up to 300,000 shares if the closing sale price of our common stock on Nasdaq is not below $1.25 on the applicable purchase date. We may direct Lincoln Park to purchase shares in Regular Purchases as often as every business day. The foregoing share amounts and per share prices will be adjusted for any reorganization, recapitalization, non-cash dividend, stock split, reverse stock split or other similar transaction occurring after the date of the Purchase Agreement.</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purchase price per share for each such Regular Purchase will be equal to the lesser of:</w:t>
      </w:r>
    </w:p>
    <w:p>
      <w:pPr>
        <w:spacing w:after="0" w:line="117"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for our common stock on Nasdaq on the purchase date of such shares;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three lowest closing sale prices for our common stock on Nasdaq during the 10 consecutive business days prior to the purchase date of such shares.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Accelerated Purchases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may also direct Lincoln Park, on any business day on which we have submitted a Regular Purchase notice for the maximum amount allowed for such Regular Purchase, to purchase an additional amount of our common stock, which we refer to as an Accelerated Purchase, of up to the lesser of:</w:t>
      </w:r>
    </w:p>
    <w:p>
      <w:pPr>
        <w:spacing w:after="0" w:line="68"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times the number of shares purchased pursuant to such Regular Purchase;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purchase price per share for each such Accelerated Purchase will be equal to 97% of the lower of:</w:t>
      </w:r>
    </w:p>
    <w:p>
      <w:pPr>
        <w:spacing w:after="0" w:line="117" w:lineRule="exact"/>
        <w:rPr>
          <w:sz w:val="20"/>
          <w:szCs w:val="20"/>
          <w:color w:val="auto"/>
        </w:rPr>
      </w:pPr>
    </w:p>
    <w:p>
      <w:pPr>
        <w:ind w:left="1800" w:right="10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our common stock on Nasdaq during the applicable Accelerated Purchase Measurement Period on the applicable Accelerated Purchase date;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the applicable Accelerated Purchase date.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Additional Accelerated Purchases</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may also direct Lincoln Park on any business day on which an Accelerated Purchase has been completed and all of the shares to be purchased thereunder have been delivered to Lincoln Park in accordance with the Purchase Agreement, to purchase an additional amount of our common stock, which we refer to as an Additional Accelerated Purchase, of up to the lesser of:</w:t>
      </w:r>
    </w:p>
    <w:p>
      <w:pPr>
        <w:spacing w:after="0" w:line="72" w:lineRule="exact"/>
        <w:rPr>
          <w:sz w:val="20"/>
          <w:szCs w:val="20"/>
          <w:color w:val="auto"/>
        </w:rPr>
      </w:pPr>
    </w:p>
    <w:p>
      <w:pPr>
        <w:ind w:left="1800" w:right="10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times the number of shares purchased pursuant to the applicable corresponding Regular Purchase; and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59"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shares of our common stock traded on Nasdaq during a certain portion of the normal trading hours on the applicable Additional Accelerated Purchase date as determined in accordance with the Purchase Agreement, which period of time on the applicable Additional Accelerated Purchase date we refer to as the “Additional Accelerated Purchase Measurement Period.”</w:t>
      </w:r>
    </w:p>
    <w:p>
      <w:pPr>
        <w:spacing w:after="0" w:line="33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may, in our sole discretion, submit multiple Additional Accelerated Purchase notices to Lincoln Park on a single Accelerated Purchase date, provided that all prior Accelerated Purchases and Additional Accelerated Purchases (including those that have occurred earlier on the same day) have been completed and all of the shares to be purchased thereunder have been properly delivered to Lincoln Park in accordance with the Purchase Agreement.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purchase price per share for each such Additional Accelerated Purchase will be equal to 97% of the lower of:</w:t>
      </w:r>
    </w:p>
    <w:p>
      <w:pPr>
        <w:spacing w:after="0" w:line="40" w:lineRule="exact"/>
        <w:rPr>
          <w:sz w:val="20"/>
          <w:szCs w:val="20"/>
          <w:color w:val="auto"/>
        </w:rPr>
      </w:pPr>
    </w:p>
    <w:p>
      <w:pPr>
        <w:ind w:left="1800" w:right="439" w:hanging="180"/>
        <w:spacing w:after="0" w:line="275"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our common stock on Nasdaq during the applicable Additional Accelerated Purchase Measurement Period on the applicable Additional Accelerated Purchase date; and</w:t>
      </w:r>
    </w:p>
    <w:p>
      <w:pPr>
        <w:spacing w:after="0" w:line="268"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the applicable Additional Accelerated Purchase date.</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10"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Events of default under the Purchase Agreement include the following:</w:t>
      </w:r>
    </w:p>
    <w:p>
      <w:pPr>
        <w:spacing w:after="0" w:line="117" w:lineRule="exact"/>
        <w:rPr>
          <w:sz w:val="20"/>
          <w:szCs w:val="20"/>
          <w:color w:val="auto"/>
        </w:rPr>
      </w:pPr>
    </w:p>
    <w:p>
      <w:pPr>
        <w:ind w:left="1800" w:right="419" w:hanging="180"/>
        <w:spacing w:after="0" w:line="253"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 but excluding a lapse or unavailability where (i) we terminate a registration statement after Lincoln Park has confirmed in writing that all of the shares of our common stock covered thereby have been resold or (ii) we supersede one registration statement with another registration statement, including (without limitation) by terminating a prior registration statement when it is effectively replaced with a new registration statement covering the shares of our common stock covered by the Purchase Agreement (provided in the case of this clause (ii) that all of the shares of our common stock covered by the superseded (or terminated) registration statement that have not theretofore been resold are included in the superseding (or new) registration statement);</w:t>
      </w:r>
    </w:p>
    <w:p>
      <w:pPr>
        <w:spacing w:after="0" w:line="29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by the principal market of our common stock from trading for a period of one business day;</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the Exchange Cap is reached unless and until shareholder approval is obtained, to the extent applicable;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common stock from the Nasdaq Capital Market, our principal market, unless our common stock is immediately thereafter trading on the Nasdaq Global Select Market, the Nasdaq Global Market, the New York Stock Exchange, the Nasdaq Capital Market, the NYSE American, the NYSE Arca, the OTC Bulletin Board or the OTCQB or the OTCQX operated by the OTC Markets Group, Inc. (or any nationally recognized successor to any of the foregoing);</w:t>
      </w:r>
    </w:p>
    <w:p>
      <w:pPr>
        <w:spacing w:after="0" w:line="75"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our transfer agent to issue shares of our common stock to Lincoln Park within two business days after any Regular Purchase date, Accelerated Purchase date or Additional Accelerated Purchase date, as applicable, on which Lincoln Park is entitled to receive such shares;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representations, warranties, covenants or other terms or conditions contained in the Purchase Agreement or Registration Rights Agreement or any other certificate, instrument or document executed by the Company contemplated in such transaction documents if such breach would reasonably be expected to have a Material Adverse Effect (as defined in the Purchase Agreement) except, in the case of a breach of a covenant that is reasonably curable, that is not cured within a period of at least five business days;</w:t>
      </w:r>
    </w:p>
    <w:p>
      <w:pPr>
        <w:spacing w:after="0" w:line="79"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(as defined in the Purchase Agreement) commences a proceeding against the Company pursuant to or within the meaning of any Bankruptcy Law;</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8"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is not eligible to transfer its Common Stock electronically as DWAC Shares or if the Company fails to maintain the service of its Transfer Agent (or a successor Transfer Agent) with respect to the issuance of Purchase Shares under this Agreement, including but not limited to, maintaining the effectiveness of the Commencement Irrevocable Transfer Instructions, payment of all owed to the Transfer Agent and satisfaction of all conditions required by the Transfer Agent to issue Purchase Shares pursuant to the Commencement Irrevocable Transfer Agent Instructions.</w:t>
      </w:r>
    </w:p>
    <w:p>
      <w:pPr>
        <w:spacing w:after="0" w:line="33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Lincoln Park does not have the right to terminate the Purchase Agreement upon any of the events of default set forth above however, the Purchase Agreement will automatically terminate upon initiation of insolvency or bankruptcy proceedings by or against us. During an event of default, all of which are outside of Lincoln Park’s control, we may not direct Lincoln Park to purchase any shares of our common stock under the Purchase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54" w:lineRule="exact"/>
        <w:rPr>
          <w:sz w:val="20"/>
          <w:szCs w:val="20"/>
          <w:color w:val="auto"/>
        </w:rPr>
      </w:pPr>
    </w:p>
    <w:p>
      <w:pPr>
        <w:ind w:left="1800" w:right="6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immediately following the 24-month anniversary of the Commencement Date;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commences a voluntary bankruptcy case or any third party commences a bankruptcy proceeding against the Company, a custodian is appointed for the Company in a bankruptcy proceeding for all or substantially all of its property, or the Company makes a general assignment for the benefit of its creditors;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Lincoln Park shall have purchased shares of our common stock under the Purchase Agreement for an aggregate gross purchase price equal to $25 million.</w:t>
      </w:r>
    </w:p>
    <w:p>
      <w:pPr>
        <w:spacing w:after="0" w:line="94"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the Commencement Date for any reason or for no reason, without any liability whatsoever, upon one business day’s notice to Lincoln Park.</w:t>
      </w:r>
    </w:p>
    <w:p>
      <w:pPr>
        <w:spacing w:after="0" w:line="322"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and Lincoln Park also have the option to terminate the Purchase Agreement in the event that the Commencement Date has not occurred on or before February 28, 2023, due to the other party’s failure to satisfy its conditions set forth in the Purchase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Short-Selling or Hedging by Lincoln Park</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Prohibitions on Other Equity Lines of Credit</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Subject to specified exceptions included in the Purchase Agreement, until the expiration of the 24-month term of the Purchase Agreement, we are limited in our ability to enter into any “equity line of credit” or other similar continuous offering in which we may offer, issue or sell common stock or securities convertible into or exercisable for common stock at a future determined price, other than an “at the market offering” exclusively through a registered broker-dealer acting as our agent.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Purchase Agreement on our Stockholders</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All shares of common stock that may be issued or sold by us to Lincoln Park under the Purchase Agreement that are being registered under the Securities Act for resale by Lincoln Park in this offering are expected to be freely tradable. The shares of common stock being registered for resale in this offering may be issued and sold by us to Lincoln Park from time to time at our discretion over a period of up to</w:t>
      </w:r>
    </w:p>
    <w:p>
      <w:pPr>
        <w:spacing w:after="0" w:line="2"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24 months commencing on the Commencement Date. The resale by Lincoln Park of a significant amount of shares registered for resale in this offering at any given time, or the perception that these sales may occur, could cause the market price of our common stock to decline and to be highly volatile.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w:t>
      </w:r>
    </w:p>
    <w:p>
      <w:pPr>
        <w:spacing w:after="0" w:line="32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Therefore, sales to Lincoln Park by us under the Purchase Agreement may result in substantial dilution to the interests of other holders of our common stock.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shares to Lincoln Park and the Purchase Agreement may be terminated by us at any time at our discretion without any cost to us.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terms of the Purchase Agreement, we have the right, but not the obligation, to direct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Lincoln Park to purchase up to $25,000,000 of our common stock, exclusive of the 1,804,098 Commitment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Shares issued to Lincoln Park as consideration for its commitment to purchase shares of our common stock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Purchase Agreement. The Purchase Agreement prohibits us from issuing or selling to Lincoln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Park under the Purchase Agreement (i) shares of our common stock in excess of the Exchange Cap, unless</w:t>
      </w:r>
    </w:p>
    <w:p>
      <w:pPr>
        <w:ind w:left="1260"/>
        <w:spacing w:after="0" w:line="234" w:lineRule="auto"/>
        <w:rPr>
          <w:sz w:val="20"/>
          <w:szCs w:val="20"/>
          <w:color w:val="auto"/>
        </w:rPr>
      </w:pPr>
      <w:r>
        <w:rPr>
          <w:rFonts w:ascii="Times New Roman" w:cs="Times New Roman" w:eastAsia="Times New Roman" w:hAnsi="Times New Roman"/>
          <w:sz w:val="18"/>
          <w:szCs w:val="18"/>
          <w:color w:val="auto"/>
        </w:rPr>
        <w:t>we obtain stockholder approval to issue shares in excess of the Exchange Cap or the average price of all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sales of our common stock to Lincoln Park under the Purchase Agreement equals or exceeds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$0.2883 per share, such that the transactions contemplated by the Purchase Agreement are exempt from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Exchange Cap limitation under applicable Nasdaq rules and (ii) any shares of our common stock if those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when aggregated with all other shares of our common stock then beneficially owned by Lincoln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Park, would exceed the 9.99% of our outstanding shares of common stock.</w:t>
      </w:r>
    </w:p>
    <w:p>
      <w:pPr>
        <w:spacing w:after="0" w:line="12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Lincoln Park from our sale of shares of common stock to Lincoln Park under the Purchase Agreement at varying purchase prices:</w:t>
      </w:r>
    </w:p>
    <w:p>
      <w:pPr>
        <w:spacing w:after="0" w:line="35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Gross Proceeds from</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Sale of Shares to</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8"/>
              </w:rPr>
              <w:t>the Selling</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Registered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After Giving Effect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Securityholder Under</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to be Issued if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Issuance to the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Purchase</w:t>
            </w:r>
          </w:p>
        </w:tc>
        <w:tc>
          <w:tcPr>
            <w:tcW w:w="60" w:type="dxa"/>
            <w:vAlign w:val="bottom"/>
          </w:tcPr>
          <w:p>
            <w:pPr>
              <w:spacing w:after="0"/>
              <w:rPr>
                <w:sz w:val="14"/>
                <w:szCs w:val="14"/>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Per Share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Full Purchase</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Selling Securityholder</w:t>
            </w:r>
            <w:r>
              <w:rPr>
                <w:rFonts w:ascii="Times New Roman" w:cs="Times New Roman" w:eastAsia="Times New Roman" w:hAnsi="Times New Roman"/>
                <w:sz w:val="15"/>
                <w:szCs w:val="15"/>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8"/>
                <w:szCs w:val="18"/>
                <w:color w:val="auto"/>
              </w:rPr>
            </w:pPr>
          </w:p>
        </w:tc>
        <w:tc>
          <w:tcPr>
            <w:tcW w:w="10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5,991,723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$0.2883</w:t>
            </w:r>
            <w:r>
              <w:rPr>
                <w:rFonts w:ascii="Times New Roman" w:cs="Times New Roman" w:eastAsia="Times New Roman" w:hAnsi="Times New Roman"/>
                <w:sz w:val="23"/>
                <w:szCs w:val="23"/>
                <w:color w:val="auto"/>
                <w:vertAlign w:val="superscript"/>
              </w:rPr>
              <w:t>(3)</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6,909,655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​$ 11,983,446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​$ 23,966,892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​$ 25,000,000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-839470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-839470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-839470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79" w:hanging="360"/>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Purchase Agreement provides that we may sell up to $25 million of our common stock to Lincoln Park, we are only registering 23,966,892 shares of common stock, excluding 1,804,098 Commitment Shares, under this prospectus which represents shares which may be issued to Lincoln Park in the future under the Purchase Agreement, if and when we sell shares to Lincoln Park under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Purchase Agreement, and which may or may not cover all the shares we ultimately sell to Lincoln Park under the Purchase Agreement, depending on the purchase price per share. As a result, we have included in this column only those shares that we are registering in this offering, without regard to the Beneficial Ownership Limitation or the Exchange Cap. If we seek to issue shares of our common stock, including shares from other transactions that may be aggregated with the transactions contemplated by the Purchase Agreement under the applicable rules of Nasdaq, in excess of 17,132,289 shares, or</w:t>
      </w:r>
    </w:p>
    <w:p>
      <w:pPr>
        <w:spacing w:after="0" w:line="5"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19.99% of the total common stock outstanding immediately prior to the execution of the Purchase Agreement, we may be required to seek stockholder approval in order to be in compliance with the rules of Nasdaq. The assumed average purchase prices per share are solely for illustrative purposes and are not intended to be estimates or predictions of the future performance of our common stock.</w:t>
      </w:r>
    </w:p>
    <w:p>
      <w:pPr>
        <w:spacing w:after="0" w:line="54" w:lineRule="exact"/>
        <w:rPr>
          <w:sz w:val="20"/>
          <w:szCs w:val="20"/>
          <w:color w:val="auto"/>
        </w:rPr>
      </w:pPr>
    </w:p>
    <w:p>
      <w:pPr>
        <w:ind w:left="1620" w:right="539" w:hanging="360"/>
        <w:spacing w:after="0" w:line="258"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85,403,285 shares of our common stock outstanding as of September 30, 2022 (which includes the 1,804,098 Commitment Shares we issued to Lincoln Park on December 12, 2022), adjusted to include the issuance of the number of shares set forth in the second column that we would have sold to Lincoln Park, assuming the average purchase price in the first column. The numerator is based on the number of shares of common stock set forth in the second column.</w:t>
      </w:r>
    </w:p>
    <w:p>
      <w:pPr>
        <w:spacing w:after="0" w:line="3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Price as defined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and sold from time to time by Lincoln Park. All of the common stock offered by Lincoln Park pursuant to this prospectus will be sold by Lincoln Park for its own account. We will not receive any of the proceeds from these sales. We may receive up to $25 million aggregate gross proceeds under the Purchase Agreement from any sales we make to Lincoln Park pursuant to the Purchase Agreement. The net proceeds from sales, if any, under the Purchase Agreement, will depend on the frequency and prices at which we sell shares of common stock to Lincoln Park after the date of this prospectus. Because we are not obligated to sell any shares of our common stock under the Purchase Agreement, other than the Commitment Shares, the actual total offering amount and proceeds to us, if any, are not determinable at this time. See the section titled “Plan of Distribution” elsewhere in this prospectus for more information.</w:t>
      </w:r>
    </w:p>
    <w:p>
      <w:pPr>
        <w:spacing w:after="0" w:line="1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expect to use any proceeds that we receive under the Purchase Agreement to fund our ongoing Phase 2 clinical trial of MT-401 for the treatment of post-transplant AML, to advance our clinical programs in lymphoma and pancreatic cancer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 There can be no assurance that we will sell any shares under or fully utilize the Purchase Agreement as a source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by Lincoln Park of up to 25,770,990 shares of common stock that have been and may be issued by us to Lincoln Park under the Purchase Agreement. For additional information regarding the shares of common stock included in this prospectus, see the section titled “Committed Equity Financing” above. We are registering the shares of common stock included in this prospectus pursuant to the provisions of the Registration Rights Agreement we entered into with Lincoln Park on December 12, 2022 in order to permit Lincoln Park to offer the shares included in this prospectus for resale from time to time. Except for the transactions contemplated by the Purchase Agreement and the Registration Rights Agreement and as set forth in the section titled “Plan of Distribution” in this prospectus, Lincoln Park has not had any material relationship with us within the past three years.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Lincoln Park and the shares of common stock that may be resold by Lincoln Park from time to time under this prospectus. This table is prepared based on information supplied to us by Lincoln Park, and reflects holdings as of December 12, 2022. The number of shares in the column “Maximum Number of Shares of Common Stock to be Offered Pursuant to this Prospectus” represents all of the shares of common stock being offered for resale by Lincoln Park under this prospectus. Lincoln Park may sell some, all or none of the shares being offered for resale in this offering. We do not know how long Lincoln Park will hold the shares before selling them, and we are not aware of any existing arrangements between Lincoln Park and any other stockholder, broker, dealer, underwriter or agent relating to the sale or distribution of the shares of our common stock being offered for resale by this prospectus.</w:t>
      </w:r>
    </w:p>
    <w:p>
      <w:pPr>
        <w:spacing w:after="0" w:line="32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common stock with respect to which Lincoln Park has sole or shared voting and investment power. The percentage of shares of common stock beneficially owned by Lincoln Park prior to the offering shown in the table below is based on an aggregate of 83,599,187 shares of our common stock outstanding on September 30, 2022. Because the purchase price to be paid by Lincoln Park for shares of common stock, if any, that we may elect to sell to Lincoln Park from time to time under the Purchase Agreement will be determined on the applicable dates for such purchases, the actual number of shares of common stock that we may sell to Lincoln Park under the Purchase Agreement may be fewer than the number of shares being offered for resale under this prospectus. The fourth column assumes the resale by Lincoln Park of all of the shares of common stock being offered for resale pursuant to this prospectus.</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 Number of</w:t>
            </w:r>
          </w:p>
        </w:tc>
        <w:tc>
          <w:tcPr>
            <w:tcW w:w="22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2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Common Stock Owned</w:t>
            </w:r>
          </w:p>
        </w:tc>
        <w:tc>
          <w:tcPr>
            <w:tcW w:w="2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Common Stock Owned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to be Offered</w:t>
            </w:r>
          </w:p>
        </w:tc>
        <w:tc>
          <w:tcPr>
            <w:tcW w:w="2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Prior to Offering</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After Offering</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1"/>
        </w:trPr>
        <w:tc>
          <w:tcPr>
            <w:tcW w:w="32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40" w:type="dxa"/>
            <w:vAlign w:val="bottom"/>
            <w:tcBorders>
              <w:bottom w:val="single" w:sz="8" w:color="auto"/>
            </w:tcBorders>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Pursuant to this</w:t>
            </w:r>
          </w:p>
        </w:tc>
        <w:tc>
          <w:tcPr>
            <w:tcW w:w="220" w:type="dxa"/>
            <w:vAlign w:val="bottom"/>
            <w:vMerge w:val="continue"/>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3"/>
            <w:vMerge w:val="restart"/>
          </w:tcPr>
          <w:p>
            <w:pPr>
              <w:ind w:left="80"/>
              <w:spacing w:after="0" w:line="250"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860" w:type="dxa"/>
            <w:vAlign w:val="bottom"/>
            <w:gridSpan w:val="2"/>
            <w:vMerge w:val="restart"/>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Number</w:t>
            </w:r>
            <w:r>
              <w:rPr>
                <w:rFonts w:ascii="Times New Roman" w:cs="Times New Roman" w:eastAsia="Times New Roman" w:hAnsi="Times New Roman"/>
                <w:sz w:val="17"/>
                <w:szCs w:val="17"/>
                <w:b w:val="1"/>
                <w:bCs w:val="1"/>
                <w:color w:val="auto"/>
                <w:vertAlign w:val="superscript"/>
              </w:rPr>
              <w:t>(3)</w:t>
            </w:r>
          </w:p>
        </w:tc>
        <w:tc>
          <w:tcPr>
            <w:tcW w:w="860" w:type="dxa"/>
            <w:vAlign w:val="bottom"/>
            <w:gridSpan w:val="3"/>
            <w:vMerge w:val="restart"/>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3"/>
            <w:vMerge w:val="continue"/>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86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Lincoln Park Capital Fund, LLC</w:t>
            </w:r>
            <w:r>
              <w:rPr>
                <w:rFonts w:ascii="Times New Roman" w:cs="Times New Roman" w:eastAsia="Times New Roman" w:hAnsi="Times New Roman"/>
                <w:sz w:val="23"/>
                <w:szCs w:val="23"/>
                <w:color w:val="auto"/>
                <w:vertAlign w:val="superscript"/>
              </w:rPr>
              <w:t>(4)</w:t>
            </w:r>
          </w:p>
        </w:tc>
        <w:tc>
          <w:tcPr>
            <w:tcW w:w="1980" w:type="dxa"/>
            <w:vAlign w:val="bottom"/>
            <w:gridSpan w:val="6"/>
            <w:shd w:val="clear" w:color="auto" w:fill="CCEEFF"/>
          </w:tcPr>
          <w:p>
            <w:pPr>
              <w:ind w:left="60"/>
              <w:spacing w:after="0" w:line="290" w:lineRule="exact"/>
              <w:rPr>
                <w:sz w:val="20"/>
                <w:szCs w:val="20"/>
                <w:color w:val="auto"/>
              </w:rPr>
            </w:pP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​1,804,098</w:t>
            </w: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33"/>
                <w:szCs w:val="33"/>
                <w:color w:val="auto"/>
                <w:vertAlign w:val="subscript"/>
              </w:rPr>
              <w:t>​​ ​</w:t>
            </w:r>
          </w:p>
        </w:tc>
        <w:tc>
          <w:tcPr>
            <w:tcW w:w="1320" w:type="dxa"/>
            <w:vAlign w:val="bottom"/>
            <w:tcBorders>
              <w:right w:val="single" w:sz="8" w:color="CCEEFF"/>
            </w:tcBorders>
            <w:shd w:val="clear" w:color="auto" w:fill="CCEEFF"/>
          </w:tcPr>
          <w:p>
            <w:pPr>
              <w:jc w:val="cente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25,770,990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shd w:val="clear" w:color="auto" w:fill="CCEEFF"/>
          </w:tcPr>
          <w:p>
            <w:pPr>
              <w:ind w:left="26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0</w:t>
            </w:r>
          </w:p>
        </w:tc>
        <w:tc>
          <w:tcPr>
            <w:tcW w:w="800" w:type="dxa"/>
            <w:vAlign w:val="bottom"/>
            <w:gridSpan w:val="2"/>
            <w:shd w:val="clear" w:color="auto" w:fill="CCEEFF"/>
          </w:tcPr>
          <w:p>
            <w:pPr>
              <w:spacing w:after="0" w:line="290"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3"/>
                <w:szCs w:val="33"/>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-196215</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-196215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-196215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-196215</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-196215</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19" w:hanging="360"/>
        <w:spacing w:after="0" w:line="25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1,804,098 shares of common stock we issued to Lincoln Park on December 12, 2022 as Commitment Shares in consideration for entering into the Purchase Agreement with us. In accordance with Rule 13d-3(d) under the Exchange Act, we have excluded from the number of shares beneficially owned prior to the offering all of the shares that Lincoln Park may be required to purchase under the Purchase Agreement, because the issuance of such shares is solely at our discretion and is subject to conditions contained in the Purchase Agreement, the satisfaction of which are entirely outside of Lincoln Park’s control, including the registration statement that includes this prospectus becoming and remaining effective. Also, the Purchase Agreement prohibits us from issuing and selling any shares of our common stock to Lincoln Park to the extent such shares, when aggregated with all other shares of our common stock then beneficially owned by Lincoln Park, would cause Lincoln Park’s beneficial ownership of our common stock to exceed the 9.99% Beneficial Ownership Limitation. The Purchase Agreement also prohibits us from issuing or selling shares of our common stock under the Purchase Agreement in excess of the 19.99% Exchange Cap, unless we obtain stockholder approval to do so, or unless the average price per share paid by Lincoln Park for all shares of common stock purchased by Lincoln Park under the Purchase Agreement equals or exceeds $0.2883 per share, in which case the Exchange Cap limitation would no longer apply under applicable Nasdaq rules. Neither the Beneficial</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59"/>
        <w:spacing w:after="0" w:line="282" w:lineRule="auto"/>
        <w:rPr>
          <w:sz w:val="20"/>
          <w:szCs w:val="20"/>
          <w:color w:val="auto"/>
        </w:rPr>
      </w:pPr>
      <w:r>
        <w:rPr>
          <w:rFonts w:ascii="Times New Roman" w:cs="Times New Roman" w:eastAsia="Times New Roman" w:hAnsi="Times New Roman"/>
          <w:sz w:val="18"/>
          <w:szCs w:val="18"/>
          <w:color w:val="auto"/>
        </w:rPr>
        <w:t>Ownership Limitation nor the Exchange Cap (to the extent applicable under Nasdaq rules) may be amended or waived under the Purchase Agreement.</w:t>
      </w:r>
    </w:p>
    <w:p>
      <w:pPr>
        <w:spacing w:after="0" w:line="27" w:lineRule="exact"/>
        <w:rPr>
          <w:sz w:val="20"/>
          <w:szCs w:val="20"/>
          <w:color w:val="auto"/>
        </w:rPr>
      </w:pPr>
    </w:p>
    <w:p>
      <w:pPr>
        <w:ind w:left="1620" w:right="459" w:hanging="360"/>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83,599,187 shares of our common stock outstanding as of September 30, 2022.</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Scheinfeld and Jonathan Cope, the Managing Members of Lincoln Park, are deemed to be beneficial owners of all of the shares of common stock owned by Lincoln Park. Messrs. Cope and Scheinfeld have shared voting and investment power over the shares being offered under the prospectus in connection with the transactions contemplated under the Purchase Agreement. Lincoln Park is not a licensed broker dealer or an affiliate of a licensed broker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jc w:val="both"/>
        <w:ind w:left="1260" w:right="6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certificate of incorporation authorizes us to issue up to 300,000,000 shares of common stock,</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$0.001 par value per share, and 5,000,000 shares of preferred stock, $0.001 par value per share. Our board</w:t>
      </w:r>
    </w:p>
    <w:p>
      <w:pPr>
        <w:ind w:left="1260"/>
        <w:spacing w:after="0"/>
        <w:rPr>
          <w:sz w:val="20"/>
          <w:szCs w:val="20"/>
          <w:color w:val="auto"/>
        </w:rPr>
      </w:pPr>
      <w:r>
        <w:rPr>
          <w:rFonts w:ascii="Times New Roman" w:cs="Times New Roman" w:eastAsia="Times New Roman" w:hAnsi="Times New Roman"/>
          <w:sz w:val="18"/>
          <w:szCs w:val="18"/>
          <w:color w:val="auto"/>
        </w:rPr>
        <w:t>of directors may establish the rights and preferences of the preferred stock from time to time. As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2022, we had outstanding 83,599,187 shares of common stock and no shares of preferred</w:t>
      </w:r>
    </w:p>
    <w:p>
      <w:pPr>
        <w:ind w:left="1260"/>
        <w:spacing w:after="0"/>
        <w:rPr>
          <w:sz w:val="20"/>
          <w:szCs w:val="20"/>
          <w:color w:val="auto"/>
        </w:rPr>
      </w:pPr>
      <w:r>
        <w:rPr>
          <w:rFonts w:ascii="Times New Roman" w:cs="Times New Roman" w:eastAsia="Times New Roman" w:hAnsi="Times New Roman"/>
          <w:sz w:val="18"/>
          <w:szCs w:val="18"/>
          <w:color w:val="auto"/>
        </w:rPr>
        <w:t>stock outstanding.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4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directors, without stockholder approval, we may issue shares of preferred stock with voting and conversion rights which could adversely affect the holders of shares of our common stock.</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3"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0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0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9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10"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61" w:lineRule="exact"/>
        <w:rPr>
          <w:sz w:val="20"/>
          <w:szCs w:val="20"/>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Company, LLC, with offices at 6201 15th Avenue, Brooklyn, New York 11219. The transfer agent for any series of preferred stock that we may offer under this prospectus will be named and described in the prospectus supplement for that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by this prospectus are being offered by the Selling Stockholder, Lincoln Park Capital Fund, LLC. The shares may be sold or distributed from time to time by Lincoln Park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66"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makes or established business markets, including direct sales to purchasers or sales effected through agents;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0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5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Lincoln Park Capital Fund, LLC is an “underwriter” within the meaning of Section 2(a)(11) of the Securities Act.</w:t>
      </w:r>
    </w:p>
    <w:p>
      <w:pPr>
        <w:spacing w:after="0" w:line="27"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Lincoln Park Capital Fund, LLC has informed us that it intends to use an unaffiliated broker- to effectuate all sales, if any, of our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Lincoln Park Capital Fund, LLC has informed us that each such broker-dealer, may receive commissions from Lincoln Park Capital Fund, LLC for executing such sales for Lincoln Park Capital Fund, LLC and, if so, such commissions will not exceed customary brokerage commissions.</w:t>
      </w:r>
    </w:p>
    <w:p>
      <w:pPr>
        <w:spacing w:after="0" w:line="283"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Lincoln Park through this prospectus. The compensation paid to any such particular broker-dealer by any such purchasers of shares of our common stock sold by Lincoln Park may be less than or in excess of customary commissions. Neither we nor Lincoln Park can presently estimate the amount of compensation that any agent will receive from any purchasers of shares of our common stock sold by Lincoln Park.</w:t>
      </w:r>
    </w:p>
    <w:p>
      <w:pPr>
        <w:spacing w:after="0" w:line="67"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know of no existing arrangements between Lincoln Park or any other stockholder, broker, dealer, underwriter or agent relating to the sale or distribution of the shares of our common stock offered by this prospectus.</w:t>
      </w:r>
    </w:p>
    <w:p>
      <w:pPr>
        <w:spacing w:after="0" w:line="4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Lincoln Park, including with respect to any compensation paid or payable by Lincoln Park to any brokers, dealers, underwriters or agents that participate in the distribution of such shares by Lincoln Park, and any other related information required to be disclosed under the Securities Act.</w:t>
      </w:r>
    </w:p>
    <w:p>
      <w:pPr>
        <w:spacing w:after="0" w:line="67"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Lincoln Park.</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Cooley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Washington, D.C.</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as of and for the years ended December 31, 2021 and 2020, as set forth in its report included in our 2021 Annual Report on Form 10-K (which contains an explanatory paragraph relating to substantial doubt about the ability of Marker Therapeutics, Inc. to continue as a going concern as described in Note 2 to the consolidated financial statements). Our 2021 and 2020 financial statements are incorporated by reference in reliance on Marcum LLP’s report, given on their authority as experts in accounting and auditing.</w:t>
      </w:r>
    </w:p>
    <w:p>
      <w:pPr>
        <w:spacing w:after="0" w:line="39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Marker and the securities offered by this prospectus, we refer you to the registration statement and its exhibits and to the documents incorporated by reference herein. Statements contained in this prospectus as to the contents of any contract or any other document referred to are not necessarily complete, and in each instance, we refer you to the copy of the contract or other document filed as an exhibit to the registration statement or a document incorporated by reference herein. Each of these statements is qualified in all respects by this reference.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and we file reports, proxy statements and other information with the SEC. These reports, proxy statements and other information will be available for review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www.markertherapeutics.com</w:t>
      </w:r>
      <w:r>
        <w:rPr>
          <w:rFonts w:ascii="Times New Roman" w:cs="Times New Roman" w:eastAsia="Times New Roman" w:hAnsi="Times New Roman"/>
          <w:sz w:val="18"/>
          <w:szCs w:val="18"/>
          <w:color w:val="auto"/>
        </w:rPr>
        <w:t>, at which you may access these materials free of charge as soon as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practicable after they are electronically filed with, or furnished to, the SEC. The information contained in, or that can be accessed through, our website is not part of this prospectus. We have included our website in this prospectus solely as an inactive textual reference.</w:t>
      </w:r>
    </w:p>
    <w:p>
      <w:pPr>
        <w:spacing w:after="0" w:line="18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(Commission File No. 001-37939):</w:t>
      </w:r>
    </w:p>
    <w:p>
      <w:pPr>
        <w:spacing w:after="0" w:line="295" w:lineRule="exact"/>
        <w:rPr>
          <w:sz w:val="20"/>
          <w:szCs w:val="20"/>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March 17, 2022;</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800" w:right="639" w:hanging="180"/>
        <w:spacing w:after="0" w:line="266" w:lineRule="auto"/>
        <w:tabs>
          <w:tab w:leader="none" w:pos="1800" w:val="left"/>
        </w:tabs>
        <w:numPr>
          <w:ilvl w:val="0"/>
          <w:numId w:val="24"/>
        </w:numPr>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our Definitive Proxy Statement on Schedule 14A, filed with the SEC on April 15,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color w:val="000000"/>
          </w:rPr>
          <w:t xml:space="preserve">those portions that are not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000000"/>
        </w:rPr>
        <w:t xml:space="preserve"> </w:t>
      </w:r>
      <w:hyperlink r:id="rId67">
        <w:r>
          <w:rPr>
            <w:rFonts w:ascii="Times New Roman" w:cs="Times New Roman" w:eastAsia="Times New Roman" w:hAnsi="Times New Roman"/>
            <w:sz w:val="18"/>
            <w:szCs w:val="18"/>
            <w:u w:val="single" w:color="auto"/>
            <w:color w:val="0000EE"/>
          </w:rPr>
          <w:t>fiscal year ended December 31, 2021);</w:t>
        </w:r>
      </w:hyperlink>
    </w:p>
    <w:p>
      <w:pPr>
        <w:spacing w:after="0" w:line="67" w:lineRule="exact"/>
        <w:rPr>
          <w:rFonts w:ascii="Times New Roman" w:cs="Times New Roman" w:eastAsia="Times New Roman" w:hAnsi="Times New Roman"/>
          <w:sz w:val="18"/>
          <w:szCs w:val="18"/>
          <w:u w:val="single" w:color="auto"/>
          <w:color w:val="0000EE"/>
        </w:rPr>
      </w:pPr>
    </w:p>
    <w:p>
      <w:pPr>
        <w:jc w:val="both"/>
        <w:ind w:left="1800" w:right="43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March 31, 2022, June 30, 2022 and September 30, 2022, filed with the SEC on </w:t>
      </w:r>
      <w:hyperlink r:id="rId68">
        <w:r>
          <w:rPr>
            <w:rFonts w:ascii="Times New Roman" w:cs="Times New Roman" w:eastAsia="Times New Roman" w:hAnsi="Times New Roman"/>
            <w:sz w:val="18"/>
            <w:szCs w:val="18"/>
            <w:u w:val="single" w:color="auto"/>
            <w:color w:val="0000EE"/>
          </w:rPr>
          <w:t>May 13, 2022</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August 11,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0">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1">
        <w:r>
          <w:rPr>
            <w:rFonts w:ascii="Times New Roman" w:cs="Times New Roman" w:eastAsia="Times New Roman" w:hAnsi="Times New Roman"/>
            <w:sz w:val="18"/>
            <w:szCs w:val="18"/>
            <w:u w:val="single" w:color="auto"/>
            <w:color w:val="0000EE"/>
          </w:rPr>
          <w:t>February 16, 2022</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February 18, 2022</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April 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27,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20,</w:t>
        </w:r>
      </w:hyperlink>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December 13, 2022</w:t>
        </w:r>
      </w:hyperlink>
      <w:hyperlink r:id="rId73">
        <w:r>
          <w:rPr>
            <w:rFonts w:ascii="Times New Roman" w:cs="Times New Roman" w:eastAsia="Times New Roman" w:hAnsi="Times New Roman"/>
            <w:sz w:val="18"/>
            <w:szCs w:val="18"/>
            <w:color w:val="000000"/>
          </w:rPr>
          <w:t>; and</w:t>
        </w:r>
      </w:hyperlink>
    </w:p>
    <w:p>
      <w:pPr>
        <w:sectPr>
          <w:pgSz w:w="11900" w:h="16838" w:orient="portrait"/>
          <w:cols w:equalWidth="0" w:num="1">
            <w:col w:w="9879"/>
          </w:cols>
          <w:pgMar w:left="580" w:top="97" w:right="1440" w:bottom="1440" w:gutter="0" w:footer="0" w:header="0"/>
        </w:sectPr>
      </w:pPr>
    </w:p>
    <w:p>
      <w:pPr>
        <w:spacing w:after="0" w:line="351"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3" w:lineRule="auto"/>
        <w:tabs>
          <w:tab w:leader="none" w:pos="1800" w:val="left"/>
        </w:tabs>
        <w:numPr>
          <w:ilvl w:val="0"/>
          <w:numId w:val="25"/>
        </w:numPr>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the description of our common stock set forth in the amendment to the registration statement on</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Form 8-A registering our common stock under Section 12 of the Exchange Act, which was filed with</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the SEC on October 17, 2018, including any amendments or reports filed for purposes of updating</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such 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08" w:lineRule="exact"/>
        <w:rPr>
          <w:rFonts w:ascii="Times New Roman" w:cs="Times New Roman" w:eastAsia="Times New Roman" w:hAnsi="Times New Roman"/>
          <w:sz w:val="18"/>
          <w:szCs w:val="18"/>
          <w:u w:val="single" w:color="auto"/>
          <w:color w:val="0000EE"/>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8"/>
          <w:szCs w:val="18"/>
          <w:u w:val="single" w:color="auto"/>
          <w:color w:val="0000EE"/>
        </w:rPr>
      </w:pPr>
    </w:p>
    <w:p>
      <w:pPr>
        <w:ind w:left="1260" w:right="459"/>
        <w:spacing w:after="0" w:line="253" w:lineRule="auto"/>
        <w:tabs>
          <w:tab w:leader="none" w:pos="14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initial filing of the registration statement of which this prospectus forms a part and prior to effectiveness of the registration statement, or (ii) after the date of this prospectus but prior to the termination of this offering. These documents include periodic reports, such as Annual Reports on Form 10-K, Quarterly Reports on Form 10-Q and Current Reports on Form 8-K, as well as proxy statements.</w:t>
      </w:r>
    </w:p>
    <w:p>
      <w:pPr>
        <w:spacing w:after="0" w:line="108" w:lineRule="exact"/>
        <w:rPr>
          <w:rFonts w:ascii="Times New Roman" w:cs="Times New Roman" w:eastAsia="Times New Roman" w:hAnsi="Times New Roman"/>
          <w:sz w:val="18"/>
          <w:szCs w:val="18"/>
          <w:u w:val="single" w:color="auto"/>
          <w:color w:val="0000EE"/>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Marker Therapeutics, Inc., Attn: Corporate Secretary, 4551 Kennedy Commerce Dr., Houston, Texas, 77027 and our telephone number is (713) 400-6400.</w:t>
      </w:r>
    </w:p>
    <w:p>
      <w:pPr>
        <w:spacing w:after="0" w:line="110" w:lineRule="exact"/>
        <w:rPr>
          <w:rFonts w:ascii="Times New Roman" w:cs="Times New Roman" w:eastAsia="Times New Roman" w:hAnsi="Times New Roman"/>
          <w:sz w:val="18"/>
          <w:szCs w:val="18"/>
          <w:u w:val="single" w:color="auto"/>
          <w:color w:val="0000EE"/>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You also may access these filings on our website at </w:t>
      </w:r>
      <w:r>
        <w:rPr>
          <w:rFonts w:ascii="Times New Roman" w:cs="Times New Roman" w:eastAsia="Times New Roman" w:hAnsi="Times New Roman"/>
          <w:sz w:val="18"/>
          <w:szCs w:val="18"/>
          <w:i w:val="1"/>
          <w:iCs w:val="1"/>
          <w:color w:val="auto"/>
        </w:rPr>
        <w:t>www.markertherapeutics.com</w:t>
      </w:r>
      <w:r>
        <w:rPr>
          <w:rFonts w:ascii="Times New Roman" w:cs="Times New Roman" w:eastAsia="Times New Roman" w:hAnsi="Times New Roman"/>
          <w:sz w:val="18"/>
          <w:szCs w:val="18"/>
          <w:color w:val="auto"/>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18" w:lineRule="exact"/>
        <w:rPr>
          <w:rFonts w:ascii="Times New Roman" w:cs="Times New Roman" w:eastAsia="Times New Roman" w:hAnsi="Times New Roman"/>
          <w:sz w:val="18"/>
          <w:szCs w:val="18"/>
          <w:u w:val="single" w:color="auto"/>
          <w:color w:val="0000EE"/>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5" w:lineRule="exact"/>
        <w:rPr>
          <w:rFonts w:ascii="Times New Roman" w:cs="Times New Roman" w:eastAsia="Times New Roman" w:hAnsi="Times New Roman"/>
          <w:sz w:val="18"/>
          <w:szCs w:val="18"/>
          <w:u w:val="single" w:color="auto"/>
          <w:color w:val="0000EE"/>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1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25,770,990 Shares</w:t>
      </w:r>
    </w:p>
    <w:p>
      <w:pPr>
        <w:spacing w:after="0" w:line="21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1833245</wp:posOffset>
            </wp:positionV>
            <wp:extent cx="2854325" cy="779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8543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5"/>
          <w:szCs w:val="25"/>
          <w:b w:val="1"/>
          <w:bCs w:val="1"/>
          <w:color w:val="auto"/>
        </w:rPr>
        <w:t>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1250315</wp:posOffset>
            </wp:positionV>
            <wp:extent cx="5212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1260" w:right="89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8"/>
                <w:szCs w:val="28"/>
                <w:b w:val="1"/>
                <w:bCs w:val="1"/>
                <w:color w:val="auto"/>
                <w:vertAlign w:val="subscript"/>
              </w:rPr>
              <w:t>​</w:t>
            </w:r>
          </w:p>
        </w:tc>
      </w:tr>
      <w:tr>
        <w:trPr>
          <w:trHeight w:val="20"/>
        </w:trPr>
        <w:tc>
          <w:tcPr>
            <w:tcW w:w="72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​​$125,000</w:t>
            </w:r>
          </w:p>
        </w:tc>
        <w:tc>
          <w:tcPr>
            <w:tcW w:w="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7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34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9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155,000</w:t>
            </w:r>
            <w:r>
              <w:rPr>
                <w:rFonts w:ascii="Times New Roman" w:cs="Times New Roman" w:eastAsia="Times New Roman" w:hAnsi="Times New Roman"/>
                <w:sz w:val="28"/>
                <w:szCs w:val="28"/>
                <w:color w:val="auto"/>
                <w:vertAlign w:val="subscript"/>
              </w:rPr>
              <w:t>​</w:t>
            </w:r>
          </w:p>
        </w:tc>
      </w:tr>
      <w:tr>
        <w:trPr>
          <w:trHeight w:val="21"/>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-1045210</wp:posOffset>
            </wp:positionV>
            <wp:extent cx="4766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19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Discounts, concessions, commissions and similar selling expenses attributable to the sale of shares of common stock covered by this prospectus will be borne by the selling securityholders. We will pay all expenses (other than discounts, concessions, commissions and similar selling expenses) relating to the registration of the shares with the SEC, as estimated in the table above.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32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33"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1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bylaws provide that we will indemnify each person made, or threatened to be made, a party to an action or proceeding by reason of the fact that he or she is or was a director or officer of our company, or a director officer of a predecessor corporation or of another corporation if such person served in such position at our request, against all expenses incurred in defending a criminal or civil action, suit or proceeding. Such expenses will be paid by us in advance of the final disposition of such action, suit or proceeding upon receipt of an undertaking by or on behalf of such director to repay any advanced amounts if it is ultimately determined that he or she is not entitled to indemnification as authorized by relevant section of the DGCL. We are not obligated to advance expenses to an agent who is a party to an action, suit or proceeding brought by us and approved by a majority of our board of directors alleging willful misappropriate of corporate assets by such agent, disclosure of confidential information in violation of such agent’s fiduciary or contractual obligations to us or any other willful and deliberate breach in bad faith of such agent’s duty to us or our stockholders.</w:t>
      </w:r>
    </w:p>
    <w:p>
      <w:pPr>
        <w:spacing w:after="0" w:line="333"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14"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3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the terms of the Merger Agreement and subject to applicable law, from the effective time of the merger, or the Effective Time, through the sixth anniversary of the date on which the Effective Time occurs, we and TapImmune shall each jointly and severally indemnify and hold harmless each person who is, or has been at any time prior to the date thereof, or who became prior to the Effective Time, a director or officer of TapImmune or Private Marker, respectively, against all costs incurred in connection with any claim, action, suit, proceeding or investigation, whether civil, criminal, administrative or investigative, arising out of or pertaining to the fact that such person is or was a director or officer of TapImmune or Private Marker, whether asserted or claimed prior to, at or after the Effective Time, in each case, to the fullest extent permitted under the DGCL for directors or officers of Delaware corporations, provided that any such person to whom expenses are advanced provides an undertaking, as applicable, to the extent then required by the DGCL, to repay such advances if it is ultimately determined that such person is not entitled to indemnification.</w:t>
      </w:r>
    </w:p>
    <w:p>
      <w:pPr>
        <w:spacing w:after="0" w:line="32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Further, pursuant to the Merger Agreement, the provisions of our certificate of incorporation and our bylaws shall contain provisions no less favorable with respect to indemnification, advancement of expenses and exculpation of present and former directors and officers of each of TapImmune and Private Marker than were set forth in the certificate of incorporation and bylaws of TapImmune and Private Marker, as applicable, and such provisions shall not be amended, modified or repealed for a period of six years from</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60"/>
        <w:spacing w:after="0" w:line="282" w:lineRule="auto"/>
        <w:rPr>
          <w:sz w:val="20"/>
          <w:szCs w:val="20"/>
          <w:color w:val="auto"/>
        </w:rPr>
      </w:pPr>
      <w:r>
        <w:rPr>
          <w:rFonts w:ascii="Times New Roman" w:cs="Times New Roman" w:eastAsia="Times New Roman" w:hAnsi="Times New Roman"/>
          <w:sz w:val="18"/>
          <w:szCs w:val="18"/>
          <w:color w:val="auto"/>
        </w:rPr>
        <w:t>the Effective Time in a manner that would adversely affect the rights thereunder of individuals who, at or prior to the Effective Time, were officers or directors of TapImmune or Private Marker.</w:t>
      </w:r>
    </w:p>
    <w:p>
      <w:pPr>
        <w:spacing w:after="0" w:line="94" w:lineRule="exact"/>
        <w:rPr>
          <w:sz w:val="20"/>
          <w:szCs w:val="20"/>
          <w:color w:val="auto"/>
        </w:rPr>
      </w:pPr>
    </w:p>
    <w:p>
      <w:pPr>
        <w:ind w:left="1260" w:right="840" w:firstLine="360"/>
        <w:spacing w:after="0" w:line="256" w:lineRule="auto"/>
        <w:rPr>
          <w:sz w:val="20"/>
          <w:szCs w:val="20"/>
          <w:color w:val="auto"/>
        </w:rPr>
      </w:pPr>
      <w:r>
        <w:rPr>
          <w:rFonts w:ascii="Times New Roman" w:cs="Times New Roman" w:eastAsia="Times New Roman" w:hAnsi="Times New Roman"/>
          <w:sz w:val="18"/>
          <w:szCs w:val="18"/>
          <w:color w:val="auto"/>
        </w:rPr>
        <w:t>We shall pay all expenses, including reasonable attorneys’ fees, that are incurred by indemnified persons in connection with their enforcement of the rights provided to such persons in the Merger Agreement. The director and officer indemnification provisions of the Merger Agreement are intended to be in addition to the rights otherwise available to the former officers and directors of TapImmune and Private Marker by law, charter, statute, bylaw or agreement, and shall operate for the benefit of, and shall be enforceable by, each of such indemnified persons, their heirs and their representatives.</w:t>
      </w:r>
    </w:p>
    <w:p>
      <w:pPr>
        <w:spacing w:after="0" w:line="120" w:lineRule="exact"/>
        <w:rPr>
          <w:sz w:val="20"/>
          <w:szCs w:val="20"/>
          <w:color w:val="auto"/>
        </w:rPr>
      </w:pPr>
    </w:p>
    <w:p>
      <w:pPr>
        <w:ind w:left="1260" w:right="800" w:firstLine="360"/>
        <w:spacing w:after="0" w:line="259" w:lineRule="auto"/>
        <w:rPr>
          <w:sz w:val="20"/>
          <w:szCs w:val="20"/>
          <w:color w:val="auto"/>
        </w:rPr>
      </w:pPr>
      <w:r>
        <w:rPr>
          <w:rFonts w:ascii="Times New Roman" w:cs="Times New Roman" w:eastAsia="Times New Roman" w:hAnsi="Times New Roman"/>
          <w:sz w:val="18"/>
          <w:szCs w:val="18"/>
          <w:color w:val="auto"/>
        </w:rPr>
        <w:t>In the event we or TapImmune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our successors and assigns shall succeed to the indemnification obligations set forth in the Merger Agreement.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2019:</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tabs>
          <w:tab w:leader="none" w:pos="740" w:val="left"/>
          <w:tab w:leader="none" w:pos="1000" w:val="left"/>
        </w:tabs>
        <w:rPr>
          <w:sz w:val="20"/>
          <w:szCs w:val="20"/>
          <w:color w:val="auto"/>
        </w:rPr>
      </w:pPr>
      <w:r>
        <w:rPr>
          <w:rFonts w:ascii="Times New Roman" w:cs="Times New Roman" w:eastAsia="Times New Roman" w:hAnsi="Times New Roman"/>
          <w:sz w:val="14"/>
          <w:szCs w:val="14"/>
          <w:b w:val="1"/>
          <w:bCs w:val="1"/>
          <w:color w:val="auto"/>
        </w:rPr>
        <w:t>​</w:t>
        <w:tab/>
        <w:t>​</w:t>
        <w:tab/>
        <w: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500"/>
        <w:spacing w:after="0" w:line="186" w:lineRule="auto"/>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540" w:hanging="180"/>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2019, we issued 15,000 shares of common stock to a vendor;</w:t>
      </w:r>
    </w:p>
    <w:p>
      <w:pPr>
        <w:spacing w:after="0" w:line="117" w:lineRule="exact"/>
        <w:rPr>
          <w:rFonts w:ascii="Times New Roman" w:cs="Times New Roman" w:eastAsia="Times New Roman" w:hAnsi="Times New Roman"/>
          <w:sz w:val="18"/>
          <w:szCs w:val="18"/>
          <w:color w:val="auto"/>
        </w:rPr>
      </w:pPr>
    </w:p>
    <w:p>
      <w:pPr>
        <w:ind w:left="540" w:hanging="180"/>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2019, we issued 15,000 shares of common stock to a vendor; and</w:t>
      </w:r>
    </w:p>
    <w:p>
      <w:pPr>
        <w:spacing w:after="0" w:line="117" w:lineRule="exact"/>
        <w:rPr>
          <w:rFonts w:ascii="Times New Roman" w:cs="Times New Roman" w:eastAsia="Times New Roman" w:hAnsi="Times New Roman"/>
          <w:sz w:val="18"/>
          <w:szCs w:val="18"/>
          <w:color w:val="auto"/>
        </w:rPr>
      </w:pPr>
    </w:p>
    <w:p>
      <w:pPr>
        <w:ind w:left="540" w:hanging="180"/>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2019, we issued 17,400 shares of common stock to a vendor.</w:t>
      </w:r>
    </w:p>
    <w:p>
      <w:pPr>
        <w:spacing w:after="0" w:line="158" w:lineRule="exact"/>
        <w:rPr>
          <w:sz w:val="20"/>
          <w:szCs w:val="20"/>
          <w:color w:val="auto"/>
        </w:rPr>
      </w:pPr>
    </w:p>
    <w:p>
      <w:pPr>
        <w:ind w:right="160" w:firstLine="360"/>
        <w:spacing w:after="0" w:line="253"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or Rule 701 promulgated under Section 3(b) of the Securities Act as transactions by an issuer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spacing w:after="0"/>
        <w:tabs>
          <w:tab w:leader="none" w:pos="340" w:val="left"/>
          <w:tab w:leader="none" w:pos="1160" w:val="left"/>
        </w:tabs>
        <w:rPr>
          <w:sz w:val="20"/>
          <w:szCs w:val="20"/>
          <w:color w:val="auto"/>
        </w:rPr>
      </w:pPr>
      <w:r>
        <w:rPr>
          <w:rFonts w:ascii="Times New Roman" w:cs="Times New Roman" w:eastAsia="Times New Roman" w:hAnsi="Times New Roman"/>
          <w:sz w:val="18"/>
          <w:szCs w:val="18"/>
          <w:color w:val="auto"/>
        </w:rPr>
        <w:t>(a)</w:t>
        <w:tab/>
        <w:t>Exhibits.</w:t>
        <w:tab/>
        <w:t>The exhibits listed below are filed as part of this registration statement:</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1960" w:type="dxa"/>
        <w:tblCellMar>
          <w:top w:w="0" w:type="dxa"/>
          <w:left w:w="0" w:type="dxa"/>
          <w:bottom w:w="0" w:type="dxa"/>
          <w:right w:w="0" w:type="dxa"/>
        </w:tblCellMar>
      </w:tblPr>
      <w:tr>
        <w:trPr>
          <w:trHeight w:val="227"/>
        </w:trPr>
        <w:tc>
          <w:tcPr>
            <w:tcW w:w="22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9"/>
                <w:szCs w:val="19"/>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spacing w:after="0"/>
              <w:rPr>
                <w:sz w:val="19"/>
                <w:szCs w:val="19"/>
                <w:color w:val="auto"/>
              </w:rPr>
            </w:pPr>
          </w:p>
        </w:tc>
      </w:tr>
      <w:tr>
        <w:trPr>
          <w:trHeight w:val="198"/>
        </w:trPr>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Exhibit </w:t>
            </w:r>
            <w:r>
              <w:rPr>
                <w:rFonts w:ascii="Times New Roman" w:cs="Times New Roman" w:eastAsia="Times New Roman" w:hAnsi="Times New Roman"/>
                <w:sz w:val="24"/>
                <w:szCs w:val="24"/>
                <w:b w:val="1"/>
                <w:bCs w:val="1"/>
                <w:color w:val="auto"/>
                <w:vertAlign w:val="subscript"/>
              </w:rPr>
              <w:t>​​</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300" w:val="left"/>
          <w:tab w:leader="none" w:pos="5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86" w:lineRule="auto"/>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herewith</w:t>
      </w:r>
      <w:r>
        <w:rPr>
          <w:rFonts w:ascii="Times New Roman" w:cs="Times New Roman" w:eastAsia="Times New Roman" w:hAnsi="Times New Roman"/>
          <w:sz w:val="24"/>
          <w:szCs w:val="24"/>
          <w:b w:val="1"/>
          <w:bCs w:val="1"/>
          <w:color w:val="auto"/>
          <w:vertAlign w:val="subscript"/>
        </w:rPr>
        <w:t>​</w:t>
      </w:r>
    </w:p>
    <w:p>
      <w:pPr>
        <w:spacing w:after="0" w:line="20" w:lineRule="exact"/>
        <w:rPr>
          <w:sz w:val="20"/>
          <w:szCs w:val="20"/>
          <w:color w:val="auto"/>
        </w:rPr>
      </w:pPr>
    </w:p>
    <w:p>
      <w:pPr>
        <w:sectPr>
          <w:pgSz w:w="11900" w:h="16838" w:orient="portrait"/>
          <w:cols w:equalWidth="0" w:num="3">
            <w:col w:w="1100" w:space="160"/>
            <w:col w:w="8320" w:space="40"/>
            <w:col w:w="640"/>
          </w:cols>
          <w:pgMar w:left="580" w:top="97" w:right="105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5480" w:type="dxa"/>
            <w:vAlign w:val="bottom"/>
            <w:gridSpan w:val="10"/>
          </w:tcPr>
          <w:p>
            <w:pPr>
              <w:ind w:left="20"/>
              <w:spacing w:after="0" w:line="190" w:lineRule="exact"/>
              <w:rPr>
                <w:rFonts w:ascii="Times New Roman" w:cs="Times New Roman" w:eastAsia="Times New Roman" w:hAnsi="Times New Roman"/>
                <w:sz w:val="13"/>
                <w:szCs w:val="13"/>
                <w:color w:val="0000EE"/>
              </w:rPr>
            </w:pPr>
            <w:hyperlink r:id="rId87"/>
            <w:r>
              <w:rPr>
                <w:rFonts w:ascii="Times New Roman" w:cs="Times New Roman" w:eastAsia="Times New Roman" w:hAnsi="Times New Roman"/>
                <w:sz w:val="21"/>
                <w:szCs w:val="21"/>
                <w:color w:val="000000"/>
                <w:vertAlign w:val="superscript"/>
              </w:rPr>
              <w:t>​​</w:t>
            </w:r>
            <w:hyperlink r:id="rId87">
              <w:r>
                <w:rPr>
                  <w:rFonts w:ascii="Times New Roman" w:cs="Times New Roman" w:eastAsia="Times New Roman" w:hAnsi="Times New Roman"/>
                  <w:sz w:val="13"/>
                  <w:szCs w:val="13"/>
                  <w:color w:val="0000EE"/>
                </w:rPr>
                <w:t>Certificate of Incorporation</w:t>
              </w:r>
            </w:hyperlink>
          </w:p>
        </w:tc>
        <w:tc>
          <w:tcPr>
            <w:tcW w:w="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3"/>
          </w:tcPr>
          <w:p>
            <w:pPr>
              <w:ind w:left="40"/>
              <w:spacing w:after="0" w:line="190"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001-37939</w:t>
            </w:r>
          </w:p>
        </w:tc>
        <w:tc>
          <w:tcPr>
            <w:tcW w:w="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000" w:type="dxa"/>
            <w:vAlign w:val="bottom"/>
            <w:gridSpan w:val="5"/>
          </w:tcPr>
          <w:p>
            <w:pPr>
              <w:jc w:val="right"/>
              <w:ind w:right="80"/>
              <w:spacing w:after="0" w:line="190"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xml:space="preserve">10/17/18 </w:t>
            </w:r>
            <w:r>
              <w:rPr>
                <w:rFonts w:ascii="Times New Roman" w:cs="Times New Roman" w:eastAsia="Times New Roman" w:hAnsi="Times New Roman"/>
                <w:sz w:val="21"/>
                <w:szCs w:val="21"/>
                <w:color w:val="auto"/>
                <w:vertAlign w:val="superscript"/>
              </w:rPr>
              <w:t>​​</w:t>
            </w:r>
          </w:p>
        </w:tc>
        <w:tc>
          <w:tcPr>
            <w:tcW w:w="4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vMerge w:val="restart"/>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000-37939</w:t>
            </w: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5"/>
            <w:vMerge w:val="restart"/>
          </w:tcPr>
          <w:p>
            <w:pPr>
              <w:jc w:val="right"/>
              <w:ind w:righ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10/17/18 </w:t>
            </w:r>
            <w:r>
              <w:rPr>
                <w:rFonts w:ascii="Times New Roman" w:cs="Times New Roman" w:eastAsia="Times New Roman" w:hAnsi="Times New Roman"/>
                <w:sz w:val="29"/>
                <w:szCs w:val="29"/>
                <w:color w:val="auto"/>
                <w:vertAlign w:val="superscript"/>
              </w:rPr>
              <w:t>​​</w:t>
            </w: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80" w:type="dxa"/>
            <w:vAlign w:val="bottom"/>
            <w:gridSpan w:val="10"/>
          </w:tcPr>
          <w:p>
            <w:pPr>
              <w:ind w:left="20"/>
              <w:spacing w:after="0" w:line="236" w:lineRule="exact"/>
              <w:rPr>
                <w:rFonts w:ascii="Times New Roman" w:cs="Times New Roman" w:eastAsia="Times New Roman" w:hAnsi="Times New Roman"/>
                <w:sz w:val="15"/>
                <w:szCs w:val="15"/>
                <w:color w:val="0000EE"/>
              </w:rPr>
            </w:pPr>
            <w:hyperlink r:id="rId88"/>
            <w:r>
              <w:rPr>
                <w:rFonts w:ascii="Times New Roman" w:cs="Times New Roman" w:eastAsia="Times New Roman" w:hAnsi="Times New Roman"/>
                <w:sz w:val="27"/>
                <w:szCs w:val="27"/>
                <w:color w:val="000000"/>
                <w:vertAlign w:val="superscript"/>
              </w:rPr>
              <w:t>​​</w:t>
            </w:r>
            <w:hyperlink r:id="rId88">
              <w:r>
                <w:rPr>
                  <w:rFonts w:ascii="Times New Roman" w:cs="Times New Roman" w:eastAsia="Times New Roman" w:hAnsi="Times New Roman"/>
                  <w:sz w:val="15"/>
                  <w:szCs w:val="15"/>
                  <w:color w:val="0000EE"/>
                </w:rPr>
                <w:t>Bylaws of Marker Therapeutics, Inc.</w:t>
              </w:r>
            </w:hyperlink>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3"/>
            <w:vMerge w:val="continue"/>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gridSpan w:val="5"/>
            <w:vMerge w:val="continue"/>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line="20" w:lineRule="exact"/>
              <w:rPr>
                <w:sz w:val="1"/>
                <w:szCs w:val="1"/>
                <w:color w:val="auto"/>
              </w:rPr>
            </w:pPr>
          </w:p>
        </w:tc>
        <w:tc>
          <w:tcPr>
            <w:tcW w:w="960" w:type="dxa"/>
            <w:vAlign w:val="bottom"/>
            <w:gridSpan w:val="3"/>
            <w:vMerge w:val="restart"/>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000-37939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20" w:lineRule="exact"/>
              <w:rPr>
                <w:sz w:val="1"/>
                <w:szCs w:val="1"/>
                <w:color w:val="auto"/>
              </w:rPr>
            </w:pPr>
          </w:p>
        </w:tc>
        <w:tc>
          <w:tcPr>
            <w:tcW w:w="1000" w:type="dxa"/>
            <w:vAlign w:val="bottom"/>
            <w:gridSpan w:val="5"/>
            <w:vMerge w:val="restart"/>
          </w:tcPr>
          <w:p>
            <w:pPr>
              <w:jc w:val="right"/>
              <w:ind w:righ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10/17/18 </w:t>
            </w:r>
            <w:r>
              <w:rPr>
                <w:rFonts w:ascii="Times New Roman" w:cs="Times New Roman" w:eastAsia="Times New Roman" w:hAnsi="Times New Roman"/>
                <w:sz w:val="29"/>
                <w:szCs w:val="29"/>
                <w:color w:val="auto"/>
                <w:vertAlign w:val="superscript"/>
              </w:rPr>
              <w:t>​​</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6"/>
        </w:trPr>
        <w:tc>
          <w:tcPr>
            <w:tcW w:w="10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480" w:type="dxa"/>
            <w:vAlign w:val="bottom"/>
            <w:gridSpan w:val="10"/>
          </w:tcPr>
          <w:p>
            <w:pPr>
              <w:ind w:left="20"/>
              <w:spacing w:after="0" w:line="236" w:lineRule="exact"/>
              <w:rPr>
                <w:rFonts w:ascii="Times New Roman" w:cs="Times New Roman" w:eastAsia="Times New Roman" w:hAnsi="Times New Roman"/>
                <w:sz w:val="15"/>
                <w:szCs w:val="15"/>
                <w:color w:val="0000EE"/>
              </w:rPr>
            </w:pPr>
            <w:hyperlink r:id="rId89"/>
            <w:r>
              <w:rPr>
                <w:rFonts w:ascii="Times New Roman" w:cs="Times New Roman" w:eastAsia="Times New Roman" w:hAnsi="Times New Roman"/>
                <w:sz w:val="27"/>
                <w:szCs w:val="27"/>
                <w:color w:val="000000"/>
                <w:vertAlign w:val="superscript"/>
              </w:rPr>
              <w:t>​​</w:t>
            </w:r>
            <w:hyperlink r:id="rId89">
              <w:r>
                <w:rPr>
                  <w:rFonts w:ascii="Times New Roman" w:cs="Times New Roman" w:eastAsia="Times New Roman" w:hAnsi="Times New Roman"/>
                  <w:sz w:val="15"/>
                  <w:szCs w:val="15"/>
                  <w:color w:val="0000EE"/>
                </w:rPr>
                <w:t>Form of Common Stock Certificate of Marker Therapeutics, Inc.</w:t>
              </w:r>
            </w:hyperlink>
          </w:p>
        </w:tc>
        <w:tc>
          <w:tcPr>
            <w:tcW w:w="160" w:type="dxa"/>
            <w:vAlign w:val="bottom"/>
            <w:gridSpan w:val="2"/>
            <w:vMerge w:val="continue"/>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8-A/A</w:t>
            </w:r>
          </w:p>
        </w:tc>
        <w:tc>
          <w:tcPr>
            <w:tcW w:w="960" w:type="dxa"/>
            <w:vAlign w:val="bottom"/>
            <w:gridSpan w:val="3"/>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gridSpan w:val="5"/>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line="20" w:lineRule="exact"/>
              <w:rPr>
                <w:sz w:val="1"/>
                <w:szCs w:val="1"/>
                <w:color w:val="auto"/>
              </w:rPr>
            </w:pPr>
          </w:p>
        </w:tc>
        <w:tc>
          <w:tcPr>
            <w:tcW w:w="960" w:type="dxa"/>
            <w:vAlign w:val="bottom"/>
            <w:gridSpan w:val="3"/>
            <w:vMerge w:val="restart"/>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001-37939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20" w:lineRule="exact"/>
              <w:rPr>
                <w:sz w:val="1"/>
                <w:szCs w:val="1"/>
                <w:color w:val="auto"/>
              </w:rPr>
            </w:pPr>
          </w:p>
        </w:tc>
        <w:tc>
          <w:tcPr>
            <w:tcW w:w="800" w:type="dxa"/>
            <w:vAlign w:val="bottom"/>
            <w:gridSpan w:val="3"/>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5/15/18</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6"/>
        </w:trPr>
        <w:tc>
          <w:tcPr>
            <w:tcW w:w="10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980" w:type="dxa"/>
            <w:vAlign w:val="bottom"/>
            <w:gridSpan w:val="8"/>
          </w:tcPr>
          <w:p>
            <w:pPr>
              <w:ind w:left="20"/>
              <w:spacing w:after="0" w:line="236" w:lineRule="exact"/>
              <w:rPr>
                <w:rFonts w:ascii="Times New Roman" w:cs="Times New Roman" w:eastAsia="Times New Roman" w:hAnsi="Times New Roman"/>
                <w:sz w:val="15"/>
                <w:szCs w:val="15"/>
                <w:color w:val="0000EE"/>
              </w:rPr>
            </w:pPr>
            <w:hyperlink r:id="rId90"/>
            <w:r>
              <w:rPr>
                <w:rFonts w:ascii="Times New Roman" w:cs="Times New Roman" w:eastAsia="Times New Roman" w:hAnsi="Times New Roman"/>
                <w:sz w:val="27"/>
                <w:szCs w:val="27"/>
                <w:color w:val="000000"/>
                <w:vertAlign w:val="superscript"/>
              </w:rPr>
              <w:t>​​</w:t>
            </w:r>
            <w:hyperlink r:id="rId90">
              <w:r>
                <w:rPr>
                  <w:rFonts w:ascii="Times New Roman" w:cs="Times New Roman" w:eastAsia="Times New Roman" w:hAnsi="Times New Roman"/>
                  <w:sz w:val="15"/>
                  <w:szCs w:val="15"/>
                  <w:color w:val="0000EE"/>
                </w:rPr>
                <w:t>Form of Marker Warrant</w:t>
              </w:r>
            </w:hyperlink>
          </w:p>
        </w:tc>
        <w:tc>
          <w:tcPr>
            <w:tcW w:w="3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3"/>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3"/>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vMerge w:val="restart"/>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001-37939</w:t>
            </w:r>
          </w:p>
        </w:tc>
        <w:tc>
          <w:tcPr>
            <w:tcW w:w="520" w:type="dxa"/>
            <w:vAlign w:val="bottom"/>
            <w:gridSpan w:val="2"/>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4.25</w:t>
            </w:r>
          </w:p>
        </w:tc>
        <w:tc>
          <w:tcPr>
            <w:tcW w:w="800" w:type="dxa"/>
            <w:vAlign w:val="bottom"/>
            <w:gridSpan w:val="3"/>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3/12/20</w:t>
            </w: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80" w:type="dxa"/>
            <w:vAlign w:val="bottom"/>
            <w:gridSpan w:val="3"/>
          </w:tcPr>
          <w:p>
            <w:pPr>
              <w:ind w:left="20"/>
              <w:spacing w:after="0" w:line="236" w:lineRule="exact"/>
              <w:rPr>
                <w:rFonts w:ascii="Times New Roman" w:cs="Times New Roman" w:eastAsia="Times New Roman" w:hAnsi="Times New Roman"/>
                <w:sz w:val="15"/>
                <w:szCs w:val="15"/>
                <w:color w:val="0000EE"/>
              </w:rPr>
            </w:pPr>
            <w:hyperlink r:id="rId91"/>
            <w:r>
              <w:rPr>
                <w:rFonts w:ascii="Times New Roman" w:cs="Times New Roman" w:eastAsia="Times New Roman" w:hAnsi="Times New Roman"/>
                <w:sz w:val="27"/>
                <w:szCs w:val="27"/>
                <w:color w:val="000000"/>
                <w:vertAlign w:val="superscript"/>
              </w:rPr>
              <w:t>​​</w:t>
            </w:r>
            <w:hyperlink r:id="rId91">
              <w:r>
                <w:rPr>
                  <w:rFonts w:ascii="Times New Roman" w:cs="Times New Roman" w:eastAsia="Times New Roman" w:hAnsi="Times New Roman"/>
                  <w:sz w:val="15"/>
                  <w:szCs w:val="15"/>
                  <w:color w:val="0000EE"/>
                </w:rPr>
                <w:t>Description of Common</w:t>
              </w:r>
            </w:hyperlink>
          </w:p>
        </w:tc>
        <w:tc>
          <w:tcPr>
            <w:tcW w:w="3600" w:type="dxa"/>
            <w:vAlign w:val="bottom"/>
            <w:gridSpan w:val="7"/>
          </w:tcPr>
          <w:p>
            <w:pPr>
              <w:ind w:left="80"/>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Stock of Marker Therapeutics, Inc.</w:t>
              </w:r>
            </w:hyperlink>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60" w:type="dxa"/>
            <w:vAlign w:val="bottom"/>
            <w:gridSpan w:val="3"/>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10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color w:val="000000"/>
                <w:vertAlign w:val="superscript"/>
              </w:rPr>
              <w:t>​​</w:t>
            </w:r>
            <w:r>
              <w:rPr>
                <w:rFonts w:ascii="Times New Roman" w:cs="Times New Roman" w:eastAsia="Times New Roman" w:hAnsi="Times New Roman"/>
                <w:sz w:val="15"/>
                <w:szCs w:val="15"/>
                <w:color w:val="0000EE"/>
              </w:rPr>
              <w:t>Opinion of Cooley LLP</w:t>
            </w:r>
          </w:p>
        </w:tc>
        <w:tc>
          <w:tcPr>
            <w:tcW w:w="68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vMerge w:val="restart"/>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000-27239</w:t>
            </w:r>
          </w:p>
        </w:tc>
        <w:tc>
          <w:tcPr>
            <w:tcW w:w="520" w:type="dxa"/>
            <w:vAlign w:val="bottom"/>
            <w:gridSpan w:val="2"/>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10.1</w:t>
            </w: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gridSpan w:val="3"/>
          </w:tcPr>
          <w:p>
            <w:pPr>
              <w:ind w:left="20"/>
              <w:spacing w:after="0" w:line="236" w:lineRule="exact"/>
              <w:rPr>
                <w:rFonts w:ascii="Times New Roman" w:cs="Times New Roman" w:eastAsia="Times New Roman" w:hAnsi="Times New Roman"/>
                <w:sz w:val="15"/>
                <w:szCs w:val="15"/>
                <w:color w:val="0000EE"/>
              </w:rPr>
            </w:pPr>
            <w:hyperlink r:id="rId92"/>
            <w:r>
              <w:rPr>
                <w:rFonts w:ascii="Times New Roman" w:cs="Times New Roman" w:eastAsia="Times New Roman" w:hAnsi="Times New Roman"/>
                <w:sz w:val="27"/>
                <w:szCs w:val="27"/>
                <w:color w:val="000000"/>
                <w:vertAlign w:val="superscript"/>
              </w:rPr>
              <w:t>​​</w:t>
            </w:r>
            <w:hyperlink r:id="rId92">
              <w:r>
                <w:rPr>
                  <w:rFonts w:ascii="Times New Roman" w:cs="Times New Roman" w:eastAsia="Times New Roman" w:hAnsi="Times New Roman"/>
                  <w:sz w:val="15"/>
                  <w:szCs w:val="15"/>
                  <w:color w:val="0000EE"/>
                </w:rPr>
                <w:t>Form of Restructuring</w:t>
              </w:r>
            </w:hyperlink>
          </w:p>
        </w:tc>
        <w:tc>
          <w:tcPr>
            <w:tcW w:w="3600" w:type="dxa"/>
            <w:vAlign w:val="bottom"/>
            <w:gridSpan w:val="7"/>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Agreement dated May 28, 2015</w:t>
              </w:r>
            </w:hyperlink>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3"/>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6/3/15</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480" w:type="dxa"/>
            <w:vAlign w:val="bottom"/>
            <w:gridSpan w:val="10"/>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3">
              <w:r>
                <w:rPr>
                  <w:rFonts w:ascii="Times New Roman" w:cs="Times New Roman" w:eastAsia="Times New Roman" w:hAnsi="Times New Roman"/>
                  <w:sz w:val="18"/>
                  <w:szCs w:val="18"/>
                  <w:color w:val="0000EE"/>
                </w:rPr>
                <w:t>Amended and Restated Restructuring Agreement, dated as of June 2,</w:t>
              </w:r>
            </w:hyperlink>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​​000-27239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6/5/15</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gridSpan w:val="2"/>
          </w:tcPr>
          <w:p>
            <w:pPr>
              <w:ind w:left="8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2015</w:t>
              </w:r>
            </w:hyperlink>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580" w:top="97" w:right="1059" w:bottom="1440" w:gutter="0" w:footer="0" w:header="0"/>
          <w:type w:val="continuous"/>
        </w:sectPr>
      </w:pPr>
    </w:p>
    <w:p>
      <w:pPr>
        <w:spacing w:after="0" w:line="2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3020" w:type="dxa"/>
            <w:vAlign w:val="bottom"/>
            <w:gridSpan w:val="9"/>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9"/>
                <w:szCs w:val="19"/>
                <w:color w:val="auto"/>
              </w:rPr>
            </w:pPr>
          </w:p>
        </w:tc>
        <w:tc>
          <w:tcPr>
            <w:tcW w:w="16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214"/>
        </w:trPr>
        <w:tc>
          <w:tcPr>
            <w:tcW w:w="5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gridSpan w:val="10"/>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File no.</w:t>
            </w: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Exhibit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5420" w:type="dxa"/>
            <w:vAlign w:val="bottom"/>
            <w:gridSpan w:val="13"/>
          </w:tcPr>
          <w:p>
            <w:pPr>
              <w:spacing w:after="0" w:line="210"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24"/>
                <w:szCs w:val="24"/>
                <w:color w:val="000000"/>
                <w:vertAlign w:val="superscript"/>
              </w:rPr>
              <w:t>​​</w:t>
            </w:r>
            <w:hyperlink r:id="rId95">
              <w:r>
                <w:rPr>
                  <w:rFonts w:ascii="Times New Roman" w:cs="Times New Roman" w:eastAsia="Times New Roman" w:hAnsi="Times New Roman"/>
                  <w:sz w:val="14"/>
                  <w:szCs w:val="14"/>
                  <w:color w:val="0000EE"/>
                </w:rPr>
                <w:t>Form of Securities Purchase Agreement (including registration rights)</w:t>
              </w:r>
            </w:hyperlink>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001-37939</w:t>
            </w:r>
          </w:p>
        </w:tc>
        <w:tc>
          <w:tcPr>
            <w:tcW w:w="5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10.1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6/8/18</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line="20" w:lineRule="exact"/>
              <w:rPr>
                <w:sz w:val="1"/>
                <w:szCs w:val="1"/>
                <w:color w:val="auto"/>
              </w:rPr>
            </w:pPr>
          </w:p>
        </w:tc>
        <w:tc>
          <w:tcPr>
            <w:tcW w:w="1000" w:type="dxa"/>
            <w:vAlign w:val="bottom"/>
            <w:gridSpan w:val="2"/>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001-37939</w:t>
            </w:r>
          </w:p>
        </w:tc>
        <w:tc>
          <w:tcPr>
            <w:tcW w:w="520" w:type="dxa"/>
            <w:vAlign w:val="bottom"/>
            <w:gridSpan w:val="2"/>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2.1</w:t>
            </w:r>
          </w:p>
        </w:tc>
        <w:tc>
          <w:tcPr>
            <w:tcW w:w="820" w:type="dxa"/>
            <w:vAlign w:val="bottom"/>
            <w:gridSpan w:val="3"/>
            <w:vMerge w:val="restart"/>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5/15/18</w:t>
            </w:r>
          </w:p>
        </w:tc>
        <w:tc>
          <w:tcPr>
            <w:tcW w:w="0" w:type="dxa"/>
            <w:vAlign w:val="bottom"/>
          </w:tcPr>
          <w:p>
            <w:pPr>
              <w:spacing w:after="0" w:line="20" w:lineRule="exact"/>
              <w:rPr>
                <w:sz w:val="1"/>
                <w:szCs w:val="1"/>
                <w:color w:val="auto"/>
              </w:rPr>
            </w:pPr>
          </w:p>
        </w:tc>
      </w:tr>
      <w:tr>
        <w:trPr>
          <w:trHeight w:val="236"/>
        </w:trPr>
        <w:tc>
          <w:tcPr>
            <w:tcW w:w="80" w:type="dxa"/>
            <w:vAlign w:val="bottom"/>
            <w:vMerge w:val="continue"/>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5340" w:type="dxa"/>
            <w:vAlign w:val="bottom"/>
            <w:gridSpan w:val="12"/>
          </w:tcPr>
          <w:p>
            <w:pPr>
              <w:spacing w:after="0" w:line="236" w:lineRule="exact"/>
              <w:rPr>
                <w:rFonts w:ascii="Times New Roman" w:cs="Times New Roman" w:eastAsia="Times New Roman" w:hAnsi="Times New Roman"/>
                <w:sz w:val="15"/>
                <w:szCs w:val="15"/>
                <w:color w:val="0000EE"/>
              </w:rPr>
            </w:pPr>
            <w:hyperlink r:id="rId90"/>
            <w:r>
              <w:rPr>
                <w:rFonts w:ascii="Times New Roman" w:cs="Times New Roman" w:eastAsia="Times New Roman" w:hAnsi="Times New Roman"/>
                <w:sz w:val="27"/>
                <w:szCs w:val="27"/>
                <w:color w:val="000000"/>
                <w:vertAlign w:val="superscript"/>
              </w:rPr>
              <w:t>​​</w:t>
            </w:r>
            <w:hyperlink r:id="rId90">
              <w:r>
                <w:rPr>
                  <w:rFonts w:ascii="Times New Roman" w:cs="Times New Roman" w:eastAsia="Times New Roman" w:hAnsi="Times New Roman"/>
                  <w:sz w:val="15"/>
                  <w:szCs w:val="15"/>
                  <w:color w:val="0000EE"/>
                </w:rPr>
                <w:t>Registration Rights Agreement</w:t>
              </w:r>
            </w:hyperlink>
          </w:p>
        </w:tc>
        <w:tc>
          <w:tcPr>
            <w:tcW w:w="8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542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6">
              <w:r>
                <w:rPr>
                  <w:rFonts w:ascii="Times New Roman" w:cs="Times New Roman" w:eastAsia="Times New Roman" w:hAnsi="Times New Roman"/>
                  <w:sz w:val="18"/>
                  <w:szCs w:val="18"/>
                  <w:color w:val="0000EE"/>
                </w:rPr>
                <w:t>License and Assignment Agreement, dated July 21, 2015, with The</w:t>
              </w:r>
            </w:hyperlink>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10-Q</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000-27239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8/14/15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Mayo Foundation for Medical Education and Research**</w:t>
              </w:r>
            </w:hyperlink>
          </w:p>
        </w:tc>
        <w:tc>
          <w:tcPr>
            <w:tcW w:w="76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c>
          <w:tcPr>
            <w:tcW w:w="542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7">
              <w:r>
                <w:rPr>
                  <w:rFonts w:ascii="Times New Roman" w:cs="Times New Roman" w:eastAsia="Times New Roman" w:hAnsi="Times New Roman"/>
                  <w:sz w:val="18"/>
                  <w:szCs w:val="18"/>
                  <w:color w:val="0000EE"/>
                </w:rPr>
                <w:t>License and Assignment Agreement with Mayo Foundation for</w:t>
              </w:r>
            </w:hyperlink>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10-Q</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000-27239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10.7</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8/15/16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Medical Education and Research dated May 19, 2016**</w:t>
              </w:r>
            </w:hyperlink>
          </w:p>
        </w:tc>
        <w:tc>
          <w:tcPr>
            <w:tcW w:w="540" w:type="dxa"/>
            <w:vAlign w:val="bottom"/>
            <w:tcBorders>
              <w:top w:val="single" w:sz="8" w:color="0000EE"/>
            </w:tcBorders>
            <w:gridSpan w:val="4"/>
          </w:tcPr>
          <w:p>
            <w:pPr>
              <w:spacing w:after="0"/>
              <w:rPr>
                <w:sz w:val="17"/>
                <w:szCs w:val="17"/>
                <w:color w:val="auto"/>
              </w:rPr>
            </w:pPr>
          </w:p>
        </w:tc>
        <w:tc>
          <w:tcPr>
            <w:tcW w:w="6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1"/>
                <w:szCs w:val="21"/>
                <w:color w:val="auto"/>
              </w:rPr>
            </w:pPr>
          </w:p>
        </w:tc>
        <w:tc>
          <w:tcPr>
            <w:tcW w:w="542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8">
              <w:r>
                <w:rPr>
                  <w:rFonts w:ascii="Times New Roman" w:cs="Times New Roman" w:eastAsia="Times New Roman" w:hAnsi="Times New Roman"/>
                  <w:sz w:val="18"/>
                  <w:szCs w:val="18"/>
                  <w:color w:val="0000EE"/>
                </w:rPr>
                <w:t>Exclusive License Agreement between Baylor College of Medicine</w:t>
              </w:r>
            </w:hyperlink>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10-K</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3/15/19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and Marker Therapeutics, Inc. dated March 16, 2018***</w:t>
              </w:r>
            </w:hyperlink>
          </w:p>
        </w:tc>
        <w:tc>
          <w:tcPr>
            <w:tcW w:w="820" w:type="dxa"/>
            <w:vAlign w:val="bottom"/>
            <w:tcBorders>
              <w:top w:val="single" w:sz="8" w:color="0000EE"/>
            </w:tcBorders>
            <w:gridSpan w:val="5"/>
          </w:tcPr>
          <w:p>
            <w:pPr>
              <w:spacing w:after="0"/>
              <w:rPr>
                <w:sz w:val="17"/>
                <w:szCs w:val="17"/>
                <w:color w:val="auto"/>
              </w:rPr>
            </w:pPr>
          </w:p>
        </w:tc>
        <w:tc>
          <w:tcPr>
            <w:tcW w:w="2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542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9">
              <w:r>
                <w:rPr>
                  <w:rFonts w:ascii="Times New Roman" w:cs="Times New Roman" w:eastAsia="Times New Roman" w:hAnsi="Times New Roman"/>
                  <w:sz w:val="18"/>
                  <w:szCs w:val="18"/>
                  <w:color w:val="0000EE"/>
                </w:rPr>
                <w:t>Sponsored Research Contract between Baylor College of Medicine</w:t>
              </w:r>
            </w:hyperlink>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10-K</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3/15/19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and Marker Therapeutics, Inc. dated November 16, 2018***</w:t>
              </w:r>
            </w:hyperlink>
          </w:p>
        </w:tc>
        <w:tc>
          <w:tcPr>
            <w:tcW w:w="500" w:type="dxa"/>
            <w:vAlign w:val="bottom"/>
            <w:tcBorders>
              <w:top w:val="single" w:sz="8" w:color="0000EE"/>
            </w:tcBorders>
            <w:gridSpan w:val="2"/>
          </w:tcPr>
          <w:p>
            <w:pPr>
              <w:spacing w:after="0"/>
              <w:rPr>
                <w:sz w:val="17"/>
                <w:szCs w:val="17"/>
                <w:color w:val="auto"/>
              </w:rPr>
            </w:pPr>
          </w:p>
        </w:tc>
        <w:tc>
          <w:tcPr>
            <w:tcW w:w="3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2"/>
                <w:szCs w:val="22"/>
                <w:color w:val="auto"/>
              </w:rPr>
            </w:pPr>
          </w:p>
        </w:tc>
        <w:tc>
          <w:tcPr>
            <w:tcW w:w="2140" w:type="dxa"/>
            <w:vAlign w:val="bottom"/>
            <w:gridSpan w:val="3"/>
          </w:tcPr>
          <w:p>
            <w:pPr>
              <w:spacing w:after="0" w:line="264"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30"/>
                <w:szCs w:val="30"/>
                <w:color w:val="000000"/>
                <w:vertAlign w:val="superscript"/>
              </w:rPr>
              <w:t>​​</w:t>
            </w:r>
            <w:hyperlink r:id="rId100">
              <w:r>
                <w:rPr>
                  <w:rFonts w:ascii="Times New Roman" w:cs="Times New Roman" w:eastAsia="Times New Roman" w:hAnsi="Times New Roman"/>
                  <w:sz w:val="16"/>
                  <w:szCs w:val="16"/>
                  <w:color w:val="0000EE"/>
                </w:rPr>
                <w:t>2009 Stock Incentive Plan*</w:t>
              </w:r>
            </w:hyperlink>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gridSpan w:val="5"/>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DEF14-C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000-27239</w:t>
            </w:r>
          </w:p>
        </w:tc>
        <w:tc>
          <w:tcPr>
            <w:tcW w:w="52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B</w:t>
            </w:r>
          </w:p>
        </w:tc>
        <w:tc>
          <w:tcPr>
            <w:tcW w:w="82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1/29/10</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10.10</w:t>
            </w:r>
          </w:p>
        </w:tc>
        <w:tc>
          <w:tcPr>
            <w:tcW w:w="5620" w:type="dxa"/>
            <w:vAlign w:val="bottom"/>
            <w:gridSpan w:val="1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01">
              <w:r>
                <w:rPr>
                  <w:rFonts w:ascii="Times New Roman" w:cs="Times New Roman" w:eastAsia="Times New Roman" w:hAnsi="Times New Roman"/>
                  <w:sz w:val="18"/>
                  <w:szCs w:val="18"/>
                  <w:color w:val="0000EE"/>
                </w:rPr>
                <w:t>2014 Omnibus Stock Ownership Plan, as amended through August 29,</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ind w:left="60"/>
              <w:spacing w:after="0" w:line="196" w:lineRule="exact"/>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2017*</w:t>
              </w:r>
            </w:hyperlink>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tab/>
        <w:t>​</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86" w:lineRule="auto"/>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herewith</w:t>
      </w:r>
      <w:r>
        <w:rPr>
          <w:rFonts w:ascii="Times New Roman" w:cs="Times New Roman" w:eastAsia="Times New Roman" w:hAnsi="Times New Roman"/>
          <w:sz w:val="24"/>
          <w:szCs w:val="24"/>
          <w:b w:val="1"/>
          <w:bCs w:val="1"/>
          <w:color w:val="auto"/>
          <w:vertAlign w:val="subscript"/>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8"/>
        </w:trPr>
        <w:tc>
          <w:tcPr>
            <w:tcW w:w="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3"/>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9620" w:space="20"/>
            <w:col w:w="64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70"/>
        </w:trPr>
        <w:tc>
          <w:tcPr>
            <w:tcW w:w="5820" w:type="dxa"/>
            <w:vAlign w:val="bottom"/>
            <w:gridSpan w:val="15"/>
          </w:tcPr>
          <w:p>
            <w:pPr>
              <w:spacing w:after="0" w:line="269" w:lineRule="exact"/>
              <w:rPr>
                <w:rFonts w:ascii="Times New Roman" w:cs="Times New Roman" w:eastAsia="Times New Roman" w:hAnsi="Times New Roman"/>
                <w:sz w:val="17"/>
                <w:szCs w:val="17"/>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10.11 </w:t>
            </w:r>
            <w:r>
              <w:rPr>
                <w:rFonts w:ascii="Times New Roman" w:cs="Times New Roman" w:eastAsia="Times New Roman" w:hAnsi="Times New Roman"/>
                <w:sz w:val="31"/>
                <w:szCs w:val="31"/>
                <w:color w:val="auto"/>
                <w:vertAlign w:val="superscript"/>
              </w:rPr>
              <w:t>​​</w:t>
            </w:r>
            <w:hyperlink r:id="rId102">
              <w:r>
                <w:rPr>
                  <w:rFonts w:ascii="Times New Roman" w:cs="Times New Roman" w:eastAsia="Times New Roman" w:hAnsi="Times New Roman"/>
                  <w:sz w:val="17"/>
                  <w:szCs w:val="17"/>
                  <w:color w:val="0000EE"/>
                </w:rPr>
                <w:t>Amendment to 2014 Omnibus Stock Ownership Plan, as amended *</w:t>
              </w:r>
            </w:hyperlink>
          </w:p>
        </w:tc>
        <w:tc>
          <w:tcPr>
            <w:tcW w:w="1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001-37939</w:t>
            </w:r>
          </w:p>
        </w:tc>
        <w:tc>
          <w:tcPr>
            <w:tcW w:w="540" w:type="dxa"/>
            <w:vAlign w:val="bottom"/>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4.4</w:t>
            </w:r>
          </w:p>
        </w:tc>
        <w:tc>
          <w:tcPr>
            <w:tcW w:w="1020" w:type="dxa"/>
            <w:vAlign w:val="bottom"/>
            <w:gridSpan w:val="2"/>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10/17/18 </w:t>
            </w:r>
            <w:r>
              <w:rPr>
                <w:rFonts w:ascii="Times New Roman" w:cs="Times New Roman" w:eastAsia="Times New Roman" w:hAnsi="Times New Roman"/>
                <w:sz w:val="31"/>
                <w:szCs w:val="31"/>
                <w:color w:val="auto"/>
                <w:vertAlign w:val="super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20" w:type="dxa"/>
            <w:vAlign w:val="bottom"/>
            <w:gridSpan w:val="15"/>
          </w:tcPr>
          <w:p>
            <w:pPr>
              <w:spacing w:after="0" w:line="25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10.12</w:t>
            </w:r>
            <w:r>
              <w:rPr>
                <w:rFonts w:ascii="Times New Roman" w:cs="Times New Roman" w:eastAsia="Times New Roman" w:hAnsi="Times New Roman"/>
                <w:sz w:val="28"/>
                <w:szCs w:val="28"/>
                <w:color w:val="auto"/>
                <w:vertAlign w:val="superscript"/>
              </w:rPr>
              <w:t>​​</w:t>
            </w:r>
            <w:hyperlink r:id="rId103">
              <w:r>
                <w:rPr>
                  <w:rFonts w:ascii="Times New Roman" w:cs="Times New Roman" w:eastAsia="Times New Roman" w:hAnsi="Times New Roman"/>
                  <w:sz w:val="15"/>
                  <w:szCs w:val="15"/>
                  <w:color w:val="0000EE"/>
                </w:rPr>
                <w:t>Form of Stock Option Award Agreement — Employee*</w:t>
              </w:r>
            </w:hyperlink>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001-37939</w:t>
            </w:r>
          </w:p>
        </w:tc>
        <w:tc>
          <w:tcPr>
            <w:tcW w:w="540" w:type="dxa"/>
            <w:vAlign w:val="bottom"/>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10.3</w:t>
            </w:r>
          </w:p>
        </w:tc>
        <w:tc>
          <w:tcPr>
            <w:tcW w:w="102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10/23/18 </w:t>
            </w:r>
            <w:r>
              <w:rPr>
                <w:rFonts w:ascii="Times New Roman" w:cs="Times New Roman" w:eastAsia="Times New Roman" w:hAnsi="Times New Roman"/>
                <w:sz w:val="28"/>
                <w:szCs w:val="28"/>
                <w:color w:val="auto"/>
                <w:vertAlign w:val="super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20" w:type="dxa"/>
            <w:vAlign w:val="bottom"/>
            <w:gridSpan w:val="15"/>
          </w:tcPr>
          <w:p>
            <w:pPr>
              <w:spacing w:after="0" w:line="25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10.13</w:t>
            </w:r>
            <w:r>
              <w:rPr>
                <w:rFonts w:ascii="Times New Roman" w:cs="Times New Roman" w:eastAsia="Times New Roman" w:hAnsi="Times New Roman"/>
                <w:sz w:val="28"/>
                <w:szCs w:val="28"/>
                <w:color w:val="auto"/>
                <w:vertAlign w:val="superscript"/>
              </w:rPr>
              <w:t>​​</w:t>
            </w:r>
            <w:hyperlink r:id="rId104">
              <w:r>
                <w:rPr>
                  <w:rFonts w:ascii="Times New Roman" w:cs="Times New Roman" w:eastAsia="Times New Roman" w:hAnsi="Times New Roman"/>
                  <w:sz w:val="15"/>
                  <w:szCs w:val="15"/>
                  <w:color w:val="0000EE"/>
                </w:rPr>
                <w:t>Form of Stock Option Award Agreement — Non-Employee Director*</w:t>
              </w:r>
            </w:hyperlink>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333-228056</w:t>
            </w:r>
          </w:p>
        </w:tc>
        <w:tc>
          <w:tcPr>
            <w:tcW w:w="540" w:type="dxa"/>
            <w:vAlign w:val="bottom"/>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10.1</w:t>
            </w:r>
          </w:p>
        </w:tc>
        <w:tc>
          <w:tcPr>
            <w:tcW w:w="102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10/30/18 </w:t>
            </w:r>
            <w:r>
              <w:rPr>
                <w:rFonts w:ascii="Times New Roman" w:cs="Times New Roman" w:eastAsia="Times New Roman" w:hAnsi="Times New Roman"/>
                <w:sz w:val="28"/>
                <w:szCs w:val="28"/>
                <w:color w:val="auto"/>
                <w:vertAlign w:val="super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20" w:type="dxa"/>
            <w:vAlign w:val="bottom"/>
            <w:gridSpan w:val="15"/>
          </w:tcPr>
          <w:p>
            <w:pPr>
              <w:spacing w:after="0" w:line="25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10.14</w:t>
            </w:r>
            <w:r>
              <w:rPr>
                <w:rFonts w:ascii="Times New Roman" w:cs="Times New Roman" w:eastAsia="Times New Roman" w:hAnsi="Times New Roman"/>
                <w:sz w:val="28"/>
                <w:szCs w:val="28"/>
                <w:color w:val="auto"/>
                <w:vertAlign w:val="superscript"/>
              </w:rPr>
              <w:t>​​</w:t>
            </w:r>
            <w:hyperlink r:id="rId105">
              <w:r>
                <w:rPr>
                  <w:rFonts w:ascii="Times New Roman" w:cs="Times New Roman" w:eastAsia="Times New Roman" w:hAnsi="Times New Roman"/>
                  <w:sz w:val="15"/>
                  <w:szCs w:val="15"/>
                  <w:color w:val="0000EE"/>
                </w:rPr>
                <w:t>Form of Stock Option Award Agreement — Consultant*</w:t>
              </w:r>
            </w:hyperlink>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001-37939</w:t>
            </w:r>
          </w:p>
        </w:tc>
        <w:tc>
          <w:tcPr>
            <w:tcW w:w="540" w:type="dxa"/>
            <w:vAlign w:val="bottom"/>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10.2</w:t>
            </w:r>
          </w:p>
        </w:tc>
        <w:tc>
          <w:tcPr>
            <w:tcW w:w="102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10/23/18 </w:t>
            </w:r>
            <w:r>
              <w:rPr>
                <w:rFonts w:ascii="Times New Roman" w:cs="Times New Roman" w:eastAsia="Times New Roman" w:hAnsi="Times New Roman"/>
                <w:sz w:val="28"/>
                <w:szCs w:val="28"/>
                <w:color w:val="auto"/>
                <w:vertAlign w:val="super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20" w:type="dxa"/>
            <w:vAlign w:val="bottom"/>
            <w:gridSpan w:val="15"/>
          </w:tcPr>
          <w:p>
            <w:pPr>
              <w:spacing w:after="0" w:line="25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10.15</w:t>
            </w:r>
            <w:r>
              <w:rPr>
                <w:rFonts w:ascii="Times New Roman" w:cs="Times New Roman" w:eastAsia="Times New Roman" w:hAnsi="Times New Roman"/>
                <w:sz w:val="28"/>
                <w:szCs w:val="28"/>
                <w:color w:val="auto"/>
                <w:vertAlign w:val="superscript"/>
              </w:rPr>
              <w:t>​​</w:t>
            </w:r>
            <w:hyperlink r:id="rId106">
              <w:r>
                <w:rPr>
                  <w:rFonts w:ascii="Times New Roman" w:cs="Times New Roman" w:eastAsia="Times New Roman" w:hAnsi="Times New Roman"/>
                  <w:sz w:val="15"/>
                  <w:szCs w:val="15"/>
                  <w:color w:val="0000EE"/>
                </w:rPr>
                <w:t>Form of Restricted Stock Award Agreement — Consultant*</w:t>
              </w:r>
            </w:hyperlink>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000-27239</w:t>
            </w:r>
          </w:p>
        </w:tc>
        <w:tc>
          <w:tcPr>
            <w:tcW w:w="540" w:type="dxa"/>
            <w:vAlign w:val="bottom"/>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10.7</w:t>
            </w:r>
          </w:p>
        </w:tc>
        <w:tc>
          <w:tcPr>
            <w:tcW w:w="102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11/16/15 </w:t>
            </w:r>
            <w:r>
              <w:rPr>
                <w:rFonts w:ascii="Times New Roman" w:cs="Times New Roman" w:eastAsia="Times New Roman" w:hAnsi="Times New Roman"/>
                <w:sz w:val="28"/>
                <w:szCs w:val="28"/>
                <w:color w:val="auto"/>
                <w:vertAlign w:val="super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5820" w:type="dxa"/>
            <w:vAlign w:val="bottom"/>
            <w:gridSpan w:val="1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10.16​​</w:t>
            </w:r>
            <w:hyperlink r:id="rId107">
              <w:r>
                <w:rPr>
                  <w:rFonts w:ascii="Times New Roman" w:cs="Times New Roman" w:eastAsia="Times New Roman" w:hAnsi="Times New Roman"/>
                  <w:sz w:val="18"/>
                  <w:szCs w:val="18"/>
                  <w:color w:val="0000EE"/>
                </w:rPr>
                <w:t>Employment Agreement between TapImmune Inc. and Peter Hoang</w:t>
              </w:r>
            </w:hyperlink>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9/25/17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dated as of September 22, 2017*</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61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10.17​​</w:t>
            </w:r>
            <w:hyperlink r:id="rId108">
              <w:r>
                <w:rPr>
                  <w:rFonts w:ascii="Times New Roman" w:cs="Times New Roman" w:eastAsia="Times New Roman" w:hAnsi="Times New Roman"/>
                  <w:sz w:val="18"/>
                  <w:szCs w:val="18"/>
                  <w:color w:val="0000EE"/>
                </w:rPr>
                <w:t>Employment Agreement by and between TapImmune Inc. and Michael</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000-27239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8/25/16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J. Loiacono dated as of August 25, 2016*</w:t>
              </w:r>
            </w:hyperlink>
          </w:p>
        </w:tc>
        <w:tc>
          <w:tcPr>
            <w:tcW w:w="2100" w:type="dxa"/>
            <w:vAlign w:val="bottom"/>
            <w:tcBorders>
              <w:top w:val="single" w:sz="8" w:color="0000EE"/>
            </w:tcBorders>
            <w:gridSpan w:val="10"/>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3"/>
        </w:trPr>
        <w:tc>
          <w:tcPr>
            <w:tcW w:w="61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10.18​​</w:t>
            </w:r>
            <w:hyperlink r:id="rId109">
              <w:r>
                <w:rPr>
                  <w:rFonts w:ascii="Times New Roman" w:cs="Times New Roman" w:eastAsia="Times New Roman" w:hAnsi="Times New Roman"/>
                  <w:sz w:val="18"/>
                  <w:szCs w:val="18"/>
                  <w:color w:val="0000EE"/>
                </w:rPr>
                <w:t>Amendment to Employment Agreement between Marker Therapeutics,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10.2</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12/3/18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 and Michael J. Loiacono dated as of November 27, 2018*</w:t>
              </w:r>
            </w:hyperlink>
          </w:p>
        </w:tc>
        <w:tc>
          <w:tcPr>
            <w:tcW w:w="540" w:type="dxa"/>
            <w:vAlign w:val="bottom"/>
            <w:tcBorders>
              <w:top w:val="single" w:sz="8" w:color="0000EE"/>
            </w:tcBorders>
            <w:gridSpan w:val="3"/>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10.19</w:t>
            </w:r>
          </w:p>
        </w:tc>
        <w:tc>
          <w:tcPr>
            <w:tcW w:w="530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10">
              <w:r>
                <w:rPr>
                  <w:rFonts w:ascii="Times New Roman" w:cs="Times New Roman" w:eastAsia="Times New Roman" w:hAnsi="Times New Roman"/>
                  <w:sz w:val="18"/>
                  <w:szCs w:val="18"/>
                  <w:color w:val="0000EE"/>
                </w:rPr>
                <w:t>Employment Agreement between Marker Therapeutics, Inc. and</w:t>
              </w:r>
            </w:hyperlink>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10.3</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12/3/18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Anthony Kim dated as of November 27, 2018*</w:t>
              </w:r>
            </w:hyperlink>
          </w:p>
        </w:tc>
        <w:tc>
          <w:tcPr>
            <w:tcW w:w="1300" w:type="dxa"/>
            <w:vAlign w:val="bottom"/>
            <w:tcBorders>
              <w:top w:val="single" w:sz="8" w:color="0000EE"/>
            </w:tcBorders>
            <w:gridSpan w:val="6"/>
          </w:tcPr>
          <w:p>
            <w:pPr>
              <w:spacing w:after="0"/>
              <w:rPr>
                <w:sz w:val="17"/>
                <w:szCs w:val="17"/>
                <w:color w:val="auto"/>
              </w:rPr>
            </w:pPr>
          </w:p>
        </w:tc>
        <w:tc>
          <w:tcPr>
            <w:tcW w:w="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5300" w:type="dxa"/>
            <w:vAlign w:val="bottom"/>
            <w:gridSpan w:val="1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11">
              <w:r>
                <w:rPr>
                  <w:rFonts w:ascii="Times New Roman" w:cs="Times New Roman" w:eastAsia="Times New Roman" w:hAnsi="Times New Roman"/>
                  <w:sz w:val="18"/>
                  <w:szCs w:val="18"/>
                  <w:color w:val="0000EE"/>
                </w:rPr>
                <w:t>Consulting Agreement between Dr. Juan Vera and Marker</w:t>
              </w:r>
            </w:hyperlink>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​​10/23/18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Therapeutics, Inc. dated October 19, 2018*</w:t>
              </w:r>
            </w:hyperlink>
          </w:p>
        </w:tc>
        <w:tc>
          <w:tcPr>
            <w:tcW w:w="8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7"/>
        </w:trPr>
        <w:tc>
          <w:tcPr>
            <w:tcW w:w="520" w:type="dxa"/>
            <w:vAlign w:val="bottom"/>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10.21</w:t>
            </w:r>
          </w:p>
        </w:tc>
        <w:tc>
          <w:tcPr>
            <w:tcW w:w="5300" w:type="dxa"/>
            <w:vAlign w:val="bottom"/>
            <w:gridSpan w:val="14"/>
          </w:tcPr>
          <w:p>
            <w:pPr>
              <w:spacing w:after="0" w:line="276" w:lineRule="exact"/>
              <w:rPr>
                <w:rFonts w:ascii="Times New Roman" w:cs="Times New Roman" w:eastAsia="Times New Roman" w:hAnsi="Times New Roman"/>
                <w:sz w:val="17"/>
                <w:szCs w:val="17"/>
                <w:color w:val="0000EE"/>
              </w:rPr>
            </w:pPr>
            <w:hyperlink r:id="rId112"/>
            <w:r>
              <w:rPr>
                <w:rFonts w:ascii="Times New Roman" w:cs="Times New Roman" w:eastAsia="Times New Roman" w:hAnsi="Times New Roman"/>
                <w:sz w:val="32"/>
                <w:szCs w:val="32"/>
                <w:color w:val="000000"/>
                <w:vertAlign w:val="superscript"/>
              </w:rPr>
              <w:t>​​</w:t>
            </w:r>
            <w:hyperlink r:id="rId112">
              <w:r>
                <w:rPr>
                  <w:rFonts w:ascii="Times New Roman" w:cs="Times New Roman" w:eastAsia="Times New Roman" w:hAnsi="Times New Roman"/>
                  <w:sz w:val="17"/>
                  <w:szCs w:val="17"/>
                  <w:color w:val="0000EE"/>
                </w:rPr>
                <w:t>Form of Director and Officer Indemnification Agreement*</w:t>
              </w:r>
            </w:hyperlink>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ind w:left="10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001-37939</w:t>
            </w:r>
          </w:p>
        </w:tc>
        <w:tc>
          <w:tcPr>
            <w:tcW w:w="540" w:type="dxa"/>
            <w:vAlign w:val="bottom"/>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10.39</w:t>
            </w:r>
          </w:p>
        </w:tc>
        <w:tc>
          <w:tcPr>
            <w:tcW w:w="780" w:type="dxa"/>
            <w:vAlign w:val="bottom"/>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3/15/19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0" w:type="dxa"/>
            <w:vAlign w:val="bottom"/>
            <w:gridSpan w:val="8"/>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10.22</w:t>
            </w:r>
          </w:p>
        </w:tc>
        <w:tc>
          <w:tcPr>
            <w:tcW w:w="562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13">
              <w:r>
                <w:rPr>
                  <w:rFonts w:ascii="Times New Roman" w:cs="Times New Roman" w:eastAsia="Times New Roman" w:hAnsi="Times New Roman"/>
                  <w:sz w:val="18"/>
                  <w:szCs w:val="18"/>
                  <w:color w:val="0000EE"/>
                </w:rPr>
                <w:t>Amendment to Employment Agreement between Marker Therapeutics,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3/15/19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28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gridSpan w:val="11"/>
          </w:tcPr>
          <w:p>
            <w:pPr>
              <w:spacing w:after="0" w:line="202"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Inc. and Peter Hoang, dated March 14, 2019*</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0" w:type="dxa"/>
            <w:vAlign w:val="bottom"/>
            <w:tcBorders>
              <w:right w:val="single" w:sz="8" w:color="0000EE"/>
            </w:tcBorders>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3"/>
        </w:trPr>
        <w:tc>
          <w:tcPr>
            <w:tcW w:w="588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10.23​​</w:t>
            </w:r>
            <w:hyperlink r:id="rId114">
              <w:r>
                <w:rPr>
                  <w:rFonts w:ascii="Times New Roman" w:cs="Times New Roman" w:eastAsia="Times New Roman" w:hAnsi="Times New Roman"/>
                  <w:sz w:val="18"/>
                  <w:szCs w:val="18"/>
                  <w:color w:val="0000EE"/>
                </w:rPr>
                <w:t>Employment Agreement between Marker Therapeutics, Inc. and</w:t>
              </w:r>
            </w:hyperlink>
          </w:p>
        </w:tc>
        <w:tc>
          <w:tcPr>
            <w:tcW w:w="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10.3</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5/10/19</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Mythili Koneru, dated February 6, 2019.*</w:t>
              </w:r>
            </w:hyperlink>
          </w:p>
        </w:tc>
        <w:tc>
          <w:tcPr>
            <w:tcW w:w="1680" w:type="dxa"/>
            <w:vAlign w:val="bottom"/>
            <w:tcBorders>
              <w:top w:val="single" w:sz="8" w:color="0000EE"/>
            </w:tcBorders>
            <w:gridSpan w:val="4"/>
          </w:tcPr>
          <w:p>
            <w:pPr>
              <w:spacing w:after="0"/>
              <w:rPr>
                <w:sz w:val="17"/>
                <w:szCs w:val="17"/>
                <w:color w:val="auto"/>
              </w:rPr>
            </w:pPr>
          </w:p>
        </w:tc>
        <w:tc>
          <w:tcPr>
            <w:tcW w:w="4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7"/>
        </w:trPr>
        <w:tc>
          <w:tcPr>
            <w:tcW w:w="5880" w:type="dxa"/>
            <w:vAlign w:val="bottom"/>
            <w:gridSpan w:val="13"/>
          </w:tcPr>
          <w:p>
            <w:pPr>
              <w:spacing w:after="0" w:line="27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10.24</w:t>
            </w:r>
            <w:r>
              <w:rPr>
                <w:rFonts w:ascii="Times New Roman" w:cs="Times New Roman" w:eastAsia="Times New Roman" w:hAnsi="Times New Roman"/>
                <w:sz w:val="32"/>
                <w:szCs w:val="32"/>
                <w:color w:val="auto"/>
                <w:vertAlign w:val="superscript"/>
              </w:rPr>
              <w:t>​​</w:t>
            </w:r>
            <w:hyperlink r:id="rId115">
              <w:r>
                <w:rPr>
                  <w:rFonts w:ascii="Times New Roman" w:cs="Times New Roman" w:eastAsia="Times New Roman" w:hAnsi="Times New Roman"/>
                  <w:sz w:val="17"/>
                  <w:szCs w:val="17"/>
                  <w:color w:val="0000EE"/>
                </w:rPr>
                <w:t>Marker Therapeutics, Inc. 2020 Equity Incentive Plan</w:t>
              </w:r>
            </w:hyperlink>
          </w:p>
        </w:tc>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tcPr>
          <w:p>
            <w:pPr>
              <w:ind w:left="10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333-239136</w:t>
            </w:r>
          </w:p>
        </w:tc>
        <w:tc>
          <w:tcPr>
            <w:tcW w:w="520" w:type="dxa"/>
            <w:vAlign w:val="bottom"/>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99.1</w:t>
            </w:r>
          </w:p>
        </w:tc>
        <w:tc>
          <w:tcPr>
            <w:tcW w:w="740" w:type="dxa"/>
            <w:vAlign w:val="bottom"/>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6/12/20</w:t>
            </w:r>
          </w:p>
        </w:tc>
      </w:tr>
      <w:tr>
        <w:trPr>
          <w:trHeight w:val="20"/>
        </w:trPr>
        <w:tc>
          <w:tcPr>
            <w:tcW w:w="6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588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10.25​​</w:t>
            </w:r>
            <w:hyperlink r:id="rId116">
              <w:r>
                <w:rPr>
                  <w:rFonts w:ascii="Times New Roman" w:cs="Times New Roman" w:eastAsia="Times New Roman" w:hAnsi="Times New Roman"/>
                  <w:sz w:val="18"/>
                  <w:szCs w:val="18"/>
                  <w:color w:val="0000EE"/>
                </w:rPr>
                <w:t>Form of Stock Option Grant Notice and Stock Option Agreement</w:t>
              </w:r>
            </w:hyperlink>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11/9/20</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under the Marker Therapeutics, Inc. 2020 Equity Incentive Plan.</w:t>
              </w:r>
            </w:hyperlink>
          </w:p>
        </w:tc>
        <w:tc>
          <w:tcPr>
            <w:tcW w:w="3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10.26</w:t>
            </w:r>
          </w:p>
        </w:tc>
        <w:tc>
          <w:tcPr>
            <w:tcW w:w="53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17">
              <w:r>
                <w:rPr>
                  <w:rFonts w:ascii="Times New Roman" w:cs="Times New Roman" w:eastAsia="Times New Roman" w:hAnsi="Times New Roman"/>
                  <w:sz w:val="18"/>
                  <w:szCs w:val="18"/>
                  <w:color w:val="0000EE"/>
                </w:rPr>
                <w:t>Form of Restricted Stock Unit Grant Notice and Restricted Stock Unit</w:t>
              </w:r>
            </w:hyperlink>
          </w:p>
        </w:tc>
        <w:tc>
          <w:tcPr>
            <w:tcW w:w="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001-37939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10.2</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11/9/20</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Award Agreement under the Marker Therapeutics, Inc. 2020 Equity</w:t>
              </w:r>
            </w:hyperlink>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Incentive Plan.</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7"/>
        </w:trPr>
        <w:tc>
          <w:tcPr>
            <w:tcW w:w="520" w:type="dxa"/>
            <w:vAlign w:val="bottom"/>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10.27</w:t>
            </w:r>
          </w:p>
        </w:tc>
        <w:tc>
          <w:tcPr>
            <w:tcW w:w="5360" w:type="dxa"/>
            <w:vAlign w:val="bottom"/>
            <w:gridSpan w:val="12"/>
          </w:tcPr>
          <w:p>
            <w:pPr>
              <w:spacing w:after="0" w:line="276" w:lineRule="exact"/>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32"/>
                <w:szCs w:val="32"/>
                <w:color w:val="000000"/>
                <w:vertAlign w:val="superscript"/>
              </w:rPr>
              <w:t>​​</w:t>
            </w:r>
            <w:hyperlink r:id="rId118">
              <w:r>
                <w:rPr>
                  <w:rFonts w:ascii="Times New Roman" w:cs="Times New Roman" w:eastAsia="Times New Roman" w:hAnsi="Times New Roman"/>
                  <w:sz w:val="17"/>
                  <w:szCs w:val="17"/>
                  <w:color w:val="0000EE"/>
                </w:rPr>
                <w:t>Form of Common Stock Purchase Warrant</w:t>
              </w:r>
            </w:hyperlink>
          </w:p>
        </w:tc>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000-27239</w:t>
            </w:r>
          </w:p>
        </w:tc>
        <w:tc>
          <w:tcPr>
            <w:tcW w:w="520" w:type="dxa"/>
            <w:vAlign w:val="bottom"/>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4.1</w:t>
            </w:r>
          </w:p>
        </w:tc>
        <w:tc>
          <w:tcPr>
            <w:tcW w:w="740" w:type="dxa"/>
            <w:vAlign w:val="bottom"/>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8/14/14</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10.28</w:t>
            </w:r>
          </w:p>
        </w:tc>
        <w:tc>
          <w:tcPr>
            <w:tcW w:w="5620" w:type="dxa"/>
            <w:vAlign w:val="bottom"/>
            <w:gridSpan w:val="14"/>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19">
              <w:r>
                <w:rPr>
                  <w:rFonts w:ascii="Times New Roman" w:cs="Times New Roman" w:eastAsia="Times New Roman" w:hAnsi="Times New Roman"/>
                  <w:sz w:val="18"/>
                  <w:szCs w:val="18"/>
                  <w:color w:val="0000EE"/>
                </w:rPr>
                <w:t>Form of Placement Agent Warrant Common Stock Purchase Warrants-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000-27239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1/12/15</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Series A</w:t>
              </w:r>
            </w:hyperlink>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10.29</w:t>
            </w:r>
          </w:p>
        </w:tc>
        <w:tc>
          <w:tcPr>
            <w:tcW w:w="5620" w:type="dxa"/>
            <w:vAlign w:val="bottom"/>
            <w:gridSpan w:val="14"/>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0">
              <w:r>
                <w:rPr>
                  <w:rFonts w:ascii="Times New Roman" w:cs="Times New Roman" w:eastAsia="Times New Roman" w:hAnsi="Times New Roman"/>
                  <w:sz w:val="18"/>
                  <w:szCs w:val="18"/>
                  <w:color w:val="0000EE"/>
                </w:rPr>
                <w:t>Form of Placement Agent Warrant Common Stock Purchase Warrants-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000-27239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1/12/15</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Series C</w:t>
              </w:r>
            </w:hyperlink>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79"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77"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93"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00" w:lineRule="exact"/>
        <w:rPr>
          <w:sz w:val="20"/>
          <w:szCs w:val="20"/>
          <w:color w:val="auto"/>
        </w:rPr>
      </w:pPr>
    </w:p>
    <w:p>
      <w:pPr>
        <w:spacing w:after="0" w:line="295"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77"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93" w:lineRule="exact"/>
        <w:rPr>
          <w:sz w:val="20"/>
          <w:szCs w:val="20"/>
          <w:color w:val="auto"/>
        </w:rPr>
      </w:pPr>
    </w:p>
    <w:p>
      <w:pPr>
        <w:spacing w:after="0"/>
        <w:tabs>
          <w:tab w:leader="none" w:pos="300" w:val="left"/>
          <w:tab w:leader="none" w:pos="5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443" w:lineRule="exact"/>
        <w:rPr>
          <w:sz w:val="20"/>
          <w:szCs w:val="20"/>
          <w:color w:val="auto"/>
        </w:rPr>
      </w:pPr>
    </w:p>
    <w:p>
      <w:pPr>
        <w:sectPr>
          <w:pgSz w:w="11900" w:h="16838" w:orient="portrait"/>
          <w:cols w:equalWidth="0" w:num="2">
            <w:col w:w="9540" w:space="100"/>
            <w:col w:w="640"/>
          </w:cols>
          <w:pgMar w:left="580" w:top="97" w:right="1039" w:bottom="1440" w:gutter="0" w:footer="0" w:header="0"/>
          <w:type w:val="continuous"/>
        </w:sectPr>
      </w:pPr>
    </w:p>
    <w:p>
      <w:pPr>
        <w:spacing w:after="0" w:line="2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13"/>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9"/>
                <w:szCs w:val="19"/>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60" w:type="dxa"/>
            <w:vAlign w:val="bottom"/>
            <w:gridSpan w:val="1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w:t>
            </w:r>
          </w:p>
        </w:tc>
        <w:tc>
          <w:tcPr>
            <w:tcW w:w="3260" w:type="dxa"/>
            <w:vAlign w:val="bottom"/>
            <w:gridSpan w:val="15"/>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w w:val="99"/>
              </w:rPr>
              <w:t>Exhibit description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File no.</w:t>
            </w:r>
          </w:p>
        </w:tc>
        <w:tc>
          <w:tcPr>
            <w:tcW w:w="700" w:type="dxa"/>
            <w:vAlign w:val="bottom"/>
            <w:gridSpan w:val="4"/>
          </w:tcPr>
          <w:p>
            <w:pPr>
              <w:jc w:val="center"/>
              <w:ind w:righ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Exhibit </w:t>
            </w:r>
            <w:r>
              <w:rPr>
                <w:rFonts w:ascii="Times New Roman" w:cs="Times New Roman" w:eastAsia="Times New Roman" w:hAnsi="Times New Roman"/>
                <w:sz w:val="24"/>
                <w:szCs w:val="24"/>
                <w:b w:val="1"/>
                <w:bCs w:val="1"/>
                <w:color w:val="auto"/>
                <w:vertAlign w:val="subscript"/>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66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herewith</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10.30</w:t>
            </w:r>
          </w:p>
        </w:tc>
        <w:tc>
          <w:tcPr>
            <w:tcW w:w="20" w:type="dxa"/>
            <w:vAlign w:val="bottom"/>
            <w:vMerge w:val="continue"/>
          </w:tcPr>
          <w:p>
            <w:pPr>
              <w:spacing w:after="0"/>
              <w:rPr>
                <w:sz w:val="17"/>
                <w:szCs w:val="17"/>
                <w:color w:val="auto"/>
              </w:rPr>
            </w:pPr>
          </w:p>
        </w:tc>
        <w:tc>
          <w:tcPr>
            <w:tcW w:w="5620" w:type="dxa"/>
            <w:vAlign w:val="bottom"/>
            <w:gridSpan w:val="26"/>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2">
              <w:r>
                <w:rPr>
                  <w:rFonts w:ascii="Times New Roman" w:cs="Times New Roman" w:eastAsia="Times New Roman" w:hAnsi="Times New Roman"/>
                  <w:sz w:val="18"/>
                  <w:szCs w:val="18"/>
                  <w:color w:val="0000EE"/>
                </w:rPr>
                <w:t>Form of Placement Agent Warrant Common Stock Purchase Warrants-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7"/>
                <w:szCs w:val="17"/>
                <w:color w:val="auto"/>
              </w:rPr>
            </w:pPr>
          </w:p>
        </w:tc>
        <w:tc>
          <w:tcPr>
            <w:tcW w:w="9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​​000-27239</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86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 1/12/15</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22">
              <w:r>
                <w:rPr>
                  <w:rFonts w:ascii="Times New Roman" w:cs="Times New Roman" w:eastAsia="Times New Roman" w:hAnsi="Times New Roman"/>
                  <w:sz w:val="18"/>
                  <w:szCs w:val="18"/>
                  <w:color w:val="0000EE"/>
                  <w:w w:val="94"/>
                </w:rPr>
                <w:t>Series D</w:t>
              </w:r>
            </w:hyperlink>
          </w:p>
        </w:tc>
        <w:tc>
          <w:tcPr>
            <w:tcW w:w="1440" w:type="dxa"/>
            <w:vAlign w:val="bottom"/>
            <w:tcBorders>
              <w:top w:val="single" w:sz="8" w:color="0000EE"/>
            </w:tcBorders>
            <w:gridSpan w:val="6"/>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10.31</w:t>
            </w:r>
          </w:p>
        </w:tc>
        <w:tc>
          <w:tcPr>
            <w:tcW w:w="5620" w:type="dxa"/>
            <w:vAlign w:val="bottom"/>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3">
              <w:r>
                <w:rPr>
                  <w:rFonts w:ascii="Times New Roman" w:cs="Times New Roman" w:eastAsia="Times New Roman" w:hAnsi="Times New Roman"/>
                  <w:sz w:val="18"/>
                  <w:szCs w:val="18"/>
                  <w:color w:val="0000EE"/>
                </w:rPr>
                <w:t>Form of Placement Agent Warrant Common Stock Purchase Warrants-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​​000-27239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4.10</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1/12/15</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3">
              <w:r>
                <w:rPr>
                  <w:rFonts w:ascii="Times New Roman" w:cs="Times New Roman" w:eastAsia="Times New Roman" w:hAnsi="Times New Roman"/>
                  <w:sz w:val="18"/>
                  <w:szCs w:val="18"/>
                  <w:color w:val="0000EE"/>
                  <w:w w:val="94"/>
                </w:rPr>
                <w:t>Series E</w:t>
              </w:r>
            </w:hyperlink>
          </w:p>
        </w:tc>
        <w:tc>
          <w:tcPr>
            <w:tcW w:w="1460" w:type="dxa"/>
            <w:vAlign w:val="bottom"/>
            <w:tcBorders>
              <w:top w:val="single" w:sz="8" w:color="0000EE"/>
            </w:tcBorders>
            <w:gridSpan w:val="7"/>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10.32</w:t>
            </w:r>
          </w:p>
        </w:tc>
        <w:tc>
          <w:tcPr>
            <w:tcW w:w="5620" w:type="dxa"/>
            <w:vAlign w:val="bottom"/>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4">
              <w:r>
                <w:rPr>
                  <w:rFonts w:ascii="Times New Roman" w:cs="Times New Roman" w:eastAsia="Times New Roman" w:hAnsi="Times New Roman"/>
                  <w:sz w:val="18"/>
                  <w:szCs w:val="18"/>
                  <w:color w:val="0000EE"/>
                </w:rPr>
                <w:t>Form of Placement Agent Warrant Common Stock Purchase Warrants-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3/10/15</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24">
              <w:r>
                <w:rPr>
                  <w:rFonts w:ascii="Times New Roman" w:cs="Times New Roman" w:eastAsia="Times New Roman" w:hAnsi="Times New Roman"/>
                  <w:sz w:val="18"/>
                  <w:szCs w:val="18"/>
                  <w:color w:val="0000EE"/>
                  <w:w w:val="96"/>
                </w:rPr>
                <w:t>Series A-1</w:t>
              </w:r>
            </w:hyperlink>
          </w:p>
        </w:tc>
        <w:tc>
          <w:tcPr>
            <w:tcW w:w="1280" w:type="dxa"/>
            <w:vAlign w:val="bottom"/>
            <w:tcBorders>
              <w:top w:val="single" w:sz="8" w:color="0000EE"/>
            </w:tcBorders>
            <w:gridSpan w:val="4"/>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10.33</w:t>
            </w:r>
          </w:p>
        </w:tc>
        <w:tc>
          <w:tcPr>
            <w:tcW w:w="5620" w:type="dxa"/>
            <w:vAlign w:val="bottom"/>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5">
              <w:r>
                <w:rPr>
                  <w:rFonts w:ascii="Times New Roman" w:cs="Times New Roman" w:eastAsia="Times New Roman" w:hAnsi="Times New Roman"/>
                  <w:sz w:val="18"/>
                  <w:szCs w:val="18"/>
                  <w:color w:val="0000EE"/>
                </w:rPr>
                <w:t>Form of Placement Agent Warrant Common Stock Purchase Warrants-</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​​000-27239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4.10</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3/10/15</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25">
              <w:r>
                <w:rPr>
                  <w:rFonts w:ascii="Times New Roman" w:cs="Times New Roman" w:eastAsia="Times New Roman" w:hAnsi="Times New Roman"/>
                  <w:sz w:val="18"/>
                  <w:szCs w:val="18"/>
                  <w:color w:val="0000EE"/>
                  <w:w w:val="96"/>
                </w:rPr>
                <w:t>Series E-1</w:t>
              </w:r>
            </w:hyperlink>
          </w:p>
        </w:tc>
        <w:tc>
          <w:tcPr>
            <w:tcW w:w="1300" w:type="dxa"/>
            <w:vAlign w:val="bottom"/>
            <w:tcBorders>
              <w:top w:val="single" w:sz="8" w:color="0000EE"/>
            </w:tcBorders>
            <w:gridSpan w:val="5"/>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10.34</w:t>
            </w:r>
          </w:p>
        </w:tc>
        <w:tc>
          <w:tcPr>
            <w:tcW w:w="5400" w:type="dxa"/>
            <w:vAlign w:val="bottom"/>
            <w:gridSpan w:val="24"/>
          </w:tcPr>
          <w:p>
            <w:pPr>
              <w:spacing w:after="0" w:line="276"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32"/>
                <w:szCs w:val="32"/>
                <w:color w:val="000000"/>
                <w:vertAlign w:val="superscript"/>
              </w:rPr>
              <w:t>​​</w:t>
            </w:r>
            <w:hyperlink r:id="rId126">
              <w:r>
                <w:rPr>
                  <w:rFonts w:ascii="Times New Roman" w:cs="Times New Roman" w:eastAsia="Times New Roman" w:hAnsi="Times New Roman"/>
                  <w:sz w:val="17"/>
                  <w:szCs w:val="17"/>
                  <w:color w:val="0000EE"/>
                </w:rPr>
                <w:t>Form of Amended Series A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94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6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10.35</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27"/>
            <w:r>
              <w:rPr>
                <w:rFonts w:ascii="Times New Roman" w:cs="Times New Roman" w:eastAsia="Times New Roman" w:hAnsi="Times New Roman"/>
                <w:sz w:val="28"/>
                <w:szCs w:val="28"/>
                <w:color w:val="000000"/>
                <w:vertAlign w:val="superscript"/>
              </w:rPr>
              <w:t>​​</w:t>
            </w:r>
            <w:hyperlink r:id="rId127">
              <w:r>
                <w:rPr>
                  <w:rFonts w:ascii="Times New Roman" w:cs="Times New Roman" w:eastAsia="Times New Roman" w:hAnsi="Times New Roman"/>
                  <w:sz w:val="15"/>
                  <w:szCs w:val="15"/>
                  <w:color w:val="0000EE"/>
                </w:rPr>
                <w:t>Form of Amended Series C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10.36</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28"/>
            <w:r>
              <w:rPr>
                <w:rFonts w:ascii="Times New Roman" w:cs="Times New Roman" w:eastAsia="Times New Roman" w:hAnsi="Times New Roman"/>
                <w:sz w:val="28"/>
                <w:szCs w:val="28"/>
                <w:color w:val="000000"/>
                <w:vertAlign w:val="superscript"/>
              </w:rPr>
              <w:t>​​</w:t>
            </w:r>
            <w:hyperlink r:id="rId128">
              <w:r>
                <w:rPr>
                  <w:rFonts w:ascii="Times New Roman" w:cs="Times New Roman" w:eastAsia="Times New Roman" w:hAnsi="Times New Roman"/>
                  <w:sz w:val="15"/>
                  <w:szCs w:val="15"/>
                  <w:color w:val="0000EE"/>
                </w:rPr>
                <w:t>Form of Amended Series D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10.37</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29"/>
            <w:r>
              <w:rPr>
                <w:rFonts w:ascii="Times New Roman" w:cs="Times New Roman" w:eastAsia="Times New Roman" w:hAnsi="Times New Roman"/>
                <w:sz w:val="28"/>
                <w:szCs w:val="28"/>
                <w:color w:val="000000"/>
                <w:vertAlign w:val="superscript"/>
              </w:rPr>
              <w:t>​​</w:t>
            </w:r>
            <w:hyperlink r:id="rId129">
              <w:r>
                <w:rPr>
                  <w:rFonts w:ascii="Times New Roman" w:cs="Times New Roman" w:eastAsia="Times New Roman" w:hAnsi="Times New Roman"/>
                  <w:sz w:val="15"/>
                  <w:szCs w:val="15"/>
                  <w:color w:val="0000EE"/>
                </w:rPr>
                <w:t>Form of Amended Series E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10.38</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30"/>
            <w:r>
              <w:rPr>
                <w:rFonts w:ascii="Times New Roman" w:cs="Times New Roman" w:eastAsia="Times New Roman" w:hAnsi="Times New Roman"/>
                <w:sz w:val="28"/>
                <w:szCs w:val="28"/>
                <w:color w:val="000000"/>
                <w:vertAlign w:val="superscript"/>
              </w:rPr>
              <w:t>​​</w:t>
            </w:r>
            <w:hyperlink r:id="rId130">
              <w:r>
                <w:rPr>
                  <w:rFonts w:ascii="Times New Roman" w:cs="Times New Roman" w:eastAsia="Times New Roman" w:hAnsi="Times New Roman"/>
                  <w:sz w:val="15"/>
                  <w:szCs w:val="15"/>
                  <w:color w:val="0000EE"/>
                </w:rPr>
                <w:t>Form of Amended Series A-1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10.39</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31"/>
            <w:r>
              <w:rPr>
                <w:rFonts w:ascii="Times New Roman" w:cs="Times New Roman" w:eastAsia="Times New Roman" w:hAnsi="Times New Roman"/>
                <w:sz w:val="28"/>
                <w:szCs w:val="28"/>
                <w:color w:val="000000"/>
                <w:vertAlign w:val="superscript"/>
              </w:rPr>
              <w:t>​​</w:t>
            </w:r>
            <w:hyperlink r:id="rId131">
              <w:r>
                <w:rPr>
                  <w:rFonts w:ascii="Times New Roman" w:cs="Times New Roman" w:eastAsia="Times New Roman" w:hAnsi="Times New Roman"/>
                  <w:sz w:val="15"/>
                  <w:szCs w:val="15"/>
                  <w:color w:val="0000EE"/>
                </w:rPr>
                <w:t>Form of Amended Series D-1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10.40</w:t>
            </w:r>
          </w:p>
        </w:tc>
        <w:tc>
          <w:tcPr>
            <w:tcW w:w="2140" w:type="dxa"/>
            <w:vAlign w:val="bottom"/>
            <w:gridSpan w:val="9"/>
          </w:tcPr>
          <w:p>
            <w:pPr>
              <w:spacing w:after="0" w:line="250" w:lineRule="exact"/>
              <w:rPr>
                <w:rFonts w:ascii="Times New Roman" w:cs="Times New Roman" w:eastAsia="Times New Roman" w:hAnsi="Times New Roman"/>
                <w:sz w:val="15"/>
                <w:szCs w:val="15"/>
                <w:color w:val="0000EE"/>
              </w:rPr>
            </w:pPr>
            <w:hyperlink r:id="rId132"/>
            <w:r>
              <w:rPr>
                <w:rFonts w:ascii="Times New Roman" w:cs="Times New Roman" w:eastAsia="Times New Roman" w:hAnsi="Times New Roman"/>
                <w:sz w:val="28"/>
                <w:szCs w:val="28"/>
                <w:color w:val="000000"/>
                <w:vertAlign w:val="superscript"/>
              </w:rPr>
              <w:t>​​</w:t>
            </w:r>
            <w:hyperlink r:id="rId132">
              <w:r>
                <w:rPr>
                  <w:rFonts w:ascii="Times New Roman" w:cs="Times New Roman" w:eastAsia="Times New Roman" w:hAnsi="Times New Roman"/>
                  <w:sz w:val="15"/>
                  <w:szCs w:val="15"/>
                  <w:color w:val="0000EE"/>
                </w:rPr>
                <w:t>Form of Series F Warrant</w:t>
              </w:r>
            </w:hyperlink>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10.41</w:t>
            </w:r>
          </w:p>
        </w:tc>
        <w:tc>
          <w:tcPr>
            <w:tcW w:w="2140" w:type="dxa"/>
            <w:vAlign w:val="bottom"/>
            <w:gridSpan w:val="9"/>
          </w:tcPr>
          <w:p>
            <w:pPr>
              <w:spacing w:after="0" w:line="250" w:lineRule="exact"/>
              <w:rPr>
                <w:rFonts w:ascii="Times New Roman" w:cs="Times New Roman" w:eastAsia="Times New Roman" w:hAnsi="Times New Roman"/>
                <w:sz w:val="15"/>
                <w:szCs w:val="15"/>
                <w:color w:val="0000EE"/>
              </w:rPr>
            </w:pPr>
            <w:hyperlink r:id="rId133"/>
            <w:r>
              <w:rPr>
                <w:rFonts w:ascii="Times New Roman" w:cs="Times New Roman" w:eastAsia="Times New Roman" w:hAnsi="Times New Roman"/>
                <w:sz w:val="28"/>
                <w:szCs w:val="28"/>
                <w:color w:val="000000"/>
                <w:vertAlign w:val="superscript"/>
              </w:rPr>
              <w:t>​​</w:t>
            </w:r>
            <w:hyperlink r:id="rId133">
              <w:r>
                <w:rPr>
                  <w:rFonts w:ascii="Times New Roman" w:cs="Times New Roman" w:eastAsia="Times New Roman" w:hAnsi="Times New Roman"/>
                  <w:sz w:val="15"/>
                  <w:szCs w:val="15"/>
                  <w:color w:val="0000EE"/>
                </w:rPr>
                <w:t>Form of Series F-1 Warrant</w:t>
              </w:r>
            </w:hyperlink>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52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4.10</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10.42</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34"/>
            <w:r>
              <w:rPr>
                <w:rFonts w:ascii="Times New Roman" w:cs="Times New Roman" w:eastAsia="Times New Roman" w:hAnsi="Times New Roman"/>
                <w:sz w:val="28"/>
                <w:szCs w:val="28"/>
                <w:color w:val="000000"/>
                <w:vertAlign w:val="superscript"/>
              </w:rPr>
              <w:t>​​</w:t>
            </w:r>
            <w:hyperlink r:id="rId134">
              <w:r>
                <w:rPr>
                  <w:rFonts w:ascii="Times New Roman" w:cs="Times New Roman" w:eastAsia="Times New Roman" w:hAnsi="Times New Roman"/>
                  <w:sz w:val="15"/>
                  <w:szCs w:val="15"/>
                  <w:color w:val="0000EE"/>
                </w:rPr>
                <w:t>Form of August 2016 Private Placement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10.43</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35"/>
            <w:r>
              <w:rPr>
                <w:rFonts w:ascii="Times New Roman" w:cs="Times New Roman" w:eastAsia="Times New Roman" w:hAnsi="Times New Roman"/>
                <w:sz w:val="28"/>
                <w:szCs w:val="28"/>
                <w:color w:val="000000"/>
                <w:vertAlign w:val="superscript"/>
              </w:rPr>
              <w:t>​​</w:t>
            </w:r>
            <w:hyperlink r:id="rId135">
              <w:r>
                <w:rPr>
                  <w:rFonts w:ascii="Times New Roman" w:cs="Times New Roman" w:eastAsia="Times New Roman" w:hAnsi="Times New Roman"/>
                  <w:sz w:val="15"/>
                  <w:szCs w:val="15"/>
                  <w:color w:val="0000EE"/>
                </w:rPr>
                <w:t>Form of 2016 Private Placement Agent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000-27239</w:t>
            </w:r>
          </w:p>
        </w:tc>
        <w:tc>
          <w:tcPr>
            <w:tcW w:w="52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4.11</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10.44</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36"/>
            <w:r>
              <w:rPr>
                <w:rFonts w:ascii="Times New Roman" w:cs="Times New Roman" w:eastAsia="Times New Roman" w:hAnsi="Times New Roman"/>
                <w:sz w:val="28"/>
                <w:szCs w:val="28"/>
                <w:color w:val="000000"/>
                <w:vertAlign w:val="superscript"/>
              </w:rPr>
              <w:t>​​</w:t>
            </w:r>
            <w:hyperlink r:id="rId136">
              <w:r>
                <w:rPr>
                  <w:rFonts w:ascii="Times New Roman" w:cs="Times New Roman" w:eastAsia="Times New Roman" w:hAnsi="Times New Roman"/>
                  <w:sz w:val="15"/>
                  <w:szCs w:val="15"/>
                  <w:color w:val="0000EE"/>
                </w:rPr>
                <w:t>Form of June 2017 Private Placement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001-37939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6/22/17</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10.45</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37"/>
            <w:r>
              <w:rPr>
                <w:rFonts w:ascii="Times New Roman" w:cs="Times New Roman" w:eastAsia="Times New Roman" w:hAnsi="Times New Roman"/>
                <w:sz w:val="28"/>
                <w:szCs w:val="28"/>
                <w:color w:val="000000"/>
                <w:vertAlign w:val="superscript"/>
              </w:rPr>
              <w:t>​​</w:t>
            </w:r>
            <w:hyperlink r:id="rId137">
              <w:r>
                <w:rPr>
                  <w:rFonts w:ascii="Times New Roman" w:cs="Times New Roman" w:eastAsia="Times New Roman" w:hAnsi="Times New Roman"/>
                  <w:sz w:val="15"/>
                  <w:szCs w:val="15"/>
                  <w:color w:val="0000EE"/>
                </w:rPr>
                <w:t>Form of 2017 Private Placement Agent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001-37939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6/22/17</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10.46</w:t>
            </w:r>
          </w:p>
        </w:tc>
        <w:tc>
          <w:tcPr>
            <w:tcW w:w="5400" w:type="dxa"/>
            <w:vAlign w:val="bottom"/>
            <w:gridSpan w:val="2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38">
              <w:r>
                <w:rPr>
                  <w:rFonts w:ascii="Times New Roman" w:cs="Times New Roman" w:eastAsia="Times New Roman" w:hAnsi="Times New Roman"/>
                  <w:sz w:val="18"/>
                  <w:szCs w:val="18"/>
                  <w:color w:val="0000EE"/>
                </w:rPr>
                <w:t>Form of Warrant Amendment Agreement August 2016 Private</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​​000-27239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10.3</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8/11/16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38">
              <w:r>
                <w:rPr>
                  <w:rFonts w:ascii="Times New Roman" w:cs="Times New Roman" w:eastAsia="Times New Roman" w:hAnsi="Times New Roman"/>
                  <w:sz w:val="18"/>
                  <w:szCs w:val="18"/>
                  <w:color w:val="0000EE"/>
                  <w:w w:val="95"/>
                </w:rPr>
                <w:t>Placement</w:t>
              </w:r>
            </w:hyperlink>
          </w:p>
        </w:tc>
        <w:tc>
          <w:tcPr>
            <w:tcW w:w="1300" w:type="dxa"/>
            <w:vAlign w:val="bottom"/>
            <w:tcBorders>
              <w:top w:val="single" w:sz="8" w:color="0000EE"/>
            </w:tcBorders>
            <w:gridSpan w:val="5"/>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10.47</w:t>
            </w:r>
          </w:p>
        </w:tc>
        <w:tc>
          <w:tcPr>
            <w:tcW w:w="5400" w:type="dxa"/>
            <w:vAlign w:val="bottom"/>
            <w:gridSpan w:val="24"/>
          </w:tcPr>
          <w:p>
            <w:pPr>
              <w:spacing w:after="0" w:line="276"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32"/>
                <w:szCs w:val="32"/>
                <w:color w:val="000000"/>
                <w:vertAlign w:val="superscript"/>
              </w:rPr>
              <w:t>​​</w:t>
            </w:r>
            <w:hyperlink r:id="rId139">
              <w:r>
                <w:rPr>
                  <w:rFonts w:ascii="Times New Roman" w:cs="Times New Roman" w:eastAsia="Times New Roman" w:hAnsi="Times New Roman"/>
                  <w:sz w:val="17"/>
                  <w:szCs w:val="17"/>
                  <w:color w:val="0000EE"/>
                </w:rPr>
                <w:t>Form of Warrant Exercise Agreement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94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001-37939</w:t>
            </w:r>
          </w:p>
        </w:tc>
        <w:tc>
          <w:tcPr>
            <w:tcW w:w="52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10.3</w:t>
            </w:r>
          </w:p>
        </w:tc>
        <w:tc>
          <w:tcPr>
            <w:tcW w:w="86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6/22/17</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10.48</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40"/>
            <w:r>
              <w:rPr>
                <w:rFonts w:ascii="Times New Roman" w:cs="Times New Roman" w:eastAsia="Times New Roman" w:hAnsi="Times New Roman"/>
                <w:sz w:val="28"/>
                <w:szCs w:val="28"/>
                <w:color w:val="000000"/>
                <w:vertAlign w:val="superscript"/>
              </w:rPr>
              <w:t>​​</w:t>
            </w:r>
            <w:hyperlink r:id="rId140">
              <w:r>
                <w:rPr>
                  <w:rFonts w:ascii="Times New Roman" w:cs="Times New Roman" w:eastAsia="Times New Roman" w:hAnsi="Times New Roman"/>
                  <w:sz w:val="15"/>
                  <w:szCs w:val="15"/>
                  <w:color w:val="0000EE"/>
                </w:rPr>
                <w:t>Form of Private Placement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001-37939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6/8/18</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10.49</w:t>
            </w:r>
          </w:p>
        </w:tc>
        <w:tc>
          <w:tcPr>
            <w:tcW w:w="5400" w:type="dxa"/>
            <w:vAlign w:val="bottom"/>
            <w:gridSpan w:val="24"/>
          </w:tcPr>
          <w:p>
            <w:pPr>
              <w:spacing w:after="0" w:line="250" w:lineRule="exact"/>
              <w:rPr>
                <w:rFonts w:ascii="Times New Roman" w:cs="Times New Roman" w:eastAsia="Times New Roman" w:hAnsi="Times New Roman"/>
                <w:sz w:val="15"/>
                <w:szCs w:val="15"/>
                <w:color w:val="0000EE"/>
              </w:rPr>
            </w:pPr>
            <w:hyperlink r:id="rId141"/>
            <w:r>
              <w:rPr>
                <w:rFonts w:ascii="Times New Roman" w:cs="Times New Roman" w:eastAsia="Times New Roman" w:hAnsi="Times New Roman"/>
                <w:sz w:val="28"/>
                <w:szCs w:val="28"/>
                <w:color w:val="000000"/>
                <w:vertAlign w:val="superscript"/>
              </w:rPr>
              <w:t>​​</w:t>
            </w:r>
            <w:hyperlink r:id="rId141">
              <w:r>
                <w:rPr>
                  <w:rFonts w:ascii="Times New Roman" w:cs="Times New Roman" w:eastAsia="Times New Roman" w:hAnsi="Times New Roman"/>
                  <w:sz w:val="15"/>
                  <w:szCs w:val="15"/>
                  <w:color w:val="0000EE"/>
                </w:rPr>
                <w:t>Form of Private Placement Warrant</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1"/>
                <w:szCs w:val="21"/>
                <w:color w:val="auto"/>
              </w:rPr>
            </w:pPr>
          </w:p>
        </w:tc>
        <w:tc>
          <w:tcPr>
            <w:tcW w:w="9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001-37393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6/8/18</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10.50</w:t>
            </w:r>
          </w:p>
        </w:tc>
        <w:tc>
          <w:tcPr>
            <w:tcW w:w="5620" w:type="dxa"/>
            <w:vAlign w:val="bottom"/>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42">
              <w:r>
                <w:rPr>
                  <w:rFonts w:ascii="Times New Roman" w:cs="Times New Roman" w:eastAsia="Times New Roman" w:hAnsi="Times New Roman"/>
                  <w:sz w:val="18"/>
                  <w:szCs w:val="18"/>
                  <w:color w:val="0000EE"/>
                </w:rPr>
                <w:t>RSU AWARD GRANT NOTICE (2020 EQUITY INCENTIVE PLAN)</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5/13/22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10.51</w:t>
            </w:r>
          </w:p>
        </w:tc>
        <w:tc>
          <w:tcPr>
            <w:tcW w:w="5400" w:type="dxa"/>
            <w:vAlign w:val="bottom"/>
            <w:gridSpan w:val="2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43">
              <w:r>
                <w:rPr>
                  <w:rFonts w:ascii="Times New Roman" w:cs="Times New Roman" w:eastAsia="Times New Roman" w:hAnsi="Times New Roman"/>
                  <w:sz w:val="18"/>
                  <w:szCs w:val="18"/>
                  <w:color w:val="0000EE"/>
                </w:rPr>
                <w:t>Services Agreement, effective April 12, 2022, between Wilson Wolf</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​​4/26/2022 ​​</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Manufacturing Corporation and Marker Therapeutics, Inc.</w:t>
              </w:r>
            </w:hyperlink>
          </w:p>
        </w:tc>
        <w:tc>
          <w:tcPr>
            <w:tcW w:w="74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10.52</w:t>
            </w:r>
          </w:p>
        </w:tc>
        <w:tc>
          <w:tcPr>
            <w:tcW w:w="5400" w:type="dxa"/>
            <w:vAlign w:val="bottom"/>
            <w:gridSpan w:val="24"/>
          </w:tcPr>
          <w:p>
            <w:pPr>
              <w:spacing w:after="0" w:line="276"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32"/>
                <w:szCs w:val="32"/>
                <w:color w:val="000000"/>
                <w:vertAlign w:val="superscript"/>
              </w:rPr>
              <w:t>​​</w:t>
            </w:r>
            <w:hyperlink r:id="rId144">
              <w:r>
                <w:rPr>
                  <w:rFonts w:ascii="Times New Roman" w:cs="Times New Roman" w:eastAsia="Times New Roman" w:hAnsi="Times New Roman"/>
                  <w:sz w:val="17"/>
                  <w:szCs w:val="17"/>
                  <w:color w:val="0000EE"/>
                </w:rPr>
                <w:t>Marker Therapeutics, Inc. 2020 Equity Incentive Plan, as amended</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24"/>
                <w:szCs w:val="24"/>
                <w:color w:val="auto"/>
              </w:rPr>
            </w:pPr>
          </w:p>
        </w:tc>
        <w:tc>
          <w:tcPr>
            <w:tcW w:w="94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001-37939</w:t>
            </w:r>
          </w:p>
        </w:tc>
        <w:tc>
          <w:tcPr>
            <w:tcW w:w="52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10.2</w:t>
            </w:r>
          </w:p>
        </w:tc>
        <w:tc>
          <w:tcPr>
            <w:tcW w:w="86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8/11/22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10.53</w:t>
            </w:r>
          </w:p>
        </w:tc>
        <w:tc>
          <w:tcPr>
            <w:tcW w:w="5400" w:type="dxa"/>
            <w:vAlign w:val="bottom"/>
            <w:gridSpan w:val="2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45">
              <w:r>
                <w:rPr>
                  <w:rFonts w:ascii="Times New Roman" w:cs="Times New Roman" w:eastAsia="Times New Roman" w:hAnsi="Times New Roman"/>
                  <w:sz w:val="18"/>
                  <w:szCs w:val="18"/>
                  <w:color w:val="0000EE"/>
                </w:rPr>
                <w:t>Purchase Agreement, dated as of December 12, 2022, by and between</w:t>
              </w:r>
            </w:hyperlink>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12/13/22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the Company and Lincoln Park.</w:t>
              </w:r>
            </w:hyperlink>
          </w:p>
        </w:tc>
        <w:tc>
          <w:tcPr>
            <w:tcW w:w="288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10.54</w:t>
            </w:r>
          </w:p>
        </w:tc>
        <w:tc>
          <w:tcPr>
            <w:tcW w:w="5620" w:type="dxa"/>
            <w:vAlign w:val="bottom"/>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46">
              <w:r>
                <w:rPr>
                  <w:rFonts w:ascii="Times New Roman" w:cs="Times New Roman" w:eastAsia="Times New Roman" w:hAnsi="Times New Roman"/>
                  <w:sz w:val="18"/>
                  <w:szCs w:val="18"/>
                  <w:color w:val="0000EE"/>
                </w:rPr>
                <w:t>Registration Rights Agreement, dated as of December 12, 2022, by and</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10.2</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12/13/22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between the Company and Lincoln Park.</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2140" w:type="dxa"/>
            <w:vAlign w:val="bottom"/>
            <w:gridSpan w:val="9"/>
          </w:tcPr>
          <w:p>
            <w:pPr>
              <w:spacing w:after="0" w:line="276"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32"/>
                <w:szCs w:val="32"/>
                <w:color w:val="000000"/>
                <w:vertAlign w:val="superscript"/>
              </w:rPr>
              <w:t>​​</w:t>
            </w:r>
            <w:hyperlink r:id="rId147">
              <w:r>
                <w:rPr>
                  <w:rFonts w:ascii="Times New Roman" w:cs="Times New Roman" w:eastAsia="Times New Roman" w:hAnsi="Times New Roman"/>
                  <w:sz w:val="17"/>
                  <w:szCs w:val="17"/>
                  <w:color w:val="0000EE"/>
                </w:rPr>
                <w:t>List of Subsidiaries</w:t>
              </w:r>
            </w:hyperlink>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24"/>
                <w:szCs w:val="24"/>
                <w:color w:val="auto"/>
              </w:rPr>
            </w:pPr>
          </w:p>
        </w:tc>
        <w:tc>
          <w:tcPr>
            <w:tcW w:w="94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001-37939</w:t>
            </w:r>
          </w:p>
        </w:tc>
        <w:tc>
          <w:tcPr>
            <w:tcW w:w="52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21.1</w:t>
            </w:r>
          </w:p>
        </w:tc>
        <w:tc>
          <w:tcPr>
            <w:tcW w:w="86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3/17/22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1"/>
                <w:szCs w:val="21"/>
                <w:color w:val="auto"/>
              </w:rPr>
            </w:pPr>
          </w:p>
        </w:tc>
        <w:tc>
          <w:tcPr>
            <w:tcW w:w="5400" w:type="dxa"/>
            <w:vAlign w:val="bottom"/>
            <w:gridSpan w:val="24"/>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Consent of Marcum LLP, an independent public accounting firm.</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12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1"/>
                <w:szCs w:val="21"/>
                <w:color w:val="auto"/>
              </w:rPr>
            </w:pPr>
          </w:p>
        </w:tc>
        <w:tc>
          <w:tcPr>
            <w:tcW w:w="5400" w:type="dxa"/>
            <w:vAlign w:val="bottom"/>
            <w:gridSpan w:val="24"/>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Consent of Cooley LLP (included in Exhibit 5.1)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1660" w:type="dxa"/>
            <w:vAlign w:val="bottom"/>
            <w:tcBorders>
              <w:left w:val="single" w:sz="8" w:color="0000EE"/>
            </w:tcBorders>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1"/>
                <w:szCs w:val="21"/>
                <w:color w:val="auto"/>
              </w:rPr>
            </w:pPr>
          </w:p>
        </w:tc>
        <w:tc>
          <w:tcPr>
            <w:tcW w:w="5400" w:type="dxa"/>
            <w:vAlign w:val="bottom"/>
            <w:gridSpan w:val="24"/>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Powers of Attorney (included on signature page)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1"/>
                <w:szCs w:val="21"/>
                <w:color w:val="auto"/>
              </w:rPr>
            </w:pPr>
          </w:p>
        </w:tc>
        <w:tc>
          <w:tcPr>
            <w:tcW w:w="2140" w:type="dxa"/>
            <w:vAlign w:val="bottom"/>
            <w:gridSpan w:val="9"/>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Filing Fee Table</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0" w:right="3320" w:hanging="3940"/>
        <w:spacing w:after="0" w:line="73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contract or compensatory plan or arrangement. 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hanging="360"/>
        <w:spacing w:after="0" w:line="275"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54"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request for conditional treatment and this exhibit has been submitted separately with the SEC.</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5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w:t>
      </w:r>
    </w:p>
    <w:p>
      <w:pPr>
        <w:spacing w:after="0" w:line="14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ind w:left="2340" w:right="579" w:hanging="360"/>
        <w:spacing w:after="0" w:line="253" w:lineRule="auto"/>
        <w:tabs>
          <w:tab w:leader="none" w:pos="23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6" w:lineRule="exact"/>
        <w:rPr>
          <w:rFonts w:ascii="Times New Roman" w:cs="Times New Roman" w:eastAsia="Times New Roman" w:hAnsi="Times New Roman"/>
          <w:sz w:val="18"/>
          <w:szCs w:val="18"/>
          <w:color w:val="auto"/>
        </w:rPr>
      </w:pPr>
    </w:p>
    <w:p>
      <w:pPr>
        <w:ind w:left="2340" w:right="739" w:hanging="360"/>
        <w:spacing w:after="0" w:line="266" w:lineRule="auto"/>
        <w:tabs>
          <w:tab w:leader="none" w:pos="23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3" w:lineRule="auto"/>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29" w:lineRule="exact"/>
        <w:rPr>
          <w:rFonts w:ascii="Times New Roman" w:cs="Times New Roman" w:eastAsia="Times New Roman" w:hAnsi="Times New Roman"/>
          <w:sz w:val="18"/>
          <w:szCs w:val="18"/>
          <w:color w:val="auto"/>
        </w:rPr>
      </w:pPr>
    </w:p>
    <w:p>
      <w:pPr>
        <w:ind w:left="1980" w:right="439" w:hanging="360"/>
        <w:spacing w:after="0" w:line="259" w:lineRule="auto"/>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spacing w:after="0" w:line="266" w:lineRule="auto"/>
        <w:rPr>
          <w:sz w:val="20"/>
          <w:szCs w:val="20"/>
          <w:color w:val="auto"/>
        </w:rPr>
      </w:pPr>
      <w:r>
        <w:rPr>
          <w:rFonts w:ascii="Times New Roman" w:cs="Times New Roman" w:eastAsia="Times New Roman" w:hAnsi="Times New Roman"/>
          <w:sz w:val="18"/>
          <w:szCs w:val="18"/>
          <w:color w:val="auto"/>
        </w:rPr>
        <w:t>offered or sold to such 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2340" w:right="1059" w:hanging="360"/>
        <w:spacing w:after="0" w:line="282" w:lineRule="auto"/>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340" w:right="1279" w:hanging="360"/>
        <w:spacing w:after="0" w:line="282" w:lineRule="auto"/>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340" w:right="499" w:hanging="360"/>
        <w:spacing w:after="0" w:line="266" w:lineRule="auto"/>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our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620" w:right="479" w:hanging="360"/>
        <w:spacing w:after="0" w:line="253"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our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Company has duly caused this Registration Statement to be signed on its behalf by the undersigned, thereunto duly authorized in the City of Houston, State of Texas, on this 23 day of December, 2022.</w:t>
      </w:r>
    </w:p>
    <w:p>
      <w:pPr>
        <w:spacing w:after="0" w:line="1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44450</wp:posOffset>
            </wp:positionV>
            <wp:extent cx="24688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Peter Hoang</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Peter Hoang and Michael Loiacono,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340"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Date</w:t>
            </w:r>
          </w:p>
        </w:tc>
        <w:tc>
          <w:tcPr>
            <w:tcW w:w="4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9"/>
        </w:trPr>
        <w:tc>
          <w:tcPr>
            <w:tcW w:w="200" w:type="dxa"/>
            <w:vAlign w:val="bottom"/>
          </w:tcPr>
          <w:p>
            <w:pPr>
              <w:spacing w:after="0"/>
              <w:rPr>
                <w:sz w:val="24"/>
                <w:szCs w:val="24"/>
                <w:color w:val="auto"/>
              </w:rPr>
            </w:pPr>
          </w:p>
        </w:tc>
        <w:tc>
          <w:tcPr>
            <w:tcW w:w="24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/s/ Peter Hoang</w:t>
            </w:r>
          </w:p>
        </w:tc>
        <w:tc>
          <w:tcPr>
            <w:tcW w:w="2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40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Peter Hang</w:t>
            </w:r>
          </w:p>
        </w:tc>
        <w:tc>
          <w:tcPr>
            <w:tcW w:w="20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vMerge w:val="continue"/>
          </w:tcPr>
          <w:p>
            <w:pPr>
              <w:spacing w:after="0"/>
              <w:rPr>
                <w:sz w:val="9"/>
                <w:szCs w:val="9"/>
                <w:color w:val="auto"/>
              </w:rPr>
            </w:pPr>
          </w:p>
        </w:tc>
        <w:tc>
          <w:tcPr>
            <w:tcW w:w="3880" w:type="dxa"/>
            <w:vAlign w:val="bottom"/>
            <w:gridSpan w:val="3"/>
            <w:vMerge w:val="restart"/>
          </w:tcPr>
          <w:p>
            <w:pPr>
              <w:ind w:left="40"/>
              <w:spacing w:after="0" w:line="358"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Chief Accounting Officer</w:t>
            </w:r>
          </w:p>
        </w:tc>
        <w:tc>
          <w:tcPr>
            <w:tcW w:w="1300" w:type="dxa"/>
            <w:vAlign w:val="bottom"/>
            <w:gridSpan w:val="2"/>
            <w:vMerge w:val="restart"/>
          </w:tcPr>
          <w:p>
            <w:pPr>
              <w:jc w:val="right"/>
              <w:spacing w:after="0" w:line="358"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vMerge w:val="restart"/>
          </w:tcPr>
          <w:p>
            <w:pPr>
              <w:jc w:val="right"/>
              <w:spacing w:after="0" w:line="358"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50"/>
        </w:trPr>
        <w:tc>
          <w:tcPr>
            <w:tcW w:w="200" w:type="dxa"/>
            <w:vAlign w:val="bottom"/>
            <w:vMerge w:val="continue"/>
          </w:tcPr>
          <w:p>
            <w:pPr>
              <w:spacing w:after="0"/>
              <w:rPr>
                <w:sz w:val="21"/>
                <w:szCs w:val="21"/>
                <w:color w:val="auto"/>
              </w:rPr>
            </w:pPr>
          </w:p>
        </w:tc>
        <w:tc>
          <w:tcPr>
            <w:tcW w:w="24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/s/ Michael Loiacono</w:t>
            </w:r>
          </w:p>
        </w:tc>
        <w:tc>
          <w:tcPr>
            <w:tcW w:w="3880" w:type="dxa"/>
            <w:vAlign w:val="bottom"/>
            <w:gridSpan w:val="3"/>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240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rPr>
              <w:t>Michael Loiacono</w:t>
            </w:r>
          </w:p>
        </w:tc>
        <w:tc>
          <w:tcPr>
            <w:tcW w:w="200" w:type="dxa"/>
            <w:vAlign w:val="bottom"/>
            <w:vMerge w:val="continue"/>
          </w:tcPr>
          <w:p>
            <w:pPr>
              <w:spacing w:after="0"/>
              <w:rPr>
                <w:sz w:val="10"/>
                <w:szCs w:val="10"/>
                <w:color w:val="auto"/>
              </w:rPr>
            </w:pPr>
          </w:p>
        </w:tc>
        <w:tc>
          <w:tcPr>
            <w:tcW w:w="36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rPr>
              <w:t>/s/ N. David Eansor</w:t>
            </w:r>
          </w:p>
        </w:tc>
        <w:tc>
          <w:tcPr>
            <w:tcW w:w="1800" w:type="dxa"/>
            <w:vAlign w:val="bottom"/>
            <w:gridSpan w:val="2"/>
          </w:tcPr>
          <w:p>
            <w:pPr>
              <w:ind w:left="40"/>
              <w:spacing w:after="0" w:line="378"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Director</w:t>
            </w:r>
          </w:p>
        </w:tc>
        <w:tc>
          <w:tcPr>
            <w:tcW w:w="2080" w:type="dxa"/>
            <w:vAlign w:val="bottom"/>
          </w:tcPr>
          <w:p>
            <w:pPr>
              <w:spacing w:after="0"/>
              <w:rPr>
                <w:sz w:val="24"/>
                <w:szCs w:val="24"/>
                <w:color w:val="auto"/>
              </w:rPr>
            </w:pPr>
          </w:p>
        </w:tc>
        <w:tc>
          <w:tcPr>
            <w:tcW w:w="1300" w:type="dxa"/>
            <w:vAlign w:val="bottom"/>
            <w:gridSpan w:val="2"/>
          </w:tcPr>
          <w:p>
            <w:pPr>
              <w:jc w:val="right"/>
              <w:spacing w:after="0" w:line="378"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tcPr>
          <w:p>
            <w:pPr>
              <w:jc w:val="right"/>
              <w:spacing w:after="0" w:line="378"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5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N. David Eansor</w:t>
            </w: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Director</w:t>
            </w:r>
          </w:p>
        </w:tc>
        <w:tc>
          <w:tcPr>
            <w:tcW w:w="2080" w:type="dxa"/>
            <w:vAlign w:val="bottom"/>
          </w:tcPr>
          <w:p>
            <w:pPr>
              <w:spacing w:after="0"/>
              <w:rPr>
                <w:sz w:val="21"/>
                <w:szCs w:val="2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4"/>
        </w:trPr>
        <w:tc>
          <w:tcPr>
            <w:tcW w:w="200" w:type="dxa"/>
            <w:vAlign w:val="bottom"/>
            <w:tcBorders>
              <w:bottom w:val="single" w:sz="8" w:color="auto"/>
            </w:tcBorders>
            <w:vMerge w:val="continue"/>
          </w:tcPr>
          <w:p>
            <w:pPr>
              <w:spacing w:after="0"/>
              <w:rPr>
                <w:sz w:val="24"/>
                <w:szCs w:val="24"/>
                <w:color w:val="auto"/>
              </w:rPr>
            </w:pPr>
          </w:p>
        </w:tc>
        <w:tc>
          <w:tcPr>
            <w:tcW w:w="24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rPr>
              <w:t>/s/ Steven Elms</w:t>
            </w:r>
          </w:p>
        </w:tc>
        <w:tc>
          <w:tcPr>
            <w:tcW w:w="18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Steven Elms</w:t>
            </w: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Director</w:t>
            </w:r>
          </w:p>
        </w:tc>
        <w:tc>
          <w:tcPr>
            <w:tcW w:w="2080" w:type="dxa"/>
            <w:vAlign w:val="bottom"/>
          </w:tcPr>
          <w:p>
            <w:pPr>
              <w:spacing w:after="0"/>
              <w:rPr>
                <w:sz w:val="21"/>
                <w:szCs w:val="2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4"/>
        </w:trPr>
        <w:tc>
          <w:tcPr>
            <w:tcW w:w="200" w:type="dxa"/>
            <w:vAlign w:val="bottom"/>
            <w:tcBorders>
              <w:bottom w:val="single" w:sz="8" w:color="auto"/>
            </w:tcBorders>
            <w:vMerge w:val="continue"/>
          </w:tcPr>
          <w:p>
            <w:pPr>
              <w:spacing w:after="0"/>
              <w:rPr>
                <w:sz w:val="24"/>
                <w:szCs w:val="24"/>
                <w:color w:val="auto"/>
              </w:rPr>
            </w:pPr>
          </w:p>
        </w:tc>
        <w:tc>
          <w:tcPr>
            <w:tcW w:w="24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rPr>
              <w:t>/s/ Katharine Knobil</w:t>
            </w:r>
          </w:p>
        </w:tc>
        <w:tc>
          <w:tcPr>
            <w:tcW w:w="18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Katharine Knobil</w:t>
            </w: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Director</w:t>
            </w:r>
          </w:p>
        </w:tc>
        <w:tc>
          <w:tcPr>
            <w:tcW w:w="2080" w:type="dxa"/>
            <w:vAlign w:val="bottom"/>
          </w:tcPr>
          <w:p>
            <w:pPr>
              <w:spacing w:after="0"/>
              <w:rPr>
                <w:sz w:val="21"/>
                <w:szCs w:val="2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4"/>
        </w:trPr>
        <w:tc>
          <w:tcPr>
            <w:tcW w:w="200" w:type="dxa"/>
            <w:vAlign w:val="bottom"/>
            <w:tcBorders>
              <w:bottom w:val="single" w:sz="8" w:color="auto"/>
            </w:tcBorders>
            <w:vMerge w:val="continue"/>
          </w:tcPr>
          <w:p>
            <w:pPr>
              <w:spacing w:after="0"/>
              <w:rPr>
                <w:sz w:val="24"/>
                <w:szCs w:val="24"/>
                <w:color w:val="auto"/>
              </w:rPr>
            </w:pPr>
          </w:p>
        </w:tc>
        <w:tc>
          <w:tcPr>
            <w:tcW w:w="24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rPr>
              <w:t>/s/ David Laskow-Pooley</w:t>
            </w:r>
          </w:p>
        </w:tc>
        <w:tc>
          <w:tcPr>
            <w:tcW w:w="18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David Laskow-Pooley</w:t>
            </w: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Director</w:t>
            </w:r>
          </w:p>
        </w:tc>
        <w:tc>
          <w:tcPr>
            <w:tcW w:w="2080" w:type="dxa"/>
            <w:vAlign w:val="bottom"/>
          </w:tcPr>
          <w:p>
            <w:pPr>
              <w:spacing w:after="0"/>
              <w:rPr>
                <w:sz w:val="21"/>
                <w:szCs w:val="2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4"/>
        </w:trPr>
        <w:tc>
          <w:tcPr>
            <w:tcW w:w="200" w:type="dxa"/>
            <w:vAlign w:val="bottom"/>
            <w:tcBorders>
              <w:bottom w:val="single" w:sz="8" w:color="auto"/>
            </w:tcBorders>
            <w:vMerge w:val="continue"/>
          </w:tcPr>
          <w:p>
            <w:pPr>
              <w:spacing w:after="0"/>
              <w:rPr>
                <w:sz w:val="24"/>
                <w:szCs w:val="24"/>
                <w:color w:val="auto"/>
              </w:rPr>
            </w:pPr>
          </w:p>
        </w:tc>
        <w:tc>
          <w:tcPr>
            <w:tcW w:w="24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rPr>
              <w:t>/s/ Juan F. Vera</w:t>
            </w:r>
          </w:p>
        </w:tc>
        <w:tc>
          <w:tcPr>
            <w:tcW w:w="18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Juan F. Vera</w:t>
            </w: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Director</w:t>
            </w:r>
          </w:p>
        </w:tc>
        <w:tc>
          <w:tcPr>
            <w:tcW w:w="2080" w:type="dxa"/>
            <w:vAlign w:val="bottom"/>
          </w:tcPr>
          <w:p>
            <w:pPr>
              <w:spacing w:after="0"/>
              <w:rPr>
                <w:sz w:val="21"/>
                <w:szCs w:val="2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23,</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80"/>
        </w:trPr>
        <w:tc>
          <w:tcPr>
            <w:tcW w:w="200" w:type="dxa"/>
            <w:vAlign w:val="bottom"/>
            <w:vMerge w:val="continue"/>
          </w:tcPr>
          <w:p>
            <w:pPr>
              <w:spacing w:after="0"/>
              <w:rPr>
                <w:sz w:val="24"/>
                <w:szCs w:val="24"/>
                <w:color w:val="auto"/>
              </w:rPr>
            </w:pPr>
          </w:p>
        </w:tc>
        <w:tc>
          <w:tcPr>
            <w:tcW w:w="24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/s/ John R. Wilson</w:t>
            </w:r>
          </w:p>
        </w:tc>
        <w:tc>
          <w:tcPr>
            <w:tcW w:w="18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16459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8"/>
          <w:szCs w:val="18"/>
          <w:color w:val="auto"/>
        </w:rPr>
        <w:t>John R. Wilson</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6858000" cy="24085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5">
                      <a:extLst>
                        <a:ext uri="{28A0092B-C50C-407E-A947-70E740481C1C}"/>
                      </a:extLst>
                    </a:blip>
                    <a:srcRect/>
                    <a:stretch>
                      <a:fillRect/>
                    </a:stretch>
                  </pic:blipFill>
                  <pic:spPr bwMode="auto">
                    <a:xfrm>
                      <a:off x="0" y="0"/>
                      <a:ext cx="685800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A.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+1 202 728 7087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madison.jones@cooley.com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4551 Kennedy Commerce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have requested our opinion, as counsel to Marker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certain matters in connection with the resale by the Purchaser (as defined below) of (i) 1,804,098 shares (the “</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additional shares of Common Stock having aggregate sales proceeds of up to $25,000,000 (the “</w:t>
      </w:r>
      <w:r>
        <w:rPr>
          <w:rFonts w:ascii="Times New Roman" w:cs="Times New Roman" w:eastAsia="Times New Roman" w:hAnsi="Times New Roman"/>
          <w:sz w:val="18"/>
          <w:szCs w:val="18"/>
          <w:b w:val="1"/>
          <w:bCs w:val="1"/>
          <w:i w:val="1"/>
          <w:iCs w:val="1"/>
          <w:color w:val="auto"/>
        </w:rPr>
        <w:t>Purchase Shares</w:t>
      </w:r>
      <w:r>
        <w:rPr>
          <w:rFonts w:ascii="Times New Roman" w:cs="Times New Roman" w:eastAsia="Times New Roman" w:hAnsi="Times New Roman"/>
          <w:sz w:val="18"/>
          <w:szCs w:val="18"/>
          <w:color w:val="auto"/>
        </w:rPr>
        <w:t>” and, together with the Commitment Shears,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pursuant to a Registration Statement on Form S-1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filed with the Securities and Exchange Commission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related prospectus contained therein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Commitment Shares have been issued and the Purchase Shares are to be sold by the Company in accordance with a Purchase Agreement, dated December 12, 2022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the Company and Lincoln Park Capital Fund, LLC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as described in the Prospectus.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and the Prospectus, the Agreement, the Company’s certificate of incorporation and bylaws, each as currently in effect, and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assumed (i) that each sale of Purchase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(ii) that no more than 23,966,892 Purchase Shares will be sold under the Agreement and (iii) that the price at which the Purchase Shares are sold will equal or exceed the par value of the Shares. We express no opinion to the extent that future issuances of securities of the Company, anti-dilution adjustments to outstanding securities of the Company and/or other matters cause the number of shares issuable under the Agreement to be available for issuance by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STE 700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20004-2400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858000" cy="24085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Commitment Shares are validly issued, fully paid and nonassessable and (ii) the Purchase Shares, when sold and issued against payment therefor in accordance with the Agreement, the Registration Statement and the Prospectus, will be validly issued,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and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Securities and Exchange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Madison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Madison A. Jones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Cooley LLP 1299 Pennsylvania Avenue NW STE 700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20004-2400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Marker Therapeutics, Inc. on Form S-1 of our report dated March 17, 2022, with respect to our audits of the consolidated financial statements of Marker Therapeutics, Inc. as of and for the years ended December 31, 2021 and 2020, which report is included in the Annual Report on Form 10-K (which contains an explanatory paragraph relating to substantial doubt about the ability of Marker Therapeutics, Inc. to continue as going concern as described in Note 2 to the consolidated financial statements) of Marker Therapeutics for the year ended December 31, 2021. We also consent to the reference to our Firm under the heading “Experts” in such prospectus, which is part of this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Proposed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Maximum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Security</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Fee</w:t>
            </w:r>
          </w:p>
        </w:tc>
        <w:tc>
          <w:tcPr>
            <w:tcW w:w="220" w:type="dxa"/>
            <w:vAlign w:val="bottom"/>
          </w:tcPr>
          <w:p>
            <w:pPr>
              <w:spacing w:after="0"/>
              <w:rPr>
                <w:sz w:val="18"/>
                <w:szCs w:val="18"/>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Offering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Maximum</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8"/>
                <w:szCs w:val="18"/>
                <w:color w:val="auto"/>
              </w:rPr>
              <w:t>Class</w:t>
            </w:r>
          </w:p>
        </w:tc>
        <w:tc>
          <w:tcPr>
            <w:tcW w:w="14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Calculation</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460"/>
              <w:spacing w:after="0" w:line="181" w:lineRule="exact"/>
              <w:rPr>
                <w:sz w:val="20"/>
                <w:szCs w:val="20"/>
                <w:color w:val="auto"/>
              </w:rPr>
            </w:pPr>
            <w:r>
              <w:rPr>
                <w:rFonts w:ascii="Times New Roman" w:cs="Times New Roman" w:eastAsia="Times New Roman" w:hAnsi="Times New Roman"/>
                <w:sz w:val="18"/>
                <w:szCs w:val="18"/>
                <w:color w:val="auto"/>
              </w:rPr>
              <w:t>Price Per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rPr>
              <w:t>Aggregate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70"/>
        </w:trPr>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Security Type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Rule</w:t>
            </w:r>
          </w:p>
        </w:tc>
        <w:tc>
          <w:tcPr>
            <w:tcW w:w="1340" w:type="dxa"/>
            <w:vAlign w:val="bottom"/>
            <w:gridSpan w:val="3"/>
          </w:tcPr>
          <w:p>
            <w:pPr>
              <w:jc w:val="center"/>
              <w:ind w:right="160"/>
              <w:spacing w:after="0" w:line="270" w:lineRule="exact"/>
              <w:rPr>
                <w:sz w:val="20"/>
                <w:szCs w:val="20"/>
                <w:color w:val="auto"/>
              </w:rPr>
            </w:pPr>
            <w:r>
              <w:rPr>
                <w:rFonts w:ascii="Times New Roman" w:cs="Times New Roman" w:eastAsia="Times New Roman" w:hAnsi="Times New Roman"/>
                <w:sz w:val="18"/>
                <w:szCs w:val="18"/>
                <w:color w:val="auto"/>
                <w:w w:val="94"/>
              </w:rPr>
              <w:t>Registered</w:t>
            </w:r>
            <w:r>
              <w:rPr>
                <w:rFonts w:ascii="Times New Roman" w:cs="Times New Roman" w:eastAsia="Times New Roman" w:hAnsi="Times New Roman"/>
                <w:sz w:val="29"/>
                <w:szCs w:val="29"/>
                <w:color w:val="auto"/>
                <w:w w:val="94"/>
                <w:vertAlign w:val="superscript"/>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Unit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Offering Price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Fee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shd w:val="clear" w:color="auto" w:fill="CCEEFF"/>
          </w:tcPr>
          <w:p>
            <w:pPr>
              <w:ind w:left="40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$0.001 par value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 share</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 xml:space="preserve"> Total</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0.279</w:t>
            </w:r>
            <w:r>
              <w:rPr>
                <w:rFonts w:ascii="Times New Roman" w:cs="Times New Roman" w:eastAsia="Times New Roman" w:hAnsi="Times New Roman"/>
                <w:sz w:val="29"/>
                <w:szCs w:val="29"/>
                <w:color w:val="auto"/>
                <w:vertAlign w:val="superscript"/>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Offering Amount</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457(c)</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25,770,990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7,190,106.</w:t>
            </w:r>
            <w:r>
              <w:rPr>
                <w:rFonts w:ascii="Times New Roman" w:cs="Times New Roman" w:eastAsia="Times New Roman" w:hAnsi="Times New Roman"/>
                <w:sz w:val="18"/>
                <w:szCs w:val="18"/>
                <w:u w:val="single" w:color="auto"/>
                <w:color w:val="auto"/>
              </w:rPr>
              <w:t>21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0.00011020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792.35</w:t>
            </w:r>
          </w:p>
        </w:tc>
        <w:tc>
          <w:tcPr>
            <w:tcW w:w="0" w:type="dxa"/>
            <w:vAlign w:val="bottom"/>
          </w:tcPr>
          <w:p>
            <w:pPr>
              <w:spacing w:after="0"/>
              <w:rPr>
                <w:sz w:val="1"/>
                <w:szCs w:val="1"/>
                <w:color w:val="auto"/>
              </w:rPr>
            </w:pPr>
          </w:p>
        </w:tc>
      </w:tr>
      <w:tr>
        <w:trPr>
          <w:trHeight w:val="210"/>
        </w:trPr>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7,190,106.21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gridSpan w:val="4"/>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gridSpan w:val="4"/>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Net Fee Due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60" w:hanging="452"/>
        <w:spacing w:after="0" w:line="268" w:lineRule="auto"/>
        <w:tabs>
          <w:tab w:leader="none" w:pos="4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promulgated under the Securities Act of 1933, as amended (the “Securities Act”), this Registration Statement shall also cover any additional shares of common stock that become issuable pursuant to that certain purchase agreement by and between Marker Therapeutics, Inc. (the “Registrant”) and Lincoln Park Capital Fund, LLC (the “Selling Stockholder”) dated as of December 12, 2022 (the “Purchase Agreement”) by reason of any stock dividend, stock split, recapitalization, or other similar transaction effected that results in an increase to the number of outstanding shares of the common stock, as applicable. Includes 1,804,098 shares of common stock previously issued by the Registrant to the Selling Stockholder and 90,000,000 shares of Common Stock that are available to be issued and sold by the Registrant to the Selling Stockholder from time to time at the Registrant’s election pursuant to the Purchase Agreement, subject to satisfaction of the conditions set forth therein.</w:t>
      </w:r>
    </w:p>
    <w:p>
      <w:pPr>
        <w:spacing w:after="0" w:line="2" w:lineRule="exact"/>
        <w:rPr>
          <w:rFonts w:ascii="Times New Roman" w:cs="Times New Roman" w:eastAsia="Times New Roman" w:hAnsi="Times New Roman"/>
          <w:sz w:val="17"/>
          <w:szCs w:val="17"/>
          <w:color w:val="auto"/>
        </w:rPr>
      </w:pPr>
    </w:p>
    <w:p>
      <w:pPr>
        <w:ind w:left="460" w:hanging="452"/>
        <w:spacing w:after="0" w:line="25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under the Securities Act, solely for the purposes of calculating the registration fee and based on the average of the high and low prices of the Registrant’s common stock as reported on The Nasdaq Capital Market on December 16, 2022,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2"/>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2"/>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4516DDE9"/>
    <w:multiLevelType w:val="hybridMultilevel"/>
    <w:lvl w:ilvl="0">
      <w:lvlJc w:val="left"/>
      <w:lvlText w:val="%1"/>
      <w:numFmt w:val="lowerLetter"/>
      <w:start w:val="1"/>
    </w:lvl>
    <w:lvl w:ilvl="1">
      <w:lvlJc w:val="left"/>
      <w:lvlText w:val="(%2)"/>
      <w:numFmt w:val="lowerRoman"/>
      <w:start w:val="1"/>
    </w:lvl>
  </w:abstractNum>
  <w:abstractNum w:abstractNumId="32">
    <w:nsid w:val="3006C83E"/>
    <w:multiLevelType w:val="hybridMultilevel"/>
    <w:lvl w:ilvl="0">
      <w:lvlJc w:val="left"/>
      <w:lvlText w:val="(%1)"/>
      <w:numFmt w:val="lowerLetter"/>
      <w:start w:val="2"/>
    </w:lvl>
    <w:lvl w:ilvl="1">
      <w:lvlJc w:val="left"/>
      <w:lvlText w:val="%2"/>
      <w:numFmt w:val="lowerRoman"/>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5"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jpe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94" Type="http://schemas.openxmlformats.org/officeDocument/2006/relationships/image" Target="media/image69.png"/><Relationship Id="rId121" Type="http://schemas.openxmlformats.org/officeDocument/2006/relationships/image" Target="media/image70.png"/><Relationship Id="rId148" Type="http://schemas.openxmlformats.org/officeDocument/2006/relationships/image" Target="media/image71.png"/><Relationship Id="rId149" Type="http://schemas.openxmlformats.org/officeDocument/2006/relationships/image" Target="media/image72.png"/><Relationship Id="rId150" Type="http://schemas.openxmlformats.org/officeDocument/2006/relationships/image" Target="media/image73.png"/><Relationship Id="rId151" Type="http://schemas.openxmlformats.org/officeDocument/2006/relationships/image" Target="media/image74.png"/><Relationship Id="rId152" Type="http://schemas.openxmlformats.org/officeDocument/2006/relationships/image" Target="media/image75.png"/><Relationship Id="rId153" Type="http://schemas.openxmlformats.org/officeDocument/2006/relationships/image" Target="media/image76.png"/><Relationship Id="rId154" Type="http://schemas.openxmlformats.org/officeDocument/2006/relationships/image" Target="media/image77.png"/><Relationship Id="rId155" Type="http://schemas.openxmlformats.org/officeDocument/2006/relationships/image" Target="media/image78.jpeg"/><Relationship Id="rId156" Type="http://schemas.openxmlformats.org/officeDocument/2006/relationships/image" Target="media/image79.png"/><Relationship Id="rId157" Type="http://schemas.openxmlformats.org/officeDocument/2006/relationships/image" Target="media/image80.jpeg"/><Relationship Id="rId158" Type="http://schemas.openxmlformats.org/officeDocument/2006/relationships/image" Target="media/image81.png"/><Relationship Id="rId159" Type="http://schemas.openxmlformats.org/officeDocument/2006/relationships/image" Target="media/image82.png"/><Relationship Id="rId160" Type="http://schemas.openxmlformats.org/officeDocument/2006/relationships/image" Target="media/image83.png"/><Relationship Id="rId161" Type="http://schemas.openxmlformats.org/officeDocument/2006/relationships/image" Target="media/image84.png"/><Relationship Id="rId65" Type="http://schemas.openxmlformats.org/officeDocument/2006/relationships/hyperlink" Target="https://www.sec.gov/ix?doc=/Archives/edgar/data/1094038/000141057822000418/mrkr-20211231x10k.htm" TargetMode="External"/><Relationship Id="rId66" Type="http://schemas.openxmlformats.org/officeDocument/2006/relationships/hyperlink" Target="http://www.sec.gov/Archives/edgar/data/1094038/000110465922046490/tm2211212-3_def14a.htm" TargetMode="External"/><Relationship Id="rId67" Type="http://schemas.openxmlformats.org/officeDocument/2006/relationships/hyperlink" Target="http://www.sec.gov/ix?doc=/Archives/edgar/data/1094038/000141057822000418/mrkr-20211231x10k.htm" TargetMode="External"/><Relationship Id="rId68" Type="http://schemas.openxmlformats.org/officeDocument/2006/relationships/hyperlink" Target="http://www.sec.gov/ix?doc=/Archives/edgar/data/1094038/000141057822001389/mrkr-20220331x10q.htm" TargetMode="External"/><Relationship Id="rId69" Type="http://schemas.openxmlformats.org/officeDocument/2006/relationships/hyperlink" Target="http://www.sec.gov/ix?doc=/Archives/edgar/data/1094038/000141057822002292/mrkr-20220630x10q.htm" TargetMode="External"/><Relationship Id="rId70" Type="http://schemas.openxmlformats.org/officeDocument/2006/relationships/hyperlink" Target="http://www.sec.gov/ix?doc=/Archives/edgar/data/1094038/000141057822003131/mrkr-20220930x10q.htm" TargetMode="External"/><Relationship Id="rId71" Type="http://schemas.openxmlformats.org/officeDocument/2006/relationships/hyperlink" Target="http://www.sec.gov/ix?doc=/Archives/edgar/data/1094038/000110465922024289/tm226979d1_8k.htm" TargetMode="External"/><Relationship Id="rId72" Type="http://schemas.openxmlformats.org/officeDocument/2006/relationships/hyperlink" Target="http://www.sec.gov/ix?doc=/Archives/edgar/data/1094038/000110465922025147/tm227117d1_8k.htm" TargetMode="External"/><Relationship Id="rId73" Type="http://schemas.openxmlformats.org/officeDocument/2006/relationships/hyperlink" Target="http://www.sec.gov/ix?doc=/Archives/edgar/data/1094038/000110465922110309/tm2228646d1_8k.htm" TargetMode="External"/><Relationship Id="rId74" Type="http://schemas.openxmlformats.org/officeDocument/2006/relationships/hyperlink" Target="http://www.sec.gov/ix?doc=/Archives/edgar/data/1094038/000110465922126446/tm2232522d1_8k.htm" TargetMode="External"/><Relationship Id="rId76" Type="http://schemas.openxmlformats.org/officeDocument/2006/relationships/hyperlink" Target="https://www.sec.gov/Archives/edgar/data/1094038/000114420418054210/tv504949_8a12ba.htm" TargetMode="External"/><Relationship Id="rId87" Type="http://schemas.openxmlformats.org/officeDocument/2006/relationships/hyperlink" Target="http://www.sec.gov/Archives/edgar/data/1094038/000114420418054209/tv504951_ex3-4.htm" TargetMode="External"/><Relationship Id="rId88" Type="http://schemas.openxmlformats.org/officeDocument/2006/relationships/hyperlink" Target="http://www.sec.gov/Archives/edgar/data/1094038/000114420418054209/tv504951_ex3-6.htm" TargetMode="External"/><Relationship Id="rId89" Type="http://schemas.openxmlformats.org/officeDocument/2006/relationships/hyperlink" Target="http://www.sec.gov/Archives/edgar/data/1094038/000114420418054210/tv504949_ex4-1.htm" TargetMode="External"/><Relationship Id="rId90" Type="http://schemas.openxmlformats.org/officeDocument/2006/relationships/hyperlink" Target="http://www.sec.gov/Archives/edgar/data/1094038/000114420418028370/tv494002_ex2-1.htm" TargetMode="External"/><Relationship Id="rId91" Type="http://schemas.openxmlformats.org/officeDocument/2006/relationships/hyperlink" Target="http://www.sec.gov/Archives/edgar/data/1094038/000110465920032463/tm205467d1_ex4-25.htm" TargetMode="External"/><Relationship Id="rId92" Type="http://schemas.openxmlformats.org/officeDocument/2006/relationships/hyperlink" Target="http://www.sec.gov/Archives/edgar/data/1094038/000142488415000054/exhibit10-1.htm" TargetMode="External"/><Relationship Id="rId93" Type="http://schemas.openxmlformats.org/officeDocument/2006/relationships/hyperlink" Target="http://www.sec.gov/Archives/edgar/data/1094038/000142488415000057/exhibit10-1.htm" TargetMode="External"/><Relationship Id="rId95" Type="http://schemas.openxmlformats.org/officeDocument/2006/relationships/hyperlink" Target="http://www.sec.gov/Archives/edgar/data/1094038/000114420418033374/tv496182_ex10-1.htm" TargetMode="External"/><Relationship Id="rId96" Type="http://schemas.openxmlformats.org/officeDocument/2006/relationships/hyperlink" Target="http://www.sec.gov/Archives/edgar/data/1094038/000142488415000124/exhibit10-1.htm" TargetMode="External"/><Relationship Id="rId97" Type="http://schemas.openxmlformats.org/officeDocument/2006/relationships/hyperlink" Target="http://www.sec.gov/Archives/edgar/data/1094038/000119312516682054/d157003dex107.htm" TargetMode="External"/><Relationship Id="rId98" Type="http://schemas.openxmlformats.org/officeDocument/2006/relationships/hyperlink" Target="http://www.sec.gov/Archives/edgar/data/1094038/000114420419014350/tv514406_ex10-21.htm" TargetMode="External"/><Relationship Id="rId99" Type="http://schemas.openxmlformats.org/officeDocument/2006/relationships/hyperlink" Target="http://www.sec.gov/Archives/edgar/data/1094038/000114420419014350/tv514406_ex10-22.htm" TargetMode="External"/><Relationship Id="rId100" Type="http://schemas.openxmlformats.org/officeDocument/2006/relationships/hyperlink" Target="http://www.sec.gov/Archives/edgar/data/1094038/000142488410000008/forddef14-c.htm" TargetMode="External"/><Relationship Id="rId101" Type="http://schemas.openxmlformats.org/officeDocument/2006/relationships/hyperlink" Target="http://www.sec.gov/Archives/edgar/data/1094038/000114420417046574/v474594_ex10-1.htm" TargetMode="External"/><Relationship Id="rId102" Type="http://schemas.openxmlformats.org/officeDocument/2006/relationships/hyperlink" Target="http://www.sec.gov/Archives/edgar/data/1094038/000114420418054209/tv504951_ex4-4.htm" TargetMode="External"/><Relationship Id="rId103" Type="http://schemas.openxmlformats.org/officeDocument/2006/relationships/hyperlink" Target="http://www.sec.gov/Archives/edgar/data/1094038/000114420418054989/tv505356_ex10-3.htm" TargetMode="External"/><Relationship Id="rId104" Type="http://schemas.openxmlformats.org/officeDocument/2006/relationships/hyperlink" Target="http://www.sec.gov/Archives/edgar/data/1094038/000114420418056172/tv505663_ex10-1.htm" TargetMode="External"/><Relationship Id="rId105" Type="http://schemas.openxmlformats.org/officeDocument/2006/relationships/hyperlink" Target="http://www.sec.gov/Archives/edgar/data/1094038/000114420418054989/tv505356_ex10-2.htm" TargetMode="External"/><Relationship Id="rId106" Type="http://schemas.openxmlformats.org/officeDocument/2006/relationships/hyperlink" Target="http://www.sec.gov/Archives/edgar/data/1094038/000142488415000168/exhibit10-7.htm" TargetMode="External"/><Relationship Id="rId107" Type="http://schemas.openxmlformats.org/officeDocument/2006/relationships/hyperlink" Target="http://www.sec.gov/Archives/edgar/data/1094038/000114420417049357/v475675_ex10-1.htm" TargetMode="External"/><Relationship Id="rId108" Type="http://schemas.openxmlformats.org/officeDocument/2006/relationships/hyperlink" Target="http://www.sec.gov/Archives/edgar/data/1094038/000119312516690727/d230909dex101.htm" TargetMode="External"/><Relationship Id="rId109" Type="http://schemas.openxmlformats.org/officeDocument/2006/relationships/hyperlink" Target="http://www.sec.gov/Archives/edgar/data/1094038/000114420418062867/tv508378_ex10-2.htm" TargetMode="External"/><Relationship Id="rId110" Type="http://schemas.openxmlformats.org/officeDocument/2006/relationships/hyperlink" Target="http://www.sec.gov/Archives/edgar/data/1094038/000114420418062867/tv508378_ex10-3.htm" TargetMode="External"/><Relationship Id="rId111" Type="http://schemas.openxmlformats.org/officeDocument/2006/relationships/hyperlink" Target="http://www.sec.gov/Archives/edgar/data/1094038/000114420418054989/tv505356_ex10-1.htm" TargetMode="External"/><Relationship Id="rId112" Type="http://schemas.openxmlformats.org/officeDocument/2006/relationships/hyperlink" Target="http://www.sec.gov/Archives/edgar/data/1094038/000114420419014350/tv514406_ex10-39.htm" TargetMode="External"/><Relationship Id="rId113" Type="http://schemas.openxmlformats.org/officeDocument/2006/relationships/hyperlink" Target="http://www.sec.gov/Archives/edgar/data/1094038/000114420419014350/tv514406_ex10-40.htm" TargetMode="External"/><Relationship Id="rId114" Type="http://schemas.openxmlformats.org/officeDocument/2006/relationships/hyperlink" Target="http://www.sec.gov/Archives/edgar/data/1094038/000114420419025316/tv520511_ex10-3.htm" TargetMode="External"/><Relationship Id="rId115" Type="http://schemas.openxmlformats.org/officeDocument/2006/relationships/hyperlink" Target="http://www.sec.gov/Archives/edgar/data/1094038/000110465920072918/tm2022347d1_ex99-1.htm" TargetMode="External"/><Relationship Id="rId116" Type="http://schemas.openxmlformats.org/officeDocument/2006/relationships/hyperlink" Target="http://www.sec.gov/Archives/edgar/data/1094038/000110465920123055/mrkr-20200930xex10d1.htm" TargetMode="External"/><Relationship Id="rId117" Type="http://schemas.openxmlformats.org/officeDocument/2006/relationships/hyperlink" Target="http://www.sec.gov/Archives/edgar/data/1094038/000110465920123055/mrkr-20200930xex10d2.htm" TargetMode="External"/><Relationship Id="rId118" Type="http://schemas.openxmlformats.org/officeDocument/2006/relationships/hyperlink" Target="http://www.sec.gov/Archives/edgar/data/1094038/000142488414000086/exhibit4-1.htm" TargetMode="External"/><Relationship Id="rId119" Type="http://schemas.openxmlformats.org/officeDocument/2006/relationships/hyperlink" Target="http://www.sec.gov/Archives/edgar/data/1094038/000142488415000006/exhibit4-6.htm" TargetMode="External"/><Relationship Id="rId120" Type="http://schemas.openxmlformats.org/officeDocument/2006/relationships/hyperlink" Target="http://www.sec.gov/Archives/edgar/data/1094038/000142488415000006/exhibit4-8.htm" TargetMode="External"/><Relationship Id="rId122" Type="http://schemas.openxmlformats.org/officeDocument/2006/relationships/hyperlink" Target="http://www.sec.gov/Archives/edgar/data/1094038/000142488415000006/exhibit4-9.htm" TargetMode="External"/><Relationship Id="rId123" Type="http://schemas.openxmlformats.org/officeDocument/2006/relationships/hyperlink" Target="http://www.sec.gov/Archives/edgar/data/1094038/000142488415000006/exhibit4-10.htm" TargetMode="External"/><Relationship Id="rId124" Type="http://schemas.openxmlformats.org/officeDocument/2006/relationships/hyperlink" Target="http://www.sec.gov/Archives/edgar/data/1094038/000142488415000030/exhibit4-6.htm" TargetMode="External"/><Relationship Id="rId125" Type="http://schemas.openxmlformats.org/officeDocument/2006/relationships/hyperlink" Target="http://www.sec.gov/Archives/edgar/data/1094038/000142488415000030/exhibit4-10.htm" TargetMode="External"/><Relationship Id="rId126" Type="http://schemas.openxmlformats.org/officeDocument/2006/relationships/hyperlink" Target="http://www.sec.gov/Archives/edgar/data/1094038/000119312516678673/d161424dex42.htm" TargetMode="External"/><Relationship Id="rId127" Type="http://schemas.openxmlformats.org/officeDocument/2006/relationships/hyperlink" Target="http://www.sec.gov/Archives/edgar/data/1094038/000119312516678673/d161424dex43.htm" TargetMode="External"/><Relationship Id="rId128" Type="http://schemas.openxmlformats.org/officeDocument/2006/relationships/hyperlink" Target="http://www.sec.gov/Archives/edgar/data/1094038/000119312516678673/d161424dex44.htm" TargetMode="External"/><Relationship Id="rId129" Type="http://schemas.openxmlformats.org/officeDocument/2006/relationships/hyperlink" Target="http://www.sec.gov/Archives/edgar/data/1094038/000119312516678673/d161424dex45.htm" TargetMode="External"/><Relationship Id="rId130" Type="http://schemas.openxmlformats.org/officeDocument/2006/relationships/hyperlink" Target="http://www.sec.gov/Archives/edgar/data/1094038/000119312516678673/d161424dex46.htm" TargetMode="External"/><Relationship Id="rId131" Type="http://schemas.openxmlformats.org/officeDocument/2006/relationships/hyperlink" Target="http://www.sec.gov/Archives/edgar/data/1094038/000119312516678673/d161424dex47.htm" TargetMode="External"/><Relationship Id="rId132" Type="http://schemas.openxmlformats.org/officeDocument/2006/relationships/hyperlink" Target="http://www.sec.gov/Archives/edgar/data/1094038/000119312516678673/d161424dex49.htm" TargetMode="External"/><Relationship Id="rId133" Type="http://schemas.openxmlformats.org/officeDocument/2006/relationships/hyperlink" Target="http://www.sec.gov/Archives/edgar/data/1094038/000119312516678673/d161424dex410.htm" TargetMode="External"/><Relationship Id="rId134" Type="http://schemas.openxmlformats.org/officeDocument/2006/relationships/hyperlink" Target="http://www.sec.gov/Archives/edgar/data/1094038/000119312516678673/d161424dex41.htm" TargetMode="External"/><Relationship Id="rId135" Type="http://schemas.openxmlformats.org/officeDocument/2006/relationships/hyperlink" Target="http://www.sec.gov/Archives/edgar/data/1094038/000119312516678673/d161424dex411.htm" TargetMode="External"/><Relationship Id="rId136" Type="http://schemas.openxmlformats.org/officeDocument/2006/relationships/hyperlink" Target="http://www.sec.gov/Archives/edgar/data/1094038/000114420417033502/v469341_ex4-1.htm" TargetMode="External"/><Relationship Id="rId137" Type="http://schemas.openxmlformats.org/officeDocument/2006/relationships/hyperlink" Target="http://www.sec.gov/Archives/edgar/data/1094038/000114420417033502/v469341_ex4-2.htm" TargetMode="External"/><Relationship Id="rId138" Type="http://schemas.openxmlformats.org/officeDocument/2006/relationships/hyperlink" Target="http://www.sec.gov/Archives/edgar/data/1094038/000119312516678673/d161424dex103.htm" TargetMode="External"/><Relationship Id="rId139" Type="http://schemas.openxmlformats.org/officeDocument/2006/relationships/hyperlink" Target="http://www.sec.gov/Archives/edgar/data/1094038/000114420417033502/v469341_ex10-3.htm" TargetMode="External"/><Relationship Id="rId140" Type="http://schemas.openxmlformats.org/officeDocument/2006/relationships/hyperlink" Target="http://www.sec.gov/Archives/edgar/data/1094038/000114420418033374/tv496182_ex4-1.htm" TargetMode="External"/><Relationship Id="rId141" Type="http://schemas.openxmlformats.org/officeDocument/2006/relationships/hyperlink" Target="http://www.sec.gov/Archives/edgar/data/1094038/000114420418033374/tv496182_ex4-2.htm" TargetMode="External"/><Relationship Id="rId142" Type="http://schemas.openxmlformats.org/officeDocument/2006/relationships/hyperlink" Target="http://www.sec.gov/Archives/edgar/data/1094038/000141057822001389/mrkr-20220331xex10d1.htm" TargetMode="External"/><Relationship Id="rId143" Type="http://schemas.openxmlformats.org/officeDocument/2006/relationships/hyperlink" Target="http://www.sec.gov/Archives/edgar/data/1094038/000110465922049970/tm2213489d1_ex10-1.htm" TargetMode="External"/><Relationship Id="rId144" Type="http://schemas.openxmlformats.org/officeDocument/2006/relationships/hyperlink" Target="http://www.sec.gov/Archives/edgar/data/1094038/000141057822002292/mrkr-20220630xex10d2.htm" TargetMode="External"/><Relationship Id="rId145" Type="http://schemas.openxmlformats.org/officeDocument/2006/relationships/hyperlink" Target="http://www.sec.gov/Archives/edgar/data/1094038/000110465922126446/tm2232522d1_ex10-1.htm" TargetMode="External"/><Relationship Id="rId146" Type="http://schemas.openxmlformats.org/officeDocument/2006/relationships/hyperlink" Target="http://www.sec.gov/Archives/edgar/data/1094038/000110465922126446/tm2232522d1_ex10-2.htm" TargetMode="External"/><Relationship Id="rId147" Type="http://schemas.openxmlformats.org/officeDocument/2006/relationships/hyperlink" Target="http://www.sec.gov/Archives/edgar/data/1094038/000141057822000418/mrkr-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2022-12-23T08:04:08Z</dcterms:created>
  <dcterms:modified xsi:type="dcterms:W3CDTF">2022-12-23T08:04:08Z</dcterms:modified>
</cp:coreProperties>
</file>