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March 18,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50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22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940" w:type="dxa"/>
            <w:vAlign w:val="bottom"/>
          </w:tcPr>
          <w:p>
            <w:pPr>
              <w:spacing w:after="0"/>
              <w:rPr>
                <w:sz w:val="18"/>
                <w:szCs w:val="18"/>
                <w:color w:val="auto"/>
              </w:rPr>
            </w:pPr>
          </w:p>
        </w:tc>
        <w:tc>
          <w:tcPr>
            <w:tcW w:w="378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2450 Holcombe Blvd, TMC Partners Office 1.311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00" w:type="dxa"/>
            <w:vAlign w:val="bottom"/>
            <w:gridSpan w:val="3"/>
          </w:tcPr>
          <w:p>
            <w:pPr>
              <w:spacing w:after="0"/>
              <w:rPr>
                <w:sz w:val="17"/>
                <w:szCs w:val="17"/>
                <w:color w:val="auto"/>
              </w:rPr>
            </w:pPr>
          </w:p>
        </w:tc>
        <w:tc>
          <w:tcPr>
            <w:tcW w:w="2880" w:type="dxa"/>
            <w:vAlign w:val="bottom"/>
            <w:gridSpan w:val="5"/>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2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March 18, 2026,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year ended December 31, 2025 and other recent corporate updates. A copy of the press release is furnished as Exhibit 99.1 to this report and incorporated by reference.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39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March 18, 2026</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18,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167640</wp:posOffset>
            </wp:positionV>
            <wp:extent cx="2023110" cy="540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Reports Year-End 2025 Corporate and Financial Results</w:t>
      </w:r>
    </w:p>
    <w:p>
      <w:pPr>
        <w:spacing w:after="0" w:line="227" w:lineRule="exact"/>
        <w:rPr>
          <w:sz w:val="20"/>
          <w:szCs w:val="20"/>
          <w:color w:val="auto"/>
        </w:rPr>
      </w:pPr>
    </w:p>
    <w:p>
      <w:pPr>
        <w:jc w:val="center"/>
        <w:ind w:left="340" w:right="320"/>
        <w:spacing w:after="0" w:line="284" w:lineRule="auto"/>
        <w:rPr>
          <w:sz w:val="20"/>
          <w:szCs w:val="20"/>
          <w:color w:val="auto"/>
        </w:rPr>
      </w:pPr>
      <w:r>
        <w:rPr>
          <w:rFonts w:ascii="Times New Roman" w:cs="Times New Roman" w:eastAsia="Times New Roman" w:hAnsi="Times New Roman"/>
          <w:sz w:val="18"/>
          <w:szCs w:val="18"/>
          <w:i w:val="1"/>
          <w:iCs w:val="1"/>
          <w:color w:val="auto"/>
        </w:rPr>
        <w:t>Phase 1 APOLLO data update demonstrated encouraging clinical activity with a 66% objective response rate in relapsed non-Hodgkin lymphoma, including 50% complete responses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Research published in Nature Medicine highlighted promising results of multi-antigen targeted T cells in pancreatic cancer</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Strengthened manufacturing capabilities through collaboration with Cellipont Bioservices and expanded Board of Directors with appointment of Kathryn Penkus Corzo</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March 18, 2026 (GLOBE NEWSWIRE)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next-generation T cell-based immunotherapies for hematological malignancies and solid tumors, today announced corporate updates and financial results for the year ended December 31, 2025.</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continued to advance MT-601, our lead Multi-Antigen Recognizing (MAR)-T cell therapy, and generated highly encouraging clinical data from our ongoing Phase 1 APOLLO study,” said Juan Vera, M.D., President and Chief Executive Officer of Marker Therapeutics. “Updated results reported last August demonstrated a 66% objective response rate in relapsed non-Hodgkin lymphoma, including durable complete responses, with a favorable safety profile across evaluated doses. During the year we also reported immunomonitoring data indicating that lymphodepletion enhances the expansion and persistence of MT-601, and we advanced the APOLLO study into dose expansion in patients with relapsed Diffuse Large B Cell Lymphoma (DLBCL). We anticipate providing a data update from the APOLLO study in the second quarter of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Dr. Vera continued, “Beyond lymphoma, we made important progress expanding our MAR-T platform across hematologic and solid tumors. Recent research from Baylor College of Medicine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early 2026 showed promising results in pancreatic cancer using MAR-T cells and received national coverage on </w:t>
      </w:r>
      <w:r>
        <w:rPr>
          <w:rFonts w:ascii="Times New Roman" w:cs="Times New Roman" w:eastAsia="Times New Roman" w:hAnsi="Times New Roman"/>
          <w:sz w:val="18"/>
          <w:szCs w:val="18"/>
          <w:i w:val="1"/>
          <w:iCs w:val="1"/>
          <w:color w:val="auto"/>
        </w:rPr>
        <w:t>Good Morning America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expect continued clinical execution across our programs, including additional APOLLO data updates and initiation of our company-sponsored pancreatic cancer clinical program, which we believe positions the next 12 to 18 months as an important value-creating period for Marker,” concluded Dr. Vera.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PROGRAM UPDATES &amp;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Marker’s lead MAR-T cell therapy, is being evaluated in the nationwide multicenter APOLLO study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 xml:space="preserve"> identifier: NCT05798897) in patients with lymphoma who have relapsed after anti-CD19 CAR-T cell therapy or for whom CAR-T therapy is not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2023110" cy="539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39750"/>
                    </a:xfrm>
                    <a:prstGeom prst="rect">
                      <a:avLst/>
                    </a:prstGeom>
                    <a:noFill/>
                  </pic:spPr>
                </pic:pic>
              </a:graphicData>
            </a:graphic>
          </wp:anchor>
        </w:drawing>
      </w:r>
    </w:p>
    <w:p>
      <w:pPr>
        <w:spacing w:after="0" w:line="385"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an update on the Phase 1 study in August 2025 (</w:t>
      </w:r>
      <w:r>
        <w:rPr>
          <w:rFonts w:ascii="Times New Roman" w:cs="Times New Roman" w:eastAsia="Times New Roman" w:hAnsi="Times New Roman"/>
          <w:sz w:val="18"/>
          <w:szCs w:val="18"/>
          <w:u w:val="single" w:color="auto"/>
          <w:color w:val="auto"/>
        </w:rPr>
        <w:t>Press Release, Aug 26, 2025</w:t>
      </w:r>
      <w:r>
        <w:rPr>
          <w:rFonts w:ascii="Times New Roman" w:cs="Times New Roman" w:eastAsia="Times New Roman" w:hAnsi="Times New Roman"/>
          <w:sz w:val="18"/>
          <w:szCs w:val="18"/>
          <w:color w:val="auto"/>
        </w:rPr>
        <w:t>) highlighting encouraging overall response rates. These data were also presented at the 67th American Society of Hematology (ASH) Annual Meeting in December 2025. Key findings from the update included: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66% objective response rate (8/12) in patients with relapsed non-Hodgkin lymphoma, including 50% complete responses. Durable responses were observed (range 3-24 months).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78% objective response rate (7/9) observed in patients with Hodgkin lymphoma.</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Favorable safety profile across all dose levels (100×10</w:t>
      </w:r>
      <w:r>
        <w:rPr>
          <w:rFonts w:ascii="Arial" w:cs="Arial" w:eastAsia="Arial" w:hAnsi="Arial"/>
          <w:sz w:val="18"/>
          <w:szCs w:val="18"/>
          <w:color w:val="auto"/>
        </w:rPr>
        <w:t>⁶</w:t>
      </w:r>
      <w:r>
        <w:rPr>
          <w:rFonts w:ascii="Times New Roman" w:cs="Times New Roman" w:eastAsia="Times New Roman" w:hAnsi="Times New Roman"/>
          <w:sz w:val="18"/>
          <w:szCs w:val="18"/>
          <w:color w:val="auto"/>
        </w:rPr>
        <w:t>–400×10</w:t>
      </w:r>
      <w:r>
        <w:rPr>
          <w:rFonts w:ascii="Arial" w:cs="Arial" w:eastAsia="Arial" w:hAnsi="Arial"/>
          <w:sz w:val="18"/>
          <w:szCs w:val="18"/>
          <w:color w:val="auto"/>
        </w:rPr>
        <w:t>⁶</w:t>
      </w:r>
      <w:r>
        <w:rPr>
          <w:rFonts w:ascii="Times New Roman" w:cs="Times New Roman" w:eastAsia="Times New Roman" w:hAnsi="Times New Roman"/>
          <w:sz w:val="18"/>
          <w:szCs w:val="18"/>
          <w:color w:val="auto"/>
        </w:rPr>
        <w:t xml:space="preserve"> cells), with no dose-limiting toxicities (DLTs) and no ICANS reported.</w:t>
      </w:r>
    </w:p>
    <w:p>
      <w:pPr>
        <w:spacing w:after="0" w:line="264"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dose expansion phase of the study is enrolling patients with anti-CD19 CAR-relapsed Diffuse Large B Cell Lymphoma (DLBCL) at the maximum dose level (400×10</w:t>
      </w:r>
      <w:r>
        <w:rPr>
          <w:rFonts w:ascii="Arial" w:cs="Arial" w:eastAsia="Arial" w:hAnsi="Arial"/>
          <w:sz w:val="18"/>
          <w:szCs w:val="18"/>
          <w:color w:val="auto"/>
        </w:rPr>
        <w:t>⁶</w:t>
      </w:r>
      <w:r>
        <w:rPr>
          <w:rFonts w:ascii="Times New Roman" w:cs="Times New Roman" w:eastAsia="Times New Roman" w:hAnsi="Times New Roman"/>
          <w:sz w:val="18"/>
          <w:szCs w:val="18"/>
          <w:color w:val="auto"/>
        </w:rPr>
        <w:t xml:space="preserve"> cells).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patient data and FDA feedback on study design are expected in the second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(Pancreatic Cancer)</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continues to advance MT-601 in pancreatic cancer, supported by non-dilutive funding from the National Institutes of Health (NIH), Small Business Innovation Research (SBIR) program and the Cancer Prevention and Research Institute of Texas (CPRIT).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Medicine publication (January 2026): Researchers at Baylor College of Medicine reported encouraging results evaluating multi-antigen targeted T cells in pancreatic cancer, demonstrating a favorable safety profile and up to 84.6% disease control rate when combined with frontline chemotherapy (</w:t>
      </w:r>
      <w:r>
        <w:rPr>
          <w:rFonts w:ascii="Times New Roman" w:cs="Times New Roman" w:eastAsia="Times New Roman" w:hAnsi="Times New Roman"/>
          <w:sz w:val="18"/>
          <w:szCs w:val="18"/>
          <w:u w:val="single" w:color="auto"/>
          <w:color w:val="auto"/>
        </w:rPr>
        <w:t>Press Release, Jan 5, 2026</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expects to initiate its company-sponsored pancreatic cancer program in the second quarter of 2026, incorporating learnings from prior studies.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MT-401 Off-the-Shelf Program (AML/MDS)</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is evaluating MT-401, a MAR-T cell therapy targeting four antigens, as an Off-the-Shelf (OTS) product in the Phase 1 RAPID study in patients with acute myeloid leukemia (AML) or myelodysplastic syndrome (MDS).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is supported by non-dilutive grant funds from National Cancer Institute (NCI), the Food and Drug Administration (FDA) and the Cancer Prevention and Research Institute of Texas (CPRIT).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2025 CORPORATE HIGHLIGHTS</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collaboration with Cellipont Bioservices to advance cGMP production of MT-601. Technical transfer expected to be completed in Q2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Kathryn Penkus Corzo, R.Ph., MBA joined the Board of Directors (November 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HIGHLIGHTS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December 31, 2025, Marker had cash, cash equivalents and restricted cash of $17 million. The Company believes that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cash and cash equivalents will fund its operating expenses through the fourth quarter of 2026, assuming no additional grant funds are received, either from new grants or from existing awarded grants.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$11.8 million for the year ended December 31, 2025, compared to $13.5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23110"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3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$4.2 million for the year ended December 31, 2025, compared to $4.2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2024.</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Marker reported a net loss of $12.2 million for the year ended December 31, 2025, compared to a net loss of $10.7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 The APOLLO study is supported by the National Cancer Institute of the National Institutes of Health under Award Number R44CA291521. The Company’s pancreatic cancer program is supported by the National Cancer Institute of the National Institutes of Health (Award Number R44CA295168), and the Cancer Prevention and Research Institute of Texas (CPRIT, Award Number DP250150). Marker’s OTS program is supported by the National Cancer Institute of the National Institutes of Health (Award Number 1R44CA285177), the Food and Drug Administration Department of Health and Human Services (R01FD007272), and the Cancer Prevention and Research Institute of Texas (CPRIT, Award Number DP210042).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future press releases via email, please visit: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interim results announcements and outcomes of our clinical trials of our product candidates, including MT-601 for the treatment of patients with lymphoma or pancreatic cancer, and MT-401-OTS for the treatment of patients with acute myeloid leukemia (AML) or myelodysplastic syndrome (MDS).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2311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16,068,048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19,192,440</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974,799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483,717</w:t>
            </w:r>
          </w:p>
        </w:tc>
        <w:tc>
          <w:tcPr>
            <w:tcW w:w="80" w:type="dxa"/>
            <w:vAlign w:val="bottom"/>
            <w:shd w:val="clear" w:color="auto" w:fill="CCEEFF"/>
          </w:tcPr>
          <w:p>
            <w:pPr>
              <w:spacing w:after="0"/>
              <w:rPr>
                <w:sz w:val="18"/>
                <w:szCs w:val="18"/>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2,346,703</w:t>
            </w:r>
          </w:p>
        </w:tc>
        <w:tc>
          <w:tcPr>
            <w:tcW w:w="80" w:type="dxa"/>
            <w:vAlign w:val="bottom"/>
          </w:tcPr>
          <w:p>
            <w:pPr>
              <w:spacing w:after="0"/>
              <w:rPr>
                <w:sz w:val="19"/>
                <w:szCs w:val="19"/>
                <w:color w:val="auto"/>
              </w:rPr>
            </w:pPr>
          </w:p>
        </w:tc>
      </w:tr>
      <w:tr>
        <w:trPr>
          <w:trHeight w:val="210"/>
        </w:trPr>
        <w:tc>
          <w:tcPr>
            <w:tcW w:w="8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19,070,997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22,022,860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19,070,997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80" w:type="dxa"/>
            <w:vAlign w:val="bottom"/>
          </w:tcPr>
          <w:p>
            <w:pPr>
              <w:spacing w:after="0"/>
              <w:rPr>
                <w:sz w:val="24"/>
                <w:szCs w:val="24"/>
                <w:color w:val="auto"/>
              </w:rPr>
            </w:pPr>
          </w:p>
        </w:tc>
      </w:tr>
      <w:tr>
        <w:trPr>
          <w:trHeight w:val="197"/>
        </w:trPr>
        <w:tc>
          <w:tcPr>
            <w:tcW w:w="8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1,299,384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1,753,954</w:t>
            </w: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1,710,500</w:t>
            </w:r>
          </w:p>
        </w:tc>
        <w:tc>
          <w:tcPr>
            <w:tcW w:w="80" w:type="dxa"/>
            <w:vAlign w:val="bottom"/>
            <w:shd w:val="clear" w:color="auto" w:fill="CCEEFF"/>
          </w:tcPr>
          <w:p>
            <w:pPr>
              <w:spacing w:after="0"/>
              <w:rPr>
                <w:sz w:val="18"/>
                <w:szCs w:val="18"/>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2,274,183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3,464,454</w:t>
            </w:r>
          </w:p>
        </w:tc>
        <w:tc>
          <w:tcPr>
            <w:tcW w:w="80" w:type="dxa"/>
            <w:vAlign w:val="bottom"/>
          </w:tcPr>
          <w:p>
            <w:pPr>
              <w:spacing w:after="0"/>
              <w:rPr>
                <w:sz w:val="19"/>
                <w:szCs w:val="19"/>
                <w:color w:val="auto"/>
              </w:rPr>
            </w:pPr>
          </w:p>
        </w:tc>
      </w:tr>
      <w:tr>
        <w:trPr>
          <w:trHeight w:val="209"/>
        </w:trPr>
        <w:tc>
          <w:tcPr>
            <w:tcW w:w="8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 at December 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16.7 million and 10.7 million shares issued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 (see Note 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10,708</w:t>
            </w:r>
          </w:p>
        </w:tc>
        <w:tc>
          <w:tcPr>
            <w:tcW w:w="80" w:type="dxa"/>
            <w:vAlign w:val="bottom"/>
          </w:tcPr>
          <w:p>
            <w:pPr>
              <w:spacing w:after="0"/>
              <w:rPr>
                <w:sz w:val="20"/>
                <w:szCs w:val="20"/>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475,960,940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465,564,876</w:t>
            </w:r>
          </w:p>
        </w:tc>
        <w:tc>
          <w:tcPr>
            <w:tcW w:w="80" w:type="dxa"/>
            <w:vAlign w:val="bottom"/>
            <w:shd w:val="clear" w:color="auto" w:fill="CCEEFF"/>
          </w:tcPr>
          <w:p>
            <w:pPr>
              <w:spacing w:after="0"/>
              <w:rPr>
                <w:sz w:val="18"/>
                <w:szCs w:val="18"/>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(459,180,798)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(447,017,178)</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16,796,814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18,558,406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19,070,997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2311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6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3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3,546,669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6,591,080</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11,799,154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13,467,845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4,184,806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4,241,607</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termination of vendor agreement</w:t>
            </w:r>
          </w:p>
        </w:tc>
        <w:tc>
          <w:tcPr>
            <w:tcW w:w="2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453,135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16,437,095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17,709,452</w:t>
            </w:r>
          </w:p>
        </w:tc>
        <w:tc>
          <w:tcPr>
            <w:tcW w:w="100" w:type="dxa"/>
            <w:vAlign w:val="bottom"/>
            <w:tcBorders>
              <w:bottom w:val="single" w:sz="8" w:color="CCEEFF"/>
            </w:tcBorders>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(11,118,372)</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594,206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437,010</w:t>
            </w: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 before income taxes</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(12,178,776)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(10,681,362)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49,953</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(12,163,620)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15,310,308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8,980,207</w:t>
            </w:r>
          </w:p>
        </w:tc>
      </w:tr>
      <w:tr>
        <w:trPr>
          <w:trHeight w:val="197"/>
        </w:trPr>
        <w:tc>
          <w:tcPr>
            <w:tcW w:w="63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15,310,308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8,980,207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6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2311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6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(12,163,620)</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(10,731,315)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537,540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245,864</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504,409</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977,303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(1,318,888)</w:t>
            </w:r>
          </w:p>
        </w:tc>
      </w:tr>
      <w:tr>
        <w:trPr>
          <w:trHeight w:val="216"/>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payable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(1,710,500)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380,845</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(454,570)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8,761</w:t>
            </w:r>
          </w:p>
        </w:tc>
        <w:tc>
          <w:tcPr>
            <w:tcW w:w="80" w:type="dxa"/>
            <w:vAlign w:val="bottom"/>
            <w:shd w:val="clear" w:color="auto" w:fill="CCEEFF"/>
          </w:tcPr>
          <w:p>
            <w:pPr>
              <w:spacing w:after="0"/>
              <w:rPr>
                <w:sz w:val="18"/>
                <w:szCs w:val="18"/>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974,799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(12,014,081)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9,863,883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14,929,155</w:t>
            </w:r>
          </w:p>
        </w:tc>
        <w:tc>
          <w:tcPr>
            <w:tcW w:w="80" w:type="dxa"/>
            <w:vAlign w:val="bottom"/>
            <w:shd w:val="clear" w:color="auto" w:fill="CCEEFF"/>
          </w:tcPr>
          <w:p>
            <w:pPr>
              <w:spacing w:after="0"/>
              <w:rPr>
                <w:sz w:val="18"/>
                <w:szCs w:val="18"/>
                <w:color w:val="auto"/>
              </w:rPr>
            </w:pPr>
          </w:p>
        </w:tc>
      </w:tr>
      <w:tr>
        <w:trPr>
          <w:trHeight w:val="230"/>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warrants and stock options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62,159</w:t>
            </w:r>
          </w:p>
        </w:tc>
        <w:tc>
          <w:tcPr>
            <w:tcW w:w="80" w:type="dxa"/>
            <w:vAlign w:val="bottom"/>
          </w:tcPr>
          <w:p>
            <w:pPr>
              <w:spacing w:after="0"/>
              <w:rPr>
                <w:sz w:val="19"/>
                <w:szCs w:val="19"/>
                <w:color w:val="auto"/>
              </w:rPr>
            </w:pPr>
          </w:p>
        </w:tc>
      </w:tr>
      <w:tr>
        <w:trPr>
          <w:trHeight w:val="209"/>
        </w:trPr>
        <w:tc>
          <w:tcPr>
            <w:tcW w:w="67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9,864,488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14,991,314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19,192,440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15,111,450</w:t>
            </w:r>
          </w:p>
        </w:tc>
        <w:tc>
          <w:tcPr>
            <w:tcW w:w="80" w:type="dxa"/>
            <w:vAlign w:val="bottom"/>
            <w:shd w:val="clear" w:color="auto" w:fill="CCEEFF"/>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6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17,042,847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2026-03-19T05:09:58Z</dcterms:created>
  <dcterms:modified xsi:type="dcterms:W3CDTF">2026-03-19T05:09:58Z</dcterms:modified>
</cp:coreProperties>
</file>