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3088640</wp:posOffset>
            </wp:positionH>
            <wp:positionV relativeFrom="page">
              <wp:posOffset>294640</wp:posOffset>
            </wp:positionV>
            <wp:extent cx="140589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05890" cy="685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West Forsyth Street, Suite 200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Jacksonville, FL 32202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29, 2017</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Jeffery Gabor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0960"/>
          </w:cols>
          <w:pgMar w:left="320" w:top="1440" w:right="61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TapImmune Inc. (the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S-3/A</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333-220538</w:t>
      </w:r>
    </w:p>
    <w:p>
      <w:pPr>
        <w:spacing w:after="0" w:line="200" w:lineRule="exact"/>
        <w:rPr>
          <w:sz w:val="24"/>
          <w:szCs w:val="24"/>
          <w:color w:val="auto"/>
        </w:rPr>
      </w:pPr>
    </w:p>
    <w:p>
      <w:pPr>
        <w:sectPr>
          <w:pgSz w:w="11900" w:h="16838" w:orient="portrait"/>
          <w:cols w:equalWidth="0" w:num="2">
            <w:col w:w="900" w:space="400"/>
            <w:col w:w="9660"/>
          </w:cols>
          <w:pgMar w:left="320" w:top="1440" w:right="61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Gabor:</w:t>
      </w:r>
    </w:p>
    <w:p>
      <w:pPr>
        <w:spacing w:after="0" w:line="225"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accordance with Rule 461 under the Securities Act of 1933, as amended, the undersigned respectfully requests that the effective date of the above referenced Registration Statement on Form S-3, as amended be accelerated so that it will be declared effective at 4:30 p.m., Eastern Standard Time, on Friday, December 29, 2017, or as soon thereafter as is practicable.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acknowledges that:</w:t>
      </w:r>
    </w:p>
    <w:p>
      <w:pPr>
        <w:spacing w:after="0" w:line="225" w:lineRule="exact"/>
        <w:rPr>
          <w:sz w:val="24"/>
          <w:szCs w:val="24"/>
          <w:color w:val="auto"/>
        </w:rPr>
      </w:pPr>
    </w:p>
    <w:p>
      <w:pPr>
        <w:ind w:left="660" w:right="3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of the Commission or the staff, acting pursuant to delegated authority, in</w:t>
      </w:r>
    </w:p>
    <w:p>
      <w:pPr>
        <w:spacing w:after="0" w:line="27" w:lineRule="exact"/>
        <w:rPr>
          <w:rFonts w:ascii="Times New Roman" w:cs="Times New Roman" w:eastAsia="Times New Roman" w:hAnsi="Times New Roman"/>
          <w:sz w:val="18"/>
          <w:szCs w:val="18"/>
          <w:color w:val="auto"/>
        </w:rPr>
      </w:pPr>
    </w:p>
    <w:p>
      <w:pPr>
        <w:ind w:left="66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the filing effective, does not relieve the Company from its full responsibility for the adequacy and accuracy of the disclosure in the filing; and</w:t>
      </w:r>
    </w:p>
    <w:p>
      <w:pPr>
        <w:spacing w:after="0" w:line="18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type w:val="continuous"/>
        </w:sectPr>
      </w:pPr>
    </w:p>
    <w:bookmarkStart w:id="1" w:name="page2"/>
    <w:bookmarkEnd w:id="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authorize Julio Esquivel of Shumaker, Loop &amp; Kendrick, LLP, our outside legal counsel, to orally modify or withdraw this request of acceleration. Once the Registration Statement has been declared effective, please confirm that event with Mr. Esquivel at (813) 227-2325. Thank you for your assistance in this matter.</w:t>
      </w:r>
    </w:p>
    <w:p>
      <w:pPr>
        <w:spacing w:after="0" w:line="1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/s/Michael Loiacono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Loiacono</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Julio Esquivel, Shumaker, Loop &amp; Kendrick,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2020-10-07T22:57:42Z</dcterms:created>
  <dcterms:modified xsi:type="dcterms:W3CDTF">2020-10-07T22:57:42Z</dcterms:modified>
</cp:coreProperties>
</file>