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New Enterprise Associates 16, L.P.</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0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10/17/2018</w:t>
            </w:r>
          </w:p>
        </w:tc>
        <w:tc>
          <w:tcPr>
            <w:tcW w:w="0" w:type="dxa"/>
            <w:vAlign w:val="bottom"/>
          </w:tcPr>
          <w:p>
            <w:pPr>
              <w:spacing w:after="0"/>
              <w:rPr>
                <w:sz w:val="1"/>
                <w:szCs w:val="1"/>
                <w:color w:val="auto"/>
              </w:rPr>
            </w:pPr>
          </w:p>
        </w:tc>
      </w:tr>
    </w:tbl>
    <w:p>
      <w:pPr>
        <w:spacing w:after="0" w:line="13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TIMONIUM</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MD</w:t>
            </w:r>
          </w:p>
        </w:tc>
        <w:tc>
          <w:tcPr>
            <w:tcW w:w="14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21093</w:t>
            </w: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Marker Therapeutics,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MRKR</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80"/>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5"/>
                <w:szCs w:val="15"/>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r>
      <w:tr>
        <w:trPr>
          <w:trHeight w:val="235"/>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tcPr>
          <w:p>
            <w:pPr>
              <w:spacing w:after="0"/>
              <w:rPr>
                <w:sz w:val="20"/>
                <w:szCs w:val="20"/>
                <w:color w:val="auto"/>
              </w:rPr>
            </w:pP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91"/>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r>
      <w:tr>
        <w:trPr>
          <w:trHeight w:val="189"/>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r>
      <w:tr>
        <w:trPr>
          <w:trHeight w:val="187"/>
        </w:trPr>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ind w:left="40"/>
              <w:spacing w:after="0" w:line="187" w:lineRule="exact"/>
              <w:rPr>
                <w:sz w:val="20"/>
                <w:szCs w:val="20"/>
                <w:color w:val="auto"/>
              </w:rPr>
            </w:pPr>
            <w:r>
              <w:rPr>
                <w:rFonts w:ascii="Times New Roman" w:cs="Times New Roman" w:eastAsia="Times New Roman" w:hAnsi="Times New Roman"/>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r>
      <w:tr>
        <w:trPr>
          <w:trHeight w:val="180"/>
        </w:trPr>
        <w:tc>
          <w:tcPr>
            <w:tcW w:w="16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r>
    </w:tbl>
    <w:p>
      <w:pPr>
        <w:spacing w:after="0" w:line="200" w:lineRule="exact"/>
        <w:rPr>
          <w:sz w:val="24"/>
          <w:szCs w:val="24"/>
          <w:color w:val="auto"/>
        </w:rPr>
      </w:pPr>
    </w:p>
    <w:p>
      <w:pPr>
        <w:sectPr>
          <w:pgSz w:w="11900" w:h="16838" w:orient="portrait"/>
          <w:cols w:equalWidth="0" w:num="2">
            <w:col w:w="4720" w:space="480"/>
            <w:col w:w="6220"/>
          </w:cols>
          <w:pgMar w:left="240" w:top="220" w:right="239" w:bottom="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b w:val="1"/>
                <w:bCs w:val="1"/>
                <w:color w:val="auto"/>
              </w:rPr>
              <w:t>2. Amount of Securities</w:t>
            </w:r>
          </w:p>
        </w:tc>
        <w:tc>
          <w:tcPr>
            <w:tcW w:w="130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40" w:type="dxa"/>
            <w:vAlign w:val="bottom"/>
            <w:gridSpan w:val="4"/>
          </w:tcPr>
          <w:p>
            <w:pPr>
              <w:ind w:left="14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0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4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3"/>
              </w:rPr>
              <w:t>or Indirect (I)</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18"/>
                <w:szCs w:val="18"/>
                <w:color w:val="0000FF"/>
              </w:rPr>
              <w:t>5,000,000</w:t>
            </w:r>
          </w:p>
        </w:tc>
        <w:tc>
          <w:tcPr>
            <w:tcW w:w="1020" w:type="dxa"/>
            <w:vAlign w:val="bottom"/>
            <w:tcBorders>
              <w:bottom w:val="single" w:sz="8" w:color="2C2C2C"/>
            </w:tcBorders>
            <w:gridSpan w:val="2"/>
          </w:tcPr>
          <w:p>
            <w:pPr>
              <w:ind w:left="620"/>
              <w:spacing w:after="0" w:line="324" w:lineRule="exact"/>
              <w:rPr>
                <w:sz w:val="20"/>
                <w:szCs w:val="20"/>
                <w:color w:val="auto"/>
              </w:rPr>
            </w:pPr>
            <w:r>
              <w:rPr>
                <w:rFonts w:ascii="Times New Roman" w:cs="Times New Roman" w:eastAsia="Times New Roman" w:hAnsi="Times New Roman"/>
                <w:sz w:val="35"/>
                <w:szCs w:val="35"/>
                <w:color w:val="0000FF"/>
                <w:vertAlign w:val="subscript"/>
              </w:rPr>
              <w:t>D</w:t>
            </w:r>
            <w:r>
              <w:rPr>
                <w:rFonts w:ascii="Times New Roman" w:cs="Times New Roman" w:eastAsia="Times New Roman" w:hAnsi="Times New Roman"/>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8"/>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0" w:type="dxa"/>
            <w:vAlign w:val="bottom"/>
            <w:gridSpan w:val="11"/>
          </w:tcPr>
          <w:p>
            <w:pPr>
              <w:ind w:lef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w w:val="98"/>
              </w:rPr>
              <w:t>2. Date Exercisable and</w:t>
            </w:r>
          </w:p>
        </w:tc>
        <w:tc>
          <w:tcPr>
            <w:tcW w:w="3000" w:type="dxa"/>
            <w:vAlign w:val="bottom"/>
            <w:gridSpan w:val="3"/>
          </w:tcPr>
          <w:p>
            <w:pPr>
              <w:ind w:left="140"/>
              <w:spacing w:after="0"/>
              <w:rPr>
                <w:sz w:val="20"/>
                <w:szCs w:val="20"/>
                <w:color w:val="auto"/>
              </w:rPr>
            </w:pPr>
            <w:r>
              <w:rPr>
                <w:rFonts w:ascii="Arial" w:cs="Arial" w:eastAsia="Arial" w:hAnsi="Arial"/>
                <w:sz w:val="14"/>
                <w:szCs w:val="14"/>
                <w:b w:val="1"/>
                <w:bCs w:val="1"/>
                <w:color w:val="auto"/>
              </w:rPr>
              <w:t>3. Title and Amount of Securities</w:t>
            </w: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54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Expiration Date</w:t>
            </w:r>
          </w:p>
        </w:tc>
        <w:tc>
          <w:tcPr>
            <w:tcW w:w="30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 or</w:t>
            </w:r>
          </w:p>
        </w:tc>
        <w:tc>
          <w:tcPr>
            <w:tcW w:w="82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7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w w:val="93"/>
              </w:rPr>
              <w:t>Expiration</w:t>
            </w:r>
          </w:p>
        </w:tc>
        <w:tc>
          <w:tcPr>
            <w:tcW w:w="19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1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Title</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auto"/>
              </w:rPr>
              <w:t>Exercisable</w:t>
            </w:r>
          </w:p>
        </w:tc>
        <w:tc>
          <w:tcPr>
            <w:tcW w:w="74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6"/>
                <w:szCs w:val="16"/>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2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0000FF"/>
              </w:rPr>
              <w:t>Warrant to Purchase Common Stock (right to</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0000FF"/>
              </w:rPr>
              <w:t>10/17/2018</w:t>
            </w:r>
          </w:p>
        </w:tc>
        <w:tc>
          <w:tcPr>
            <w:tcW w:w="7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0000FF"/>
              </w:rPr>
              <w:t>10/17/2023</w:t>
            </w:r>
          </w:p>
        </w:tc>
        <w:tc>
          <w:tcPr>
            <w:tcW w:w="19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0000FF"/>
              </w:rPr>
              <w:t>Common Stock</w:t>
            </w: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3,750,000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vMerge w:val="restart"/>
          </w:tcPr>
          <w:p>
            <w:pPr>
              <w:jc w:val="right"/>
              <w:ind w:right="306"/>
              <w:spacing w:after="0"/>
              <w:rPr>
                <w:sz w:val="20"/>
                <w:szCs w:val="20"/>
                <w:color w:val="auto"/>
              </w:rPr>
            </w:pPr>
            <w:r>
              <w:rPr>
                <w:rFonts w:ascii="Times New Roman" w:cs="Times New Roman" w:eastAsia="Times New Roman" w:hAnsi="Times New Roman"/>
                <w:sz w:val="18"/>
                <w:szCs w:val="18"/>
                <w:color w:val="0000FF"/>
              </w:rPr>
              <w:t>5</w:t>
            </w:r>
          </w:p>
        </w:tc>
        <w:tc>
          <w:tcPr>
            <w:tcW w:w="880" w:type="dxa"/>
            <w:vAlign w:val="bottom"/>
            <w:vMerge w:val="restart"/>
          </w:tcPr>
          <w:p>
            <w:pPr>
              <w:ind w:left="340"/>
              <w:spacing w:after="0"/>
              <w:rPr>
                <w:sz w:val="20"/>
                <w:szCs w:val="20"/>
                <w:color w:val="auto"/>
              </w:rPr>
            </w:pPr>
            <w:r>
              <w:rPr>
                <w:rFonts w:ascii="Times New Roman" w:cs="Times New Roman" w:eastAsia="Times New Roman" w:hAnsi="Times New Roman"/>
                <w:sz w:val="35"/>
                <w:szCs w:val="35"/>
                <w:color w:val="0000FF"/>
                <w:vertAlign w:val="subscript"/>
              </w:rPr>
              <w:t>D</w:t>
            </w:r>
            <w:r>
              <w:rPr>
                <w:rFonts w:ascii="Times New Roman" w:cs="Times New Roman" w:eastAsia="Times New Roman" w:hAnsi="Times New Roman"/>
                <w:sz w:val="11"/>
                <w:szCs w:val="11"/>
                <w:color w:val="008000"/>
              </w:rPr>
              <w:t>(1)</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buy)</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5"/>
          </w:tcPr>
          <w:p>
            <w:pPr>
              <w:ind w:left="60"/>
              <w:spacing w:after="0" w:line="243"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7"/>
          </w:tcPr>
          <w:p>
            <w:pPr>
              <w:spacing w:after="0" w:line="230" w:lineRule="exact"/>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New Enterprise Associates 16, L.P.</w:t>
              </w:r>
            </w:hyperlink>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w w:val="94"/>
              </w:rPr>
              <w:t>(Middle)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1954 GREENSPRING DRIVE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SUITE 600</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TIMONIUM</w:t>
            </w: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0000FF"/>
              </w:rPr>
              <w:t>MD</w:t>
            </w: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0000FF"/>
              </w:rPr>
              <w:t>21093</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gridSpan w:val="2"/>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spacing w:after="0" w:line="230"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NEA Partners 16, L.P.</w:t>
              </w:r>
            </w:hyperlink>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w w:val="94"/>
              </w:rPr>
              <w:t>(Middle)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1954 GREENSPRING DRIVE</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SUITE 600</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TIMONIUM</w:t>
            </w: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0000FF"/>
              </w:rPr>
              <w:t>MD</w:t>
            </w: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0000FF"/>
              </w:rPr>
              <w:t>21093</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gridSpan w:val="2"/>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(State)</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spacing w:after="0" w:line="230" w:lineRule="exact"/>
              <w:rPr>
                <w:rFonts w:ascii="Times New Roman" w:cs="Times New Roman" w:eastAsia="Times New Roman" w:hAnsi="Times New Roman"/>
                <w:sz w:val="22"/>
                <w:szCs w:val="22"/>
                <w:color w:val="0000EE"/>
              </w:rPr>
            </w:pPr>
            <w:hyperlink r:id="rId14">
              <w:r>
                <w:rPr>
                  <w:rFonts w:ascii="Times New Roman" w:cs="Times New Roman" w:eastAsia="Times New Roman" w:hAnsi="Times New Roman"/>
                  <w:sz w:val="22"/>
                  <w:szCs w:val="22"/>
                  <w:color w:val="0000EE"/>
                </w:rPr>
                <w:t>NEA 16 GP, LLC</w:t>
              </w:r>
            </w:hyperlink>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3"/>
          </w:tcPr>
          <w:p>
            <w:pPr>
              <w:ind w:left="200"/>
              <w:spacing w:after="0"/>
              <w:rPr>
                <w:sz w:val="20"/>
                <w:szCs w:val="20"/>
                <w:color w:val="auto"/>
              </w:rPr>
            </w:pPr>
            <w:r>
              <w:rPr>
                <w:rFonts w:ascii="Arial" w:cs="Arial" w:eastAsia="Arial" w:hAnsi="Arial"/>
                <w:sz w:val="14"/>
                <w:szCs w:val="14"/>
                <w:color w:val="auto"/>
              </w:rPr>
              <w:t>(First)</w:t>
            </w:r>
          </w:p>
        </w:tc>
        <w:tc>
          <w:tcPr>
            <w:tcW w:w="680" w:type="dxa"/>
            <w:vAlign w:val="bottom"/>
            <w:gridSpan w:val="3"/>
          </w:tcPr>
          <w:p>
            <w:pPr>
              <w:ind w:left="180"/>
              <w:spacing w:after="0"/>
              <w:rPr>
                <w:sz w:val="20"/>
                <w:szCs w:val="20"/>
                <w:color w:val="auto"/>
              </w:rPr>
            </w:pPr>
            <w:r>
              <w:rPr>
                <w:rFonts w:ascii="Arial" w:cs="Arial" w:eastAsia="Arial" w:hAnsi="Arial"/>
                <w:sz w:val="14"/>
                <w:szCs w:val="14"/>
                <w:color w:val="auto"/>
                <w:w w:val="94"/>
              </w:rPr>
              <w:t>(Middle)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1954 GREENSPRING DRIVE</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SUITE 600</w:t>
      </w:r>
    </w:p>
    <w:p>
      <w:pPr>
        <w:sectPr>
          <w:pgSz w:w="11900" w:h="16838" w:orient="portrait"/>
          <w:cols w:equalWidth="0" w:num="1">
            <w:col w:w="11420"/>
          </w:cols>
          <w:pgMar w:left="240" w:top="220" w:right="239" w:bottom="0" w:gutter="0" w:footer="0" w:header="0"/>
          <w:type w:val="continuous"/>
        </w:sectPr>
      </w:pPr>
    </w:p>
    <w:p>
      <w:pPr>
        <w:spacing w:after="0" w:line="29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0" w:right="23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TIMONIUM</w:t>
            </w:r>
          </w:p>
        </w:tc>
        <w:tc>
          <w:tcPr>
            <w:tcW w:w="12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MD</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21093</w:t>
            </w:r>
          </w:p>
        </w:tc>
      </w:tr>
      <w:tr>
        <w:trPr>
          <w:trHeight w:val="158"/>
        </w:trPr>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2"/>
        </w:trPr>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-446405</wp:posOffset>
            </wp:positionV>
            <wp:extent cx="2924175" cy="527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52705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directly held by New Enterprise Associates 16, L.P. ("NEA 16"), and indirectly held by NEA Partners 16, L.P. ("NEA Partners"), the sole general partner of NEA 16, NEA 16 GP, LLC ("NEA</w:t>
      </w:r>
    </w:p>
    <w:p>
      <w:pPr>
        <w:spacing w:after="0" w:line="24" w:lineRule="exact"/>
        <w:rPr>
          <w:rFonts w:ascii="Times New Roman" w:cs="Times New Roman" w:eastAsia="Times New Roman" w:hAnsi="Times New Roman"/>
          <w:sz w:val="12"/>
          <w:szCs w:val="12"/>
          <w:color w:val="008000"/>
        </w:rPr>
      </w:pPr>
    </w:p>
    <w:p>
      <w:pPr>
        <w:jc w:val="both"/>
        <w:ind w:right="20" w:firstLine="9"/>
        <w:spacing w:after="0" w:line="225" w:lineRule="auto"/>
        <w:tabs>
          <w:tab w:leader="none" w:pos="169"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GP"), the sole general partner of NEA Partners 16, and the individual managers of NEA 16 GP (NEA Partners 16, NEA 16 GP and the individual managers of NEA 16 GP, together, the "Indirect Reporting Persons").The individual managers of NEA 16 GP are Peter J. Barris, Forest Baskett, Ali Behbahani, Carmen Chang, Anthony A. Florence, Jr., Mohamad Makhzoumi, Josh Makower, David M. Mott, Scott D. Sandell, Peter W. Sonsini, Ravi Viswanathan and Paul Walker. The Indirect Reporting Persons disclaim beneficial ownership within the meaning of Section 16 of the Securities Exchange Act of 1934, as amended, or otherwise of such portion of the shares of the Issuer held by NEA 16 in which the Indirect Reporting Persons have no pecuniary interest.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1" Type="http://schemas.openxmlformats.org/officeDocument/2006/relationships/hyperlink" Target="http://www.sec.gov/cgi-bin/browse-edgar?action=getcompany&amp;CIK=0001694560" TargetMode="External"/><Relationship Id="rId12" Type="http://schemas.openxmlformats.org/officeDocument/2006/relationships/hyperlink" Target="http://www.sec.gov/cgi-bin/browse-edgar?action=getcompany&amp;CIK=0001094038" TargetMode="External"/><Relationship Id="rId13" Type="http://schemas.openxmlformats.org/officeDocument/2006/relationships/hyperlink" Target="http://www.sec.gov/cgi-bin/browse-edgar?action=getcompany&amp;CIK=0001712881" TargetMode="External"/><Relationship Id="rId14" Type="http://schemas.openxmlformats.org/officeDocument/2006/relationships/hyperlink" Target="http://www.sec.gov/cgi-bin/browse-edgar?action=getcompany&amp;CIK=00017128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2020-01-11T19:24:36Z</dcterms:created>
  <dcterms:modified xsi:type="dcterms:W3CDTF">2020-01-11T19:24:36Z</dcterms:modified>
</cp:coreProperties>
</file>