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sc13dtapimmune_sailesh.htm"/>
      <w:bookmarkStart w:id="1" w:name="kssc13dtapimmune_sailesh"/>
      <w:bookmarkEnd w:id="0"/>
      <w:bookmarkEnd w:id="1"/>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2"/>
        </w:rPr>
      </w:pPr>
      <w:r>
        <w:rPr>
          <w:rFonts w:ascii="Times New Roman" w:hAnsi="Times New Roman"/>
          <w:b/>
          <w:sz w:val="32"/>
        </w:rPr>
        <w:t>Schedule 13D</w:t>
      </w:r>
    </w:p>
    <w:p>
      <w:pPr>
        <w:pStyle w:val="TextBody"/>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40"/>
        </w:rPr>
      </w:pPr>
      <w:r>
        <w:rPr>
          <w:rFonts w:ascii="Times New Roman" w:hAnsi="Times New Roman"/>
          <w:b/>
          <w:sz w:val="4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Common Stock, $0.001 value per share</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458166 105</w:t>
      </w:r>
    </w:p>
    <w:p>
      <w:pPr>
        <w:pStyle w:val="TextBody"/>
        <w:spacing w:before="0" w:after="0"/>
        <w:ind w:left="0" w:right="0" w:hanging="0"/>
        <w:jc w:val="center"/>
        <w:rPr>
          <w:rFonts w:ascii="Times New Roman" w:hAnsi="Times New Roman"/>
          <w:sz w:val="20"/>
        </w:rPr>
      </w:pPr>
      <w:r>
        <w:rPr>
          <w:rFonts w:ascii="Times New Roman" w:hAnsi="Times New Roman"/>
          <w:sz w:val="20"/>
        </w:rPr>
        <w:t>(CUSIP Number)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Sailesh C. Barchha</w:t>
      </w:r>
    </w:p>
    <w:p>
      <w:pPr>
        <w:pStyle w:val="TextBody"/>
        <w:spacing w:before="0" w:after="0"/>
        <w:ind w:left="0" w:right="0" w:hanging="0"/>
        <w:jc w:val="center"/>
        <w:rPr>
          <w:rFonts w:ascii="Times New Roman" w:hAnsi="Times New Roman"/>
          <w:sz w:val="20"/>
        </w:rPr>
      </w:pPr>
      <w:r>
        <w:rPr>
          <w:rFonts w:ascii="Times New Roman" w:hAnsi="Times New Roman"/>
          <w:sz w:val="20"/>
        </w:rPr>
        <w:t>Nirvana, Chestnut Avenue, Rickmansworth. Hertfordshire. WD3 4HB. England. UK</w:t>
      </w:r>
    </w:p>
    <w:p>
      <w:pPr>
        <w:pStyle w:val="TextBody"/>
        <w:spacing w:before="0" w:after="0"/>
        <w:ind w:left="0" w:right="0" w:hanging="0"/>
        <w:jc w:val="center"/>
        <w:rPr/>
      </w:pPr>
      <w:r>
        <w:rPr/>
        <w:t> </w:t>
      </w:r>
      <w:r>
        <w:rPr>
          <w:rFonts w:ascii="Times New Roman" w:hAnsi="Times New Roman"/>
          <w:sz w:val="20"/>
        </w:rPr>
        <w:t>Telephone contact :- 011 (44) 7984 711537</w:t>
      </w:r>
    </w:p>
    <w:p>
      <w:pPr>
        <w:pStyle w:val="TextBody"/>
        <w:spacing w:before="0" w:after="0"/>
        <w:ind w:left="0" w:right="0" w:hanging="0"/>
        <w:jc w:val="center"/>
        <w:rPr/>
      </w:pPr>
      <w:r>
        <w:rPr/>
        <w:t> </w:t>
      </w:r>
      <w:r>
        <w:rPr>
          <w:rFonts w:ascii="Times New Roman" w:hAnsi="Times New Roman"/>
          <w:sz w:val="20"/>
        </w:rPr>
        <w:t>(Name, Address and Telephone Number of Person Authorized to Receive Notices and Communications)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May 29, 2012</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8266"/>
        <w:gridCol w:w="1837"/>
        <w:gridCol w:w="102"/>
      </w:tblGrid>
      <w:tr>
        <w:trPr/>
        <w:tc>
          <w:tcPr>
            <w:tcW w:w="8266" w:type="dxa"/>
            <w:vMerge w:val="restart"/>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If the filing person has previously filed a statement on Schedule 13G to report the acquisition that is the subject of this Schedule 13D, and is filing this schedule because of §§240.13d–1(e), 240.13d–1(f) or 240.13d–1(g), check the following box.  </w:t>
            </w:r>
            <w:r>
              <w:rPr>
                <w:rFonts w:ascii="wingdings" w:hAnsi="wingdings"/>
                <w:sz w:val="20"/>
              </w:rPr>
              <w:t>o</w:t>
            </w:r>
          </w:p>
        </w:tc>
        <w:tc>
          <w:tcPr>
            <w:tcW w:w="1837"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jc w:val="left"/>
              <w:rPr/>
            </w:pPr>
            <w:r>
              <w:rPr/>
              <w:t> </w:t>
            </w:r>
          </w:p>
        </w:tc>
      </w:tr>
      <w:tr>
        <w:trPr/>
        <w:tc>
          <w:tcPr>
            <w:tcW w:w="8266" w:type="dxa"/>
            <w:vMerge w:val="continue"/>
            <w:tcBorders/>
            <w:shd w:fill="auto" w:val="clear"/>
          </w:tcPr>
          <w:p>
            <w:pPr>
              <w:pStyle w:val="Normal"/>
              <w:rPr/>
            </w:pPr>
            <w:r>
              <w:rPr/>
            </w:r>
          </w:p>
        </w:tc>
        <w:tc>
          <w:tcPr>
            <w:tcW w:w="1837"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0"/>
              <w:ind w:left="0" w:right="0" w:hanging="0"/>
              <w:rPr/>
            </w:pPr>
            <w:r>
              <w:rPr/>
              <w:t> </w:t>
            </w:r>
          </w:p>
          <w:p>
            <w:pPr>
              <w:pStyle w:val="TableContents"/>
              <w:spacing w:before="0" w:after="0"/>
              <w:ind w:left="0" w:right="0" w:hanging="0"/>
              <w:jc w:val="center"/>
              <w:rPr/>
            </w:pPr>
            <w:r>
              <w:rPr/>
              <w:t> </w:t>
            </w:r>
          </w:p>
        </w:tc>
      </w:tr>
      <w:tr>
        <w:trPr/>
        <w:tc>
          <w:tcPr>
            <w:tcW w:w="10205" w:type="dxa"/>
            <w:gridSpan w:val="3"/>
            <w:tcBorders/>
            <w:shd w:fill="auto" w:val="clear"/>
          </w:tcPr>
          <w:p>
            <w:pPr>
              <w:pStyle w:val="TableContents"/>
              <w:spacing w:before="0" w:after="283"/>
              <w:jc w:val="left"/>
              <w:rPr/>
            </w:pPr>
            <w:r>
              <w:rPr/>
              <w:t xml:space="preserve">  </w:t>
            </w:r>
          </w:p>
        </w:tc>
      </w:tr>
      <w:tr>
        <w:trPr/>
        <w:tc>
          <w:tcPr>
            <w:tcW w:w="10205" w:type="dxa"/>
            <w:gridSpan w:val="3"/>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CUSIP No. 876033200</w:t>
            </w:r>
          </w:p>
        </w:tc>
      </w:tr>
      <w:tr>
        <w:trPr/>
        <w:tc>
          <w:tcPr>
            <w:tcW w:w="10205" w:type="dxa"/>
            <w:gridSpan w:val="3"/>
            <w:tcBorders/>
            <w:shd w:fill="auto" w:val="clear"/>
          </w:tcPr>
          <w:p>
            <w:pPr>
              <w:pStyle w:val="TableContents"/>
              <w:spacing w:before="0" w:after="283"/>
              <w:jc w:val="left"/>
              <w:rPr/>
            </w:pPr>
            <w:r>
              <w:rPr/>
              <w:t xml:space="preserve">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 Names of reporting persons: Sailesh C Barchha</w:t>
            </w:r>
          </w:p>
        </w:tc>
      </w:tr>
      <w:tr>
        <w:trPr/>
        <w:tc>
          <w:tcPr>
            <w:tcW w:w="10205" w:type="dxa"/>
            <w:gridSpan w:val="3"/>
            <w:tcBorders/>
            <w:shd w:fill="FFFFFF" w:val="clear"/>
          </w:tcPr>
          <w:p>
            <w:pPr>
              <w:pStyle w:val="TableContents"/>
              <w:spacing w:before="0" w:after="283"/>
              <w:jc w:val="left"/>
              <w:rPr/>
            </w:pPr>
            <w:r>
              <w:rPr/>
              <w:t>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(2) Check the appropriate box if a member of a group -</w:t>
            </w:r>
          </w:p>
        </w:tc>
      </w:tr>
      <w:tr>
        <w:trPr/>
        <w:tc>
          <w:tcPr>
            <w:tcW w:w="8266" w:type="dxa"/>
            <w:tcBorders/>
            <w:shd w:fill="FFFFFF" w:val="clear"/>
          </w:tcPr>
          <w:p>
            <w:pPr>
              <w:pStyle w:val="TableContents"/>
              <w:spacing w:before="0" w:after="0"/>
              <w:ind w:left="0" w:right="0" w:hanging="0"/>
              <w:jc w:val="left"/>
              <w:rPr/>
            </w:pPr>
            <w:bookmarkStart w:id="2" w:name="TAB2"/>
            <w:bookmarkEnd w:id="2"/>
            <w:r>
              <w:rPr>
                <w:spacing w:val="180"/>
              </w:rPr>
              <w:t>   </w:t>
            </w:r>
            <w:r>
              <w:rPr/>
              <w:t> </w:t>
            </w:r>
            <w:r>
              <w:rPr>
                <w:rFonts w:ascii="times new roman" w:hAnsi="times new roman"/>
                <w:sz w:val="20"/>
              </w:rPr>
              <w:t>(a) member of the group and the membership is expressly affirmed</w:t>
            </w:r>
          </w:p>
        </w:tc>
        <w:tc>
          <w:tcPr>
            <w:tcW w:w="1837" w:type="dxa"/>
            <w:tcBorders/>
            <w:shd w:fill="FFFFFF" w:val="clear"/>
          </w:tcPr>
          <w:p>
            <w:pPr>
              <w:pStyle w:val="TableContents"/>
              <w:spacing w:before="0" w:after="283"/>
              <w:jc w:val="left"/>
              <w:rPr/>
            </w:pPr>
            <w:r>
              <w:rPr/>
              <w:t xml:space="preserve">  </w:t>
            </w:r>
          </w:p>
        </w:tc>
        <w:tc>
          <w:tcPr>
            <w:tcW w:w="102" w:type="dxa"/>
            <w:tcBorders/>
            <w:shd w:fill="FFFFFF" w:val="clear"/>
          </w:tcPr>
          <w:p>
            <w:pPr>
              <w:pStyle w:val="TableContents"/>
              <w:spacing w:before="0" w:after="283"/>
              <w:jc w:val="left"/>
              <w:rPr/>
            </w:pPr>
            <w:r>
              <w:rPr/>
              <w:t xml:space="preserve">  </w:t>
            </w:r>
          </w:p>
        </w:tc>
      </w:tr>
      <w:tr>
        <w:trPr/>
        <w:tc>
          <w:tcPr>
            <w:tcW w:w="8266" w:type="dxa"/>
            <w:tcBorders/>
            <w:shd w:fill="FFFFFF" w:val="clear"/>
          </w:tcPr>
          <w:p>
            <w:pPr>
              <w:pStyle w:val="TableContents"/>
              <w:spacing w:before="0" w:after="0"/>
              <w:ind w:left="0" w:right="0" w:hanging="0"/>
              <w:jc w:val="left"/>
              <w:rPr/>
            </w:pPr>
            <w:bookmarkStart w:id="3" w:name="TAB21"/>
            <w:bookmarkEnd w:id="3"/>
            <w:r>
              <w:rPr>
                <w:spacing w:val="180"/>
              </w:rPr>
              <w:t>   </w:t>
            </w:r>
            <w:r>
              <w:rPr/>
              <w:t> </w:t>
            </w:r>
            <w:r>
              <w:rPr>
                <w:rFonts w:ascii="times new roman" w:hAnsi="times new roman"/>
                <w:sz w:val="20"/>
              </w:rPr>
              <w:t>(b) disclaims membership in a group  ☑</w:t>
            </w:r>
          </w:p>
        </w:tc>
        <w:tc>
          <w:tcPr>
            <w:tcW w:w="1837" w:type="dxa"/>
            <w:tcBorders/>
            <w:shd w:fill="FFFFFF" w:val="clear"/>
          </w:tcPr>
          <w:p>
            <w:pPr>
              <w:pStyle w:val="TableContents"/>
              <w:spacing w:before="0" w:after="283"/>
              <w:jc w:val="left"/>
              <w:rPr/>
            </w:pPr>
            <w:r>
              <w:rPr/>
              <w:t> </w:t>
            </w:r>
          </w:p>
        </w:tc>
        <w:tc>
          <w:tcPr>
            <w:tcW w:w="102" w:type="dxa"/>
            <w:tcBorders/>
            <w:shd w:fill="FFFFFF" w:val="clear"/>
          </w:tcPr>
          <w:p>
            <w:pPr>
              <w:pStyle w:val="TableContents"/>
              <w:spacing w:before="0" w:after="283"/>
              <w:rPr/>
            </w:pPr>
            <w:r>
              <w:rPr/>
              <w:t xml:space="preserve">  </w:t>
            </w:r>
          </w:p>
        </w:tc>
      </w:tr>
      <w:tr>
        <w:trPr/>
        <w:tc>
          <w:tcPr>
            <w:tcW w:w="10205" w:type="dxa"/>
            <w:gridSpan w:val="3"/>
            <w:tcBorders/>
            <w:shd w:fill="FFFFFF" w:val="clear"/>
          </w:tcPr>
          <w:p>
            <w:pPr>
              <w:pStyle w:val="TableContents"/>
              <w:spacing w:before="0" w:after="283"/>
              <w:jc w:val="left"/>
              <w:rPr/>
            </w:pPr>
            <w:r>
              <w:rPr/>
              <w:t>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 SEC use only -</w:t>
            </w:r>
          </w:p>
        </w:tc>
      </w:tr>
      <w:tr>
        <w:trPr/>
        <w:tc>
          <w:tcPr>
            <w:tcW w:w="10205" w:type="dxa"/>
            <w:gridSpan w:val="3"/>
            <w:tcBorders/>
            <w:shd w:fill="FFFFFF" w:val="clear"/>
          </w:tcPr>
          <w:p>
            <w:pPr>
              <w:pStyle w:val="TableContents"/>
              <w:spacing w:before="0" w:after="283"/>
              <w:jc w:val="left"/>
              <w:rPr/>
            </w:pPr>
            <w:r>
              <w:rPr/>
              <w:t>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(4) Source of funds:  OO</w:t>
            </w:r>
          </w:p>
        </w:tc>
      </w:tr>
      <w:tr>
        <w:trPr/>
        <w:tc>
          <w:tcPr>
            <w:tcW w:w="8266" w:type="dxa"/>
            <w:tcBorders/>
            <w:shd w:fill="FFFFFF" w:val="clear"/>
          </w:tcPr>
          <w:p>
            <w:pPr>
              <w:pStyle w:val="TableContents"/>
              <w:spacing w:before="0" w:after="283"/>
              <w:jc w:val="left"/>
              <w:rPr/>
            </w:pPr>
            <w:r>
              <w:rPr/>
              <w:t> </w:t>
            </w:r>
          </w:p>
        </w:tc>
        <w:tc>
          <w:tcPr>
            <w:tcW w:w="1837" w:type="dxa"/>
            <w:tcBorders/>
            <w:shd w:fill="FFFFFF" w:val="clear"/>
          </w:tcPr>
          <w:p>
            <w:pPr>
              <w:pStyle w:val="TableContents"/>
              <w:spacing w:before="0" w:after="283"/>
              <w:jc w:val="left"/>
              <w:rPr/>
            </w:pPr>
            <w:r>
              <w:rPr/>
              <w:t> </w:t>
            </w:r>
          </w:p>
        </w:tc>
        <w:tc>
          <w:tcPr>
            <w:tcW w:w="102" w:type="dxa"/>
            <w:tcBorders/>
            <w:shd w:fill="FFFFFF" w:val="clear"/>
          </w:tcPr>
          <w:p>
            <w:pPr>
              <w:pStyle w:val="TableContents"/>
              <w:spacing w:before="0" w:after="283"/>
              <w:jc w:val="left"/>
              <w:rPr/>
            </w:pPr>
            <w:r>
              <w:rPr/>
              <w:t> </w:t>
            </w:r>
          </w:p>
        </w:tc>
      </w:tr>
      <w:tr>
        <w:trPr/>
        <w:tc>
          <w:tcPr>
            <w:tcW w:w="826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(5) Check if disclosure of legal proceedings is required pursuant to Items 2(d) or 2(e)</w:t>
            </w:r>
          </w:p>
        </w:tc>
        <w:tc>
          <w:tcPr>
            <w:tcW w:w="1837" w:type="dxa"/>
            <w:tcBorders/>
            <w:shd w:fill="FFFFFF" w:val="clear"/>
          </w:tcPr>
          <w:p>
            <w:pPr>
              <w:pStyle w:val="TableContents"/>
              <w:spacing w:before="0" w:after="283"/>
              <w:jc w:val="left"/>
              <w:rPr/>
            </w:pPr>
            <w:r>
              <w:rPr/>
              <w:t xml:space="preserve">  </w:t>
            </w:r>
          </w:p>
        </w:tc>
        <w:tc>
          <w:tcPr>
            <w:tcW w:w="102" w:type="dxa"/>
            <w:tcBorders/>
            <w:shd w:fill="FFFFFF" w:val="clear"/>
          </w:tcPr>
          <w:p>
            <w:pPr>
              <w:pStyle w:val="TableContents"/>
              <w:spacing w:before="0" w:after="283"/>
              <w:jc w:val="left"/>
              <w:rPr/>
            </w:pPr>
            <w:r>
              <w:rPr/>
              <w:t xml:space="preserve">  </w:t>
            </w:r>
          </w:p>
        </w:tc>
      </w:tr>
      <w:tr>
        <w:trPr/>
        <w:tc>
          <w:tcPr>
            <w:tcW w:w="10205" w:type="dxa"/>
            <w:gridSpan w:val="3"/>
            <w:tcBorders/>
            <w:shd w:fill="FFFFFF" w:val="clear"/>
          </w:tcPr>
          <w:p>
            <w:pPr>
              <w:pStyle w:val="TableContents"/>
              <w:spacing w:before="0" w:after="283"/>
              <w:jc w:val="left"/>
              <w:rPr/>
            </w:pPr>
            <w:r>
              <w:rPr/>
              <w:t>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(6) Citizenship or place of organization:   England</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Number of shares beneficially owned by each reporting person with:</w:t>
            </w:r>
          </w:p>
        </w:tc>
      </w:tr>
      <w:tr>
        <w:trPr/>
        <w:tc>
          <w:tcPr>
            <w:tcW w:w="10205" w:type="dxa"/>
            <w:gridSpan w:val="3"/>
            <w:tcBorders/>
            <w:shd w:fill="FFFFFF" w:val="clear"/>
          </w:tcPr>
          <w:p>
            <w:pPr>
              <w:pStyle w:val="TableContents"/>
              <w:spacing w:before="0" w:after="0"/>
              <w:ind w:left="0" w:right="0" w:hanging="0"/>
              <w:jc w:val="left"/>
              <w:rPr/>
            </w:pPr>
            <w:bookmarkStart w:id="4" w:name="TAB22"/>
            <w:bookmarkEnd w:id="4"/>
            <w:r>
              <w:rPr>
                <w:spacing w:val="180"/>
              </w:rPr>
              <w:t>   </w:t>
            </w:r>
            <w:r>
              <w:rPr/>
              <w:t> </w:t>
            </w:r>
            <w:r>
              <w:rPr>
                <w:rFonts w:ascii="times new roman" w:hAnsi="times new roman"/>
                <w:sz w:val="20"/>
              </w:rPr>
              <w:t>(7) Sole voting power:  Yes</w:t>
            </w:r>
          </w:p>
        </w:tc>
      </w:tr>
      <w:tr>
        <w:trPr/>
        <w:tc>
          <w:tcPr>
            <w:tcW w:w="10205" w:type="dxa"/>
            <w:gridSpan w:val="3"/>
            <w:tcBorders/>
            <w:shd w:fill="FFFFFF" w:val="clear"/>
          </w:tcPr>
          <w:p>
            <w:pPr>
              <w:pStyle w:val="TableContents"/>
              <w:spacing w:before="0" w:after="0"/>
              <w:ind w:left="0" w:right="0" w:hanging="0"/>
              <w:jc w:val="left"/>
              <w:rPr/>
            </w:pPr>
            <w:bookmarkStart w:id="5" w:name="TAB23"/>
            <w:bookmarkEnd w:id="5"/>
            <w:r>
              <w:rPr>
                <w:spacing w:val="180"/>
              </w:rPr>
              <w:t>   </w:t>
            </w:r>
            <w:r>
              <w:rPr/>
              <w:t> </w:t>
            </w:r>
            <w:r>
              <w:rPr>
                <w:rFonts w:ascii="times new roman" w:hAnsi="times new roman"/>
                <w:sz w:val="20"/>
              </w:rPr>
              <w:t>(8) Shared voting power:  No</w:t>
            </w:r>
          </w:p>
        </w:tc>
      </w:tr>
      <w:tr>
        <w:trPr/>
        <w:tc>
          <w:tcPr>
            <w:tcW w:w="10205" w:type="dxa"/>
            <w:gridSpan w:val="3"/>
            <w:tcBorders/>
            <w:shd w:fill="FFFFFF" w:val="clear"/>
          </w:tcPr>
          <w:p>
            <w:pPr>
              <w:pStyle w:val="TableContents"/>
              <w:spacing w:before="0" w:after="0"/>
              <w:ind w:left="0" w:right="0" w:hanging="0"/>
              <w:jc w:val="left"/>
              <w:rPr/>
            </w:pPr>
            <w:bookmarkStart w:id="6" w:name="TAB24"/>
            <w:bookmarkEnd w:id="6"/>
            <w:r>
              <w:rPr>
                <w:spacing w:val="180"/>
              </w:rPr>
              <w:t>   </w:t>
            </w:r>
            <w:r>
              <w:rPr/>
              <w:t> </w:t>
            </w:r>
            <w:r>
              <w:rPr>
                <w:rFonts w:ascii="times new roman" w:hAnsi="times new roman"/>
                <w:sz w:val="20"/>
              </w:rPr>
              <w:t>(9) Sole dispositive power:  Yes</w:t>
            </w:r>
          </w:p>
        </w:tc>
      </w:tr>
      <w:tr>
        <w:trPr/>
        <w:tc>
          <w:tcPr>
            <w:tcW w:w="10205" w:type="dxa"/>
            <w:gridSpan w:val="3"/>
            <w:tcBorders/>
            <w:shd w:fill="FFFFFF" w:val="clear"/>
          </w:tcPr>
          <w:p>
            <w:pPr>
              <w:pStyle w:val="TableContents"/>
              <w:spacing w:before="0" w:after="0"/>
              <w:ind w:left="0" w:right="0" w:hanging="0"/>
              <w:jc w:val="left"/>
              <w:rPr/>
            </w:pPr>
            <w:bookmarkStart w:id="7" w:name="TAB25"/>
            <w:bookmarkEnd w:id="7"/>
            <w:r>
              <w:rPr>
                <w:spacing w:val="180"/>
              </w:rPr>
              <w:t>   </w:t>
            </w:r>
            <w:r>
              <w:rPr/>
              <w:t> </w:t>
            </w:r>
            <w:r>
              <w:rPr>
                <w:rFonts w:ascii="times new roman" w:hAnsi="times new roman"/>
                <w:sz w:val="20"/>
              </w:rPr>
              <w:t>(10) Shared dispositive power:  No</w:t>
            </w:r>
          </w:p>
        </w:tc>
      </w:tr>
      <w:tr>
        <w:trPr/>
        <w:tc>
          <w:tcPr>
            <w:tcW w:w="10205" w:type="dxa"/>
            <w:gridSpan w:val="3"/>
            <w:tcBorders/>
            <w:shd w:fill="FFFFFF" w:val="clear"/>
          </w:tcPr>
          <w:p>
            <w:pPr>
              <w:pStyle w:val="TableContents"/>
              <w:spacing w:before="0" w:after="283"/>
              <w:jc w:val="left"/>
              <w:rPr/>
            </w:pPr>
            <w:r>
              <w:rPr/>
              <w:t>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(11) Aggregate amount beneficially owned by each reporting person:   5,600,000 shares</w:t>
            </w:r>
          </w:p>
        </w:tc>
      </w:tr>
      <w:tr>
        <w:trPr/>
        <w:tc>
          <w:tcPr>
            <w:tcW w:w="8266" w:type="dxa"/>
            <w:tcBorders/>
            <w:shd w:fill="FFFFFF" w:val="clear"/>
          </w:tcPr>
          <w:p>
            <w:pPr>
              <w:pStyle w:val="TableContents"/>
              <w:spacing w:before="0" w:after="283"/>
              <w:jc w:val="left"/>
              <w:rPr/>
            </w:pPr>
            <w:r>
              <w:rPr/>
              <w:t> </w:t>
            </w:r>
          </w:p>
        </w:tc>
        <w:tc>
          <w:tcPr>
            <w:tcW w:w="1837" w:type="dxa"/>
            <w:tcBorders/>
            <w:shd w:fill="FFFFFF" w:val="clear"/>
          </w:tcPr>
          <w:p>
            <w:pPr>
              <w:pStyle w:val="TableContents"/>
              <w:spacing w:before="0" w:after="283"/>
              <w:jc w:val="left"/>
              <w:rPr/>
            </w:pPr>
            <w:r>
              <w:rPr/>
              <w:t> </w:t>
            </w:r>
          </w:p>
        </w:tc>
        <w:tc>
          <w:tcPr>
            <w:tcW w:w="102" w:type="dxa"/>
            <w:tcBorders/>
            <w:shd w:fill="FFFFFF" w:val="clear"/>
          </w:tcPr>
          <w:p>
            <w:pPr>
              <w:pStyle w:val="TableContents"/>
              <w:spacing w:before="0" w:after="283"/>
              <w:jc w:val="right"/>
              <w:rPr/>
            </w:pPr>
            <w:r>
              <w:rPr/>
              <w:t> </w:t>
            </w:r>
          </w:p>
        </w:tc>
      </w:tr>
      <w:tr>
        <w:trPr/>
        <w:tc>
          <w:tcPr>
            <w:tcW w:w="826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(12) Check if the aggregate amount in Row (11) excludes certain shares -   </w:t>
            </w:r>
            <w:r>
              <w:rPr>
                <w:rFonts w:ascii="wingdings" w:hAnsi="wingdings"/>
                <w:sz w:val="20"/>
              </w:rPr>
              <w:t>o</w:t>
            </w:r>
          </w:p>
        </w:tc>
        <w:tc>
          <w:tcPr>
            <w:tcW w:w="1837" w:type="dxa"/>
            <w:tcBorders/>
            <w:shd w:fill="FFFFFF" w:val="clear"/>
          </w:tcPr>
          <w:p>
            <w:pPr>
              <w:pStyle w:val="TableContents"/>
              <w:spacing w:before="0" w:after="283"/>
              <w:jc w:val="left"/>
              <w:rPr/>
            </w:pPr>
            <w:r>
              <w:rPr/>
              <w:t> </w:t>
            </w:r>
          </w:p>
        </w:tc>
        <w:tc>
          <w:tcPr>
            <w:tcW w:w="102" w:type="dxa"/>
            <w:tcBorders/>
            <w:shd w:fill="FFFFFF" w:val="clear"/>
          </w:tcPr>
          <w:p>
            <w:pPr>
              <w:pStyle w:val="TableContents"/>
              <w:spacing w:before="0" w:after="0"/>
              <w:ind w:left="0" w:right="0" w:hanging="0"/>
              <w:jc w:val="right"/>
              <w:rPr/>
            </w:pPr>
            <w:r>
              <w:rPr/>
              <w:t> </w:t>
            </w:r>
          </w:p>
        </w:tc>
      </w:tr>
      <w:tr>
        <w:trPr/>
        <w:tc>
          <w:tcPr>
            <w:tcW w:w="10205" w:type="dxa"/>
            <w:gridSpan w:val="3"/>
            <w:tcBorders/>
            <w:shd w:fill="FFFFFF" w:val="clear"/>
          </w:tcPr>
          <w:p>
            <w:pPr>
              <w:pStyle w:val="TableContents"/>
              <w:spacing w:before="0" w:after="283"/>
              <w:jc w:val="left"/>
              <w:rPr/>
            </w:pPr>
            <w:r>
              <w:rPr/>
              <w:t>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(13) Percent of class represented by amount in Row (11):   7.58 percent</w:t>
            </w:r>
          </w:p>
        </w:tc>
      </w:tr>
      <w:tr>
        <w:trPr/>
        <w:tc>
          <w:tcPr>
            <w:tcW w:w="10205" w:type="dxa"/>
            <w:gridSpan w:val="3"/>
            <w:tcBorders/>
            <w:shd w:fill="FFFFFF" w:val="clear"/>
          </w:tcPr>
          <w:p>
            <w:pPr>
              <w:pStyle w:val="TableContents"/>
              <w:spacing w:before="0" w:after="283"/>
              <w:jc w:val="left"/>
              <w:rPr/>
            </w:pPr>
            <w:r>
              <w:rPr/>
              <w:t> </w:t>
            </w:r>
          </w:p>
        </w:tc>
      </w:tr>
      <w:tr>
        <w:trPr/>
        <w:tc>
          <w:tcPr>
            <w:tcW w:w="10205" w:type="dxa"/>
            <w:gridSpan w:val="3"/>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(14) Type of reporting person: IN</w:t>
            </w:r>
          </w:p>
        </w:tc>
      </w:tr>
    </w:tbl>
    <w:p>
      <w:pPr>
        <w:pStyle w:val="TextBody"/>
        <w:spacing w:before="0" w:after="0"/>
        <w:ind w:left="0" w:right="0" w:hanging="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Item 1. Security and Issuer.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Common Stock, $0.001 par value per share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TapImmune, Inc.</w:t>
      </w:r>
    </w:p>
    <w:p>
      <w:pPr>
        <w:pStyle w:val="TextBody"/>
        <w:spacing w:before="0" w:after="0"/>
        <w:ind w:left="0" w:right="0" w:hanging="0"/>
        <w:jc w:val="left"/>
        <w:rPr>
          <w:rFonts w:ascii="Times New Roman" w:hAnsi="Times New Roman"/>
          <w:sz w:val="20"/>
        </w:rPr>
      </w:pPr>
      <w:r>
        <w:rPr>
          <w:rFonts w:ascii="Times New Roman" w:hAnsi="Times New Roman"/>
          <w:sz w:val="20"/>
        </w:rPr>
        <w:t>Suite 100</w:t>
      </w:r>
    </w:p>
    <w:p>
      <w:pPr>
        <w:pStyle w:val="TextBody"/>
        <w:spacing w:before="0" w:after="0"/>
        <w:ind w:left="0" w:right="0" w:hanging="0"/>
        <w:jc w:val="left"/>
        <w:rPr>
          <w:rFonts w:ascii="Times New Roman" w:hAnsi="Times New Roman"/>
          <w:sz w:val="20"/>
        </w:rPr>
      </w:pPr>
      <w:r>
        <w:rPr>
          <w:rFonts w:ascii="Times New Roman" w:hAnsi="Times New Roman"/>
          <w:sz w:val="20"/>
        </w:rPr>
        <w:t>1551 Eastlake Avenue East</w:t>
      </w:r>
    </w:p>
    <w:p>
      <w:pPr>
        <w:pStyle w:val="TextBody"/>
        <w:spacing w:before="0" w:after="0"/>
        <w:ind w:left="0" w:right="0" w:hanging="0"/>
        <w:jc w:val="left"/>
        <w:rPr>
          <w:rFonts w:ascii="Times New Roman" w:hAnsi="Times New Roman"/>
          <w:sz w:val="20"/>
        </w:rPr>
      </w:pPr>
      <w:r>
        <w:rPr>
          <w:rFonts w:ascii="Times New Roman" w:hAnsi="Times New Roman"/>
          <w:sz w:val="20"/>
        </w:rPr>
        <w:t>Seattle, WA 98102</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Item 2. Identity and Background.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Certain information about the reporting person and each director and executive officer of the reporting person is set forth below.</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08"/>
        <w:gridCol w:w="1735"/>
        <w:gridCol w:w="7962"/>
      </w:tblGrid>
      <w:tr>
        <w:trPr/>
        <w:tc>
          <w:tcPr>
            <w:tcW w:w="10205"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Reporting person -</w:t>
            </w:r>
          </w:p>
        </w:tc>
      </w:tr>
      <w:tr>
        <w:trPr/>
        <w:tc>
          <w:tcPr>
            <w:tcW w:w="10205" w:type="dxa"/>
            <w:gridSpan w:val="3"/>
            <w:tcBorders/>
            <w:shd w:fill="auto" w:val="clear"/>
          </w:tcPr>
          <w:p>
            <w:pPr>
              <w:pStyle w:val="TableContents"/>
              <w:spacing w:before="0" w:after="283"/>
              <w:jc w:val="left"/>
              <w:rPr/>
            </w:pPr>
            <w:r>
              <w:rPr/>
              <w:t> </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79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Sailesh C Barchha</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79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Nirvana, Chestnut Avenue, Rickmansworth. Hertfordshire. WD3 4HB. England. UK</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Principal Occupation</w:t>
            </w:r>
          </w:p>
        </w:tc>
        <w:tc>
          <w:tcPr>
            <w:tcW w:w="79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Financial Consultant</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Criminal Convictions</w:t>
            </w:r>
          </w:p>
        </w:tc>
        <w:tc>
          <w:tcPr>
            <w:tcW w:w="79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None</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Civil Proceedings</w:t>
            </w:r>
          </w:p>
        </w:tc>
        <w:tc>
          <w:tcPr>
            <w:tcW w:w="79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None</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Citizenship</w:t>
            </w:r>
          </w:p>
        </w:tc>
        <w:tc>
          <w:tcPr>
            <w:tcW w:w="79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England</w:t>
            </w:r>
          </w:p>
        </w:tc>
      </w:tr>
      <w:tr>
        <w:trPr/>
        <w:tc>
          <w:tcPr>
            <w:tcW w:w="508" w:type="dxa"/>
            <w:tcBorders/>
            <w:shd w:fill="auto" w:val="clear"/>
          </w:tcPr>
          <w:p>
            <w:pPr>
              <w:pStyle w:val="TableContents"/>
              <w:spacing w:before="0" w:after="283"/>
              <w:jc w:val="left"/>
              <w:rPr/>
            </w:pPr>
            <w:r>
              <w:rPr/>
              <w:t xml:space="preserve">  </w:t>
            </w:r>
          </w:p>
        </w:tc>
        <w:tc>
          <w:tcPr>
            <w:tcW w:w="1735" w:type="dxa"/>
            <w:tcBorders/>
            <w:shd w:fill="auto" w:val="clear"/>
          </w:tcPr>
          <w:p>
            <w:pPr>
              <w:pStyle w:val="TableContents"/>
              <w:spacing w:before="0" w:after="283"/>
              <w:jc w:val="left"/>
              <w:rPr/>
            </w:pPr>
            <w:r>
              <w:rPr/>
              <w:t xml:space="preserve">  </w:t>
            </w:r>
          </w:p>
        </w:tc>
        <w:tc>
          <w:tcPr>
            <w:tcW w:w="7962" w:type="dxa"/>
            <w:tcBorders/>
            <w:shd w:fill="auto" w:val="clear"/>
          </w:tcPr>
          <w:p>
            <w:pPr>
              <w:pStyle w:val="TableContents"/>
              <w:spacing w:before="0" w:after="283"/>
              <w:jc w:val="left"/>
              <w:rPr/>
            </w:pPr>
            <w:r>
              <w:rPr/>
              <w:t xml:space="preserve">  </w:t>
            </w:r>
          </w:p>
        </w:tc>
      </w:tr>
      <w:tr>
        <w:trPr/>
        <w:tc>
          <w:tcPr>
            <w:tcW w:w="10205"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Director, principal executive officer, principal financial officer and principal accounting officer of reporting person -</w:t>
            </w:r>
          </w:p>
        </w:tc>
      </w:tr>
      <w:tr>
        <w:trPr/>
        <w:tc>
          <w:tcPr>
            <w:tcW w:w="10205" w:type="dxa"/>
            <w:gridSpan w:val="3"/>
            <w:tcBorders/>
            <w:shd w:fill="auto" w:val="clear"/>
          </w:tcPr>
          <w:p>
            <w:pPr>
              <w:pStyle w:val="TableContents"/>
              <w:spacing w:before="0" w:after="283"/>
              <w:jc w:val="left"/>
              <w:rPr/>
            </w:pPr>
            <w:r>
              <w:rPr/>
              <w:t> </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796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Not applicable</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c>
          <w:tcPr>
            <w:tcW w:w="7962" w:type="dxa"/>
            <w:tcBorders/>
            <w:shd w:fill="auto" w:val="clear"/>
          </w:tcPr>
          <w:p>
            <w:pPr>
              <w:pStyle w:val="TableContents"/>
              <w:spacing w:before="0" w:after="283"/>
              <w:rPr/>
            </w:pPr>
            <w:r>
              <w:rPr/>
              <w:t xml:space="preserve">  </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Principal Occupation</w:t>
            </w:r>
          </w:p>
        </w:tc>
        <w:tc>
          <w:tcPr>
            <w:tcW w:w="7962" w:type="dxa"/>
            <w:tcBorders/>
            <w:shd w:fill="auto" w:val="clear"/>
          </w:tcPr>
          <w:p>
            <w:pPr>
              <w:pStyle w:val="TableContents"/>
              <w:spacing w:before="0" w:after="283"/>
              <w:rPr/>
            </w:pPr>
            <w:r>
              <w:rPr/>
              <w:t xml:space="preserve">  </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Criminal Convictions</w:t>
            </w:r>
          </w:p>
        </w:tc>
        <w:tc>
          <w:tcPr>
            <w:tcW w:w="7962" w:type="dxa"/>
            <w:tcBorders/>
            <w:shd w:fill="auto" w:val="clear"/>
          </w:tcPr>
          <w:p>
            <w:pPr>
              <w:pStyle w:val="TableContents"/>
              <w:spacing w:before="0" w:after="283"/>
              <w:rPr/>
            </w:pPr>
            <w:r>
              <w:rPr/>
              <w:t xml:space="preserve">  </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Civil Proceedings</w:t>
            </w:r>
          </w:p>
        </w:tc>
        <w:tc>
          <w:tcPr>
            <w:tcW w:w="7962" w:type="dxa"/>
            <w:tcBorders/>
            <w:shd w:fill="auto" w:val="clear"/>
          </w:tcPr>
          <w:p>
            <w:pPr>
              <w:pStyle w:val="TableContents"/>
              <w:spacing w:before="0" w:after="283"/>
              <w:rPr/>
            </w:pPr>
            <w:r>
              <w:rPr/>
              <w:t xml:space="preserve">  </w:t>
            </w:r>
          </w:p>
        </w:tc>
      </w:tr>
      <w:tr>
        <w:trPr/>
        <w:tc>
          <w:tcPr>
            <w:tcW w:w="50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w:t>
            </w:r>
          </w:p>
        </w:tc>
        <w:tc>
          <w:tcPr>
            <w:tcW w:w="17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Citizenship</w:t>
            </w:r>
          </w:p>
        </w:tc>
        <w:tc>
          <w:tcPr>
            <w:tcW w:w="7962" w:type="dxa"/>
            <w:tcBorders/>
            <w:shd w:fill="auto" w:val="clear"/>
          </w:tcPr>
          <w:p>
            <w:pPr>
              <w:pStyle w:val="TableContents"/>
              <w:spacing w:before="0" w:after="283"/>
              <w:rPr/>
            </w:pPr>
            <w:r>
              <w:rPr/>
              <w:t xml:space="preserve">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Item 3. Source and Amount of Funds or Other Consideration.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consideration for the issue of the securities is services to be rendered to the issuer under a letter of engagement dated May 8, 2012.</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Item 4. Purpose of Transaction.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securities were issued as compensation for services.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 Not applicable;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 See (g), below;</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(g)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(h)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Not applicable; or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(j) Not applicable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 w:name="GLFT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 w:name="PN"/>
      <w:bookmarkEnd w:id="1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HDR"/>
      <w:bookmarkStart w:id="15" w:name="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 w:name="GLHD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Item 5. Interest in Securities of the Issuer.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See entry (12) on facing sheet for the number and percentage of the class of securities.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 See entry (12) on facing sheet for the number and percentage of the class of securities.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 Not applicable.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Item 6. Contracts, Arrangements, Understandings or Relationships With Respect to Securities of the Issuer.</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 applicable. </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rPr>
      </w:pPr>
      <w:r>
        <w:rPr>
          <w:rFonts w:ascii="Times New Roman" w:hAnsi="Times New Roman"/>
          <w:b/>
          <w:i/>
          <w:sz w:val="20"/>
        </w:rPr>
        <w:t>Item 7. Exhibits.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2648"/>
        <w:gridCol w:w="7161"/>
        <w:gridCol w:w="396"/>
      </w:tblGrid>
      <w:tr>
        <w:trPr/>
        <w:tc>
          <w:tcPr>
            <w:tcW w:w="264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Rule 13d–1(k) agreement</w:t>
            </w:r>
          </w:p>
        </w:tc>
        <w:tc>
          <w:tcPr>
            <w:tcW w:w="71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None</w:t>
            </w:r>
          </w:p>
        </w:tc>
        <w:tc>
          <w:tcPr>
            <w:tcW w:w="396" w:type="dxa"/>
            <w:tcBorders/>
            <w:shd w:fill="auto" w:val="clear"/>
          </w:tcPr>
          <w:p>
            <w:pPr>
              <w:pStyle w:val="TableContents"/>
              <w:spacing w:before="0" w:after="283"/>
              <w:jc w:val="left"/>
              <w:rPr/>
            </w:pPr>
            <w:r>
              <w:rPr/>
              <w:t xml:space="preserve">  </w:t>
            </w:r>
          </w:p>
        </w:tc>
      </w:tr>
      <w:tr>
        <w:trPr/>
        <w:tc>
          <w:tcPr>
            <w:tcW w:w="2648" w:type="dxa"/>
            <w:tcBorders/>
            <w:shd w:fill="auto" w:val="clear"/>
          </w:tcPr>
          <w:p>
            <w:pPr>
              <w:pStyle w:val="TableContents"/>
              <w:spacing w:before="0" w:after="283"/>
              <w:jc w:val="left"/>
              <w:rPr/>
            </w:pPr>
            <w:r>
              <w:rPr/>
              <w:t xml:space="preserve">  </w:t>
            </w:r>
          </w:p>
        </w:tc>
        <w:tc>
          <w:tcPr>
            <w:tcW w:w="7161" w:type="dxa"/>
            <w:tcBorders/>
            <w:shd w:fill="auto" w:val="clear"/>
          </w:tcPr>
          <w:p>
            <w:pPr>
              <w:pStyle w:val="TableContents"/>
              <w:spacing w:before="0" w:after="283"/>
              <w:jc w:val="left"/>
              <w:rPr/>
            </w:pPr>
            <w:r>
              <w:rPr/>
              <w:t xml:space="preserve">  </w:t>
            </w:r>
          </w:p>
        </w:tc>
        <w:tc>
          <w:tcPr>
            <w:tcW w:w="396" w:type="dxa"/>
            <w:tcBorders/>
            <w:shd w:fill="auto" w:val="clear"/>
          </w:tcPr>
          <w:p>
            <w:pPr>
              <w:pStyle w:val="TableContents"/>
              <w:spacing w:before="0" w:after="283"/>
              <w:jc w:val="left"/>
              <w:rPr/>
            </w:pPr>
            <w:r>
              <w:rPr/>
              <w:t xml:space="preserve">  </w:t>
            </w:r>
          </w:p>
        </w:tc>
      </w:tr>
      <w:tr>
        <w:trPr/>
        <w:tc>
          <w:tcPr>
            <w:tcW w:w="2648" w:type="dxa"/>
            <w:tcBorders/>
            <w:shd w:fill="CCEEFF" w:val="clear"/>
          </w:tcPr>
          <w:p>
            <w:pPr>
              <w:pStyle w:val="TableContents"/>
              <w:spacing w:before="0" w:after="0"/>
              <w:ind w:left="0" w:right="0" w:hanging="0"/>
              <w:jc w:val="left"/>
              <w:rPr/>
            </w:pPr>
            <w:r>
              <w:rPr/>
              <w:t>       </w:t>
            </w:r>
            <w:r>
              <w:rPr>
                <w:rFonts w:ascii="times new roman" w:hAnsi="times new roman"/>
                <w:sz w:val="20"/>
              </w:rPr>
              <w:t>(2)</w:t>
            </w:r>
          </w:p>
        </w:tc>
        <w:tc>
          <w:tcPr>
            <w:tcW w:w="7161"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Engagement of Consulting Services Agreement dated as of May 8, 2012</w:t>
            </w:r>
          </w:p>
        </w:tc>
        <w:tc>
          <w:tcPr>
            <w:tcW w:w="396" w:type="dxa"/>
            <w:tcBorders/>
            <w:shd w:fill="CCEEFF" w:val="clear"/>
          </w:tcPr>
          <w:p>
            <w:pPr>
              <w:pStyle w:val="TableContents"/>
              <w:spacing w:before="0" w:after="283"/>
              <w:jc w:val="left"/>
              <w:rPr/>
            </w:pPr>
            <w:r>
              <w:rPr/>
              <w:t xml:space="preserve">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serif" w:hAnsi="Times New Roman;serif"/>
          <w:b/>
          <w:i/>
          <w:sz w:val="26"/>
        </w:rPr>
      </w:pPr>
      <w:r>
        <w:rPr>
          <w:rFonts w:ascii="Times New Roman;serif" w:hAnsi="Times New Roman;serif"/>
          <w:b/>
          <w:i/>
          <w:sz w:val="26"/>
        </w:rPr>
        <w:t>Signature</w:t>
      </w:r>
    </w:p>
    <w:p>
      <w:pPr>
        <w:pStyle w:val="TextBody"/>
        <w:spacing w:before="0" w:after="0"/>
        <w:ind w:left="0" w:right="0" w:hanging="0"/>
        <w:jc w:val="center"/>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firstLine="72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February 25th  2013</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Sailesh C Barchha</w:t>
      </w:r>
    </w:p>
    <w:p>
      <w:pPr>
        <w:pStyle w:val="TextBody"/>
        <w:spacing w:before="0" w:after="0"/>
        <w:ind w:left="0" w:right="0" w:hanging="0"/>
        <w:jc w:val="left"/>
        <w:rPr>
          <w:rFonts w:ascii="Times New Roman" w:hAnsi="Times New Roman"/>
          <w:sz w:val="20"/>
        </w:rPr>
      </w:pPr>
      <w:r>
        <w:rPr>
          <w:rFonts w:ascii="Times New Roman" w:hAnsi="Times New Roman"/>
          <w:sz w:val="20"/>
        </w:rPr>
        <w:t>Sailesh C. Barchha</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 w:name="PGBRK1"/>
      <w:bookmarkStart w:id="18" w:name="PGBRK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bookmarkStart w:id="19" w:name="HDR1"/>
      <w:bookmarkEnd w:id="1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 w:name="sc13dsaileshex2.htm"/>
      <w:bookmarkStart w:id="21" w:name="kssc13dsaileshex2"/>
      <w:bookmarkEnd w:id="20"/>
      <w:bookmarkEnd w:id="21"/>
      <w:r>
        <w:rPr/>
        <w:t>Exhibit (2)</w:t>
      </w:r>
    </w:p>
    <w:p>
      <w:pPr>
        <w:pStyle w:val="TextBody"/>
        <w:spacing w:before="0" w:after="0"/>
        <w:rPr/>
      </w:pPr>
      <w:r>
        <w:rPr/>
        <w:t> </w:t>
      </w:r>
    </w:p>
    <w:p>
      <w:pPr>
        <w:pStyle w:val="TextBody"/>
        <w:spacing w:before="0" w:after="0"/>
        <w:rPr/>
      </w:pPr>
      <w:r>
        <w:rPr/>
        <w:t> </w:t>
      </w:r>
    </w:p>
    <w:p>
      <w:pPr>
        <w:pStyle w:val="TextBody"/>
        <w:spacing w:before="0" w:after="0"/>
        <w:rPr/>
      </w:pPr>
      <w:r>
        <w:rPr/>
        <w:drawing>
          <wp:inline distT="0" distB="0" distL="0" distR="0">
            <wp:extent cx="5829300" cy="7524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29300" cy="7524750"/>
                    </a:xfrm>
                    <a:prstGeom prst="rect">
                      <a:avLst/>
                    </a:prstGeom>
                  </pic:spPr>
                </pic:pic>
              </a:graphicData>
            </a:graphic>
          </wp:inline>
        </w:drawing>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 w:name="PGBRK2"/>
      <w:bookmarkStart w:id="23" w:name="PGBRK2"/>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FTR1"/>
      <w:bookmarkStart w:id="25" w:name="FT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 w:name="GLFTR1"/>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 w:name="PN1"/>
      <w:bookmarkEnd w:id="2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 w:name="HDR2"/>
      <w:bookmarkStart w:id="29" w:name="HD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 w:name="GLHDR1"/>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drawing>
          <wp:inline distT="0" distB="0" distL="0" distR="0">
            <wp:extent cx="5638800" cy="766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38800" cy="7667625"/>
                    </a:xfrm>
                    <a:prstGeom prst="rect">
                      <a:avLst/>
                    </a:prstGeom>
                  </pic:spPr>
                </pic:pic>
              </a:graphicData>
            </a:graphic>
          </wp:inline>
        </w:drawing>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31" w:name="PGBRK3"/>
      <w:bookmarkStart w:id="32" w:name="PGBRK3"/>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2"/>
      <w:bookmarkStart w:id="34" w:name="FTR2"/>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 w:name="GLFTR2"/>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 w:name="PN2"/>
      <w:bookmarkEnd w:id="3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HDR3"/>
      <w:bookmarkStart w:id="38" w:name="HD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 w:name="GLHDR2"/>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drawing>
          <wp:inline distT="0" distB="0" distL="0" distR="0">
            <wp:extent cx="5638800" cy="772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38800" cy="7724775"/>
                    </a:xfrm>
                    <a:prstGeom prst="rect">
                      <a:avLst/>
                    </a:prstGeom>
                  </pic:spPr>
                </pic:pic>
              </a:graphicData>
            </a:graphic>
          </wp:inline>
        </w:drawing>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0" w:name="PGBRK4"/>
      <w:bookmarkStart w:id="41" w:name="PGBRK4"/>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FTR3"/>
      <w:bookmarkStart w:id="43" w:name="FTR3"/>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 w:name="GLFTR3"/>
      <w:bookmarkEnd w:id="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 w:name="PN3"/>
      <w:bookmarkEnd w:id="4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HDR4"/>
      <w:bookmarkStart w:id="47" w:name="HDR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 w:name="GLHDR3"/>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drawing>
          <wp:inline distT="0" distB="0" distL="0" distR="0">
            <wp:extent cx="5810250" cy="787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10250" cy="7877175"/>
                    </a:xfrm>
                    <a:prstGeom prst="rect">
                      <a:avLst/>
                    </a:prstGeom>
                  </pic:spPr>
                </pic:pic>
              </a:graphicData>
            </a:graphic>
          </wp:inline>
        </w:drawing>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49" w:name="PGBRK5"/>
      <w:bookmarkStart w:id="50" w:name="PGBRK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4"/>
      <w:bookmarkStart w:id="52" w:name="FTR4"/>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4"/>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 w:name="PN4"/>
      <w:bookmarkEnd w:id="5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5"/>
      <w:bookmarkStart w:id="56" w:name="HD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4"/>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drawing>
          <wp:inline distT="0" distB="0" distL="0" distR="0">
            <wp:extent cx="5562600" cy="7429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562600" cy="7429500"/>
                    </a:xfrm>
                    <a:prstGeom prst="rect">
                      <a:avLst/>
                    </a:prstGeom>
                  </pic:spPr>
                </pic:pic>
              </a:graphicData>
            </a:graphic>
          </wp:inline>
        </w:drawing>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58" w:name="PGBRK6"/>
      <w:bookmarkStart w:id="59" w:name="PGBRK6"/>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5"/>
      <w:bookmarkStart w:id="61" w:name="FTR5"/>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5"/>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3" w:name="PN5"/>
      <w:bookmarkEnd w:id="6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6"/>
      <w:bookmarkStart w:id="65" w:name="HDR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5"/>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drawing>
          <wp:inline distT="0" distB="0" distL="0" distR="0">
            <wp:extent cx="5457825" cy="7362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457825" cy="7362825"/>
                    </a:xfrm>
                    <a:prstGeom prst="rect">
                      <a:avLst/>
                    </a:prstGeom>
                  </pic:spPr>
                </pic:pic>
              </a:graphicData>
            </a:graphic>
          </wp:inline>
        </w:drawing>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67" w:name="PGBRK7"/>
      <w:bookmarkStart w:id="68" w:name="PGBRK7"/>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6"/>
      <w:bookmarkStart w:id="70" w:name="FTR6"/>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 w:name="GLFTR6"/>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 w:name="PN6"/>
      <w:bookmarkEnd w:id="7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7"/>
      <w:bookmarkStart w:id="74" w:name="HDR7"/>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 w:name="GLHDR6"/>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drawing>
          <wp:inline distT="0" distB="0" distL="0" distR="0">
            <wp:extent cx="5791200" cy="7705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91200" cy="7705725"/>
                    </a:xfrm>
                    <a:prstGeom prst="rect">
                      <a:avLst/>
                    </a:prstGeom>
                  </pic:spPr>
                </pic:pic>
              </a:graphicData>
            </a:graphic>
          </wp:inline>
        </w:drawing>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76" w:name="PGBRK8"/>
      <w:bookmarkStart w:id="77" w:name="PGBRK8"/>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8" w:name="FTR7"/>
      <w:bookmarkStart w:id="79" w:name="FTR7"/>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 w:name="GLFTR7"/>
      <w:bookmarkEnd w:id="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1" w:name="PN7"/>
      <w:bookmarkEnd w:id="8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 w:name="HDR8"/>
      <w:bookmarkStart w:id="83" w:name="HDR8"/>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 w:name="GLHDR7"/>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drawing>
          <wp:inline distT="0" distB="0" distL="0" distR="0">
            <wp:extent cx="5810250" cy="7524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810250" cy="7524750"/>
                    </a:xfrm>
                    <a:prstGeom prst="rect">
                      <a:avLst/>
                    </a:prstGeom>
                  </pic:spPr>
                </pic:pic>
              </a:graphicData>
            </a:graphic>
          </wp:inline>
        </w:drawing>
      </w:r>
    </w:p>
    <w:p>
      <w:pPr>
        <w:pStyle w:val="TextBody"/>
        <w:spacing w:before="0" w:after="0"/>
        <w:rPr/>
      </w:pPr>
      <w:r>
        <w:rPr/>
        <w:t> </w:t>
      </w:r>
    </w:p>
    <w:p>
      <w:pPr>
        <w:pStyle w:val="HorizontalLine"/>
        <w:pBdr>
          <w:bottom w:val="single" w:sz="6" w:space="0" w:color="808080"/>
        </w:pBdr>
        <w:rPr/>
      </w:pPr>
      <w:r>
        <w:rPr/>
      </w:r>
    </w:p>
    <w:p>
      <w:pPr>
        <w:pStyle w:val="HorizontalLine"/>
        <w:pBdr>
          <w:bottom w:val="single" w:sz="24" w:space="0" w:color="808080"/>
        </w:pBdr>
        <w:spacing w:before="0" w:after="283"/>
        <w:rPr/>
      </w:pPr>
      <w:r>
        <w:rPr/>
      </w:r>
    </w:p>
    <w:sectPr>
      <w:type w:val="continuous"/>
      <w:pgSz w:w="11906" w:h="16838"/>
      <w:pgMar w:left="1134" w:right="567" w:header="0" w:top="567" w:footer="0" w:bottom="567" w:gutter="0"/>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592</Words>
  <CharactersWithSpaces>3857</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