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left="2180"/>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0"/>
          <w:szCs w:val="20"/>
          <w:color w:val="auto"/>
        </w:rPr>
      </w:pPr>
    </w:p>
    <w:p>
      <w:pPr>
        <w:jc w:val="center"/>
        <w:ind w:left="2180"/>
        <w:spacing w:after="0"/>
        <w:rPr>
          <w:sz w:val="20"/>
          <w:szCs w:val="20"/>
          <w:color w:val="auto"/>
        </w:rPr>
      </w:pPr>
      <w:r>
        <w:rPr>
          <w:rFonts w:ascii="Arial" w:cs="Arial" w:eastAsia="Arial" w:hAnsi="Arial"/>
          <w:sz w:val="21"/>
          <w:szCs w:val="21"/>
          <w:b w:val="1"/>
          <w:bCs w:val="1"/>
          <w:color w:val="auto"/>
        </w:rPr>
        <w:t>SECURITIES AND EXCHANGE COMMISSION</w:t>
      </w:r>
    </w:p>
    <w:p>
      <w:pPr>
        <w:spacing w:after="0" w:line="2" w:lineRule="exact"/>
        <w:rPr>
          <w:sz w:val="20"/>
          <w:szCs w:val="20"/>
          <w:color w:val="auto"/>
        </w:rPr>
      </w:pPr>
    </w:p>
    <w:p>
      <w:pPr>
        <w:jc w:val="center"/>
        <w:ind w:left="2180"/>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left="2180"/>
        <w:spacing w:after="0"/>
        <w:rPr>
          <w:sz w:val="20"/>
          <w:szCs w:val="20"/>
          <w:color w:val="auto"/>
        </w:rPr>
      </w:pPr>
      <w:r>
        <w:rPr>
          <w:rFonts w:ascii="Arial" w:cs="Arial" w:eastAsia="Arial" w:hAnsi="Arial"/>
          <w:sz w:val="32"/>
          <w:szCs w:val="32"/>
          <w:b w:val="1"/>
          <w:bCs w:val="1"/>
          <w:color w:val="auto"/>
        </w:rPr>
        <w:t>FORM 12b-25</w:t>
      </w:r>
    </w:p>
    <w:p>
      <w:pPr>
        <w:spacing w:after="0" w:line="226"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auto"/>
        </w:rPr>
        <w:t>NOTIFICATION OF LATE FILING</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OMB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-139065</wp:posOffset>
            </wp:positionV>
            <wp:extent cx="1449070" cy="7118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711835"/>
                    </a:xfrm>
                    <a:prstGeom prst="rect">
                      <a:avLst/>
                    </a:prstGeom>
                    <a:noFill/>
                  </pic:spPr>
                </pic:pic>
              </a:graphicData>
            </a:graphic>
          </wp:anchor>
        </w:drawing>
      </w:r>
    </w:p>
    <w:p>
      <w:pPr>
        <w:spacing w:after="0" w:line="3"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color w:val="auto"/>
        </w:rPr>
        <w:t>OMB Number: 3235-0058 Expires: March 31, 2006 Estimated average burden hours per response 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-7620</wp:posOffset>
            </wp:positionV>
            <wp:extent cx="1449070" cy="720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9070" cy="720090"/>
                    </a:xfrm>
                    <a:prstGeom prst="rect">
                      <a:avLst/>
                    </a:prstGeom>
                    <a:noFill/>
                  </pic:spPr>
                </pic:pic>
              </a:graphicData>
            </a:graphic>
          </wp:anchor>
        </w:drawing>
      </w:r>
    </w:p>
    <w:p>
      <w:pPr>
        <w:spacing w:after="0" w:line="18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SEC FILE NUMBER</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CUSIP NUMBER</w:t>
      </w:r>
    </w:p>
    <w:p>
      <w:pPr>
        <w:spacing w:after="0" w:line="200" w:lineRule="exact"/>
        <w:rPr>
          <w:sz w:val="20"/>
          <w:szCs w:val="20"/>
          <w:color w:val="auto"/>
        </w:rPr>
      </w:pPr>
    </w:p>
    <w:p>
      <w:pPr>
        <w:sectPr>
          <w:pgSz w:w="11900" w:h="16838" w:orient="portrait"/>
          <w:cols w:equalWidth="0" w:num="2">
            <w:col w:w="8560" w:space="720"/>
            <w:col w:w="2140"/>
          </w:cols>
          <w:pgMar w:left="240" w:top="841" w:right="23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spacing w:after="0" w:line="207" w:lineRule="exact"/>
        <w:tabs>
          <w:tab w:leader="none" w:pos="2120" w:val="left"/>
        </w:tabs>
        <w:rPr>
          <w:sz w:val="20"/>
          <w:szCs w:val="20"/>
          <w:color w:val="auto"/>
        </w:rPr>
      </w:pPr>
      <w:r>
        <w:rPr>
          <w:rFonts w:ascii="Arial" w:cs="Arial" w:eastAsia="Arial" w:hAnsi="Arial"/>
          <w:sz w:val="18"/>
          <w:szCs w:val="18"/>
          <w:i w:val="1"/>
          <w:iCs w:val="1"/>
          <w:color w:val="auto"/>
        </w:rPr>
        <w:t xml:space="preserve">(Check one): </w:t>
      </w:r>
      <w:r>
        <w:rPr>
          <w:rFonts w:ascii="MS PGothic" w:cs="MS PGothic" w:eastAsia="MS PGothic" w:hAnsi="MS PGothic"/>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Form 20-F</w:t>
      </w:r>
      <w:r>
        <w:rPr>
          <w:rFonts w:ascii="MS PGothic" w:cs="MS PGothic" w:eastAsia="MS PGothic" w:hAnsi="MS PGothic"/>
          <w:sz w:val="17"/>
          <w:szCs w:val="17"/>
          <w:color w:val="auto"/>
        </w:rPr>
        <w:t xml:space="preserve">  ☐ </w:t>
      </w:r>
      <w:r>
        <w:rPr>
          <w:rFonts w:ascii="Arial" w:cs="Arial" w:eastAsia="Arial" w:hAnsi="Arial"/>
          <w:sz w:val="17"/>
          <w:szCs w:val="17"/>
          <w:color w:val="auto"/>
        </w:rPr>
        <w:t>Form 11-K</w:t>
      </w:r>
      <w:r>
        <w:rPr>
          <w:rFonts w:ascii="MS PGothic" w:cs="MS PGothic" w:eastAsia="MS PGothic" w:hAnsi="MS PGothic"/>
          <w:sz w:val="17"/>
          <w:szCs w:val="17"/>
          <w:color w:val="auto"/>
        </w:rPr>
        <w:t xml:space="preserve">  ☒ </w:t>
      </w:r>
      <w:r>
        <w:rPr>
          <w:rFonts w:ascii="Arial" w:cs="Arial" w:eastAsia="Arial" w:hAnsi="Arial"/>
          <w:sz w:val="17"/>
          <w:szCs w:val="17"/>
          <w:color w:val="auto"/>
        </w:rPr>
        <w:t>Form 10-Q</w:t>
      </w:r>
      <w:r>
        <w:rPr>
          <w:rFonts w:ascii="MS PGothic" w:cs="MS PGothic" w:eastAsia="MS PGothic" w:hAnsi="MS PGothic"/>
          <w:sz w:val="17"/>
          <w:szCs w:val="17"/>
          <w:color w:val="auto"/>
        </w:rPr>
        <w:t xml:space="preserve">  ☐ </w:t>
      </w:r>
      <w:r>
        <w:rPr>
          <w:rFonts w:ascii="Arial" w:cs="Arial" w:eastAsia="Arial" w:hAnsi="Arial"/>
          <w:sz w:val="17"/>
          <w:szCs w:val="17"/>
          <w:color w:val="auto"/>
        </w:rPr>
        <w:t>Form 10-D</w:t>
      </w:r>
      <w:r>
        <w:rPr>
          <w:rFonts w:ascii="MS PGothic" w:cs="MS PGothic" w:eastAsia="MS PGothic" w:hAnsi="MS PGothic"/>
          <w:sz w:val="17"/>
          <w:szCs w:val="17"/>
          <w:color w:val="auto"/>
        </w:rPr>
        <w:t xml:space="preserve">  ☐ </w:t>
      </w:r>
      <w:r>
        <w:rPr>
          <w:rFonts w:ascii="Arial" w:cs="Arial" w:eastAsia="Arial" w:hAnsi="Arial"/>
          <w:sz w:val="17"/>
          <w:szCs w:val="17"/>
          <w:color w:val="auto"/>
        </w:rPr>
        <w:t>Form N-SAR</w:t>
      </w:r>
      <w:r>
        <w:rPr>
          <w:rFonts w:ascii="MS PGothic" w:cs="MS PGothic" w:eastAsia="MS PGothic" w:hAnsi="MS PGothic"/>
          <w:sz w:val="17"/>
          <w:szCs w:val="17"/>
          <w:color w:val="auto"/>
        </w:rPr>
        <w:t xml:space="preserve">  ☐ </w:t>
      </w:r>
      <w:r>
        <w:rPr>
          <w:rFonts w:ascii="Arial" w:cs="Arial" w:eastAsia="Arial" w:hAnsi="Arial"/>
          <w:sz w:val="17"/>
          <w:szCs w:val="17"/>
          <w:color w:val="auto"/>
        </w:rPr>
        <w:t>Form N-CSR</w:t>
      </w:r>
    </w:p>
    <w:p>
      <w:pPr>
        <w:spacing w:after="0" w:line="15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For Period Ended: </w:t>
      </w:r>
      <w:r>
        <w:rPr>
          <w:rFonts w:ascii="Arial" w:cs="Arial" w:eastAsia="Arial" w:hAnsi="Arial"/>
          <w:sz w:val="18"/>
          <w:szCs w:val="18"/>
          <w:u w:val="single" w:color="auto"/>
          <w:color w:val="auto"/>
        </w:rPr>
        <w:t>June 30, 2005</w:t>
      </w:r>
    </w:p>
    <w:p>
      <w:pPr>
        <w:spacing w:after="0" w:line="18" w:lineRule="exact"/>
        <w:rPr>
          <w:sz w:val="20"/>
          <w:szCs w:val="20"/>
          <w:color w:val="auto"/>
        </w:rPr>
      </w:pPr>
    </w:p>
    <w:p>
      <w:pPr>
        <w:ind w:left="900" w:hanging="207"/>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15" w:lineRule="exact"/>
        <w:rPr>
          <w:rFonts w:ascii="MS PGothic" w:cs="MS PGothic" w:eastAsia="MS PGothic" w:hAnsi="MS PGothic"/>
          <w:sz w:val="18"/>
          <w:szCs w:val="18"/>
          <w:color w:val="auto"/>
        </w:rPr>
      </w:pPr>
    </w:p>
    <w:p>
      <w:pPr>
        <w:ind w:left="900" w:hanging="207"/>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900" w:hanging="207"/>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900" w:hanging="207"/>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9" w:lineRule="exact"/>
        <w:rPr>
          <w:rFonts w:ascii="MS PGothic" w:cs="MS PGothic" w:eastAsia="MS PGothic" w:hAnsi="MS PGothic"/>
          <w:sz w:val="18"/>
          <w:szCs w:val="18"/>
          <w:color w:val="auto"/>
        </w:rPr>
      </w:pPr>
    </w:p>
    <w:p>
      <w:pPr>
        <w:ind w:left="700" w:right="8000" w:hanging="7"/>
        <w:spacing w:after="0" w:line="321" w:lineRule="auto"/>
        <w:tabs>
          <w:tab w:leader="none" w:pos="90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Transition Report on Form N-SAR For the Transition Period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250430" cy="295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5910"/>
                    </a:xfrm>
                    <a:prstGeom prst="rect">
                      <a:avLst/>
                    </a:prstGeom>
                    <a:noFill/>
                  </pic:spPr>
                </pic:pic>
              </a:graphicData>
            </a:graphic>
          </wp:anchor>
        </w:drawing>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Read Instruction (on back page) Before Preparing Form. Please Print or Type.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REGISTRANT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GENEMAX CORP.</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Full Name of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Former Name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1681 Chestnut Street, Suite 400</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Address of Principal Executive Office </w:t>
      </w:r>
      <w:r>
        <w:rPr>
          <w:rFonts w:ascii="Arial" w:cs="Arial" w:eastAsia="Arial" w:hAnsi="Arial"/>
          <w:sz w:val="18"/>
          <w:szCs w:val="18"/>
          <w:i w:val="1"/>
          <w:iCs w:val="1"/>
          <w:color w:val="auto"/>
        </w:rPr>
        <w:t>(Street and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Vancouver, British Columbia, Canada</w:t>
            </w:r>
          </w:p>
        </w:tc>
        <w:tc>
          <w:tcPr>
            <w:tcW w:w="84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V6J 4M6</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City, State and Zip Code</w:t>
            </w:r>
          </w:p>
        </w:tc>
        <w:tc>
          <w:tcPr>
            <w:tcW w:w="8420" w:type="dxa"/>
            <w:vAlign w:val="bottom"/>
          </w:tcPr>
          <w:p>
            <w:pPr>
              <w:spacing w:after="0"/>
              <w:rPr>
                <w:sz w:val="20"/>
                <w:szCs w:val="20"/>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RULES 12B-25(b) AND (c)</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70" w:lineRule="exact"/>
        <w:rPr>
          <w:sz w:val="20"/>
          <w:szCs w:val="20"/>
          <w:color w:val="auto"/>
        </w:rPr>
      </w:pPr>
    </w:p>
    <w:p>
      <w:pPr>
        <w:ind w:left="1400" w:hanging="244"/>
        <w:spacing w:after="0"/>
        <w:tabs>
          <w:tab w:leader="none" w:pos="1400"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reason described in reasonable detail in Part III of this form could not be eliminated without unreasonable effort or expense</w:t>
      </w:r>
    </w:p>
    <w:p>
      <w:pPr>
        <w:spacing w:after="0" w:line="236" w:lineRule="exact"/>
        <w:rPr>
          <w:rFonts w:ascii="Arial" w:cs="Arial" w:eastAsia="Arial" w:hAnsi="Arial"/>
          <w:sz w:val="17"/>
          <w:szCs w:val="17"/>
          <w:color w:val="auto"/>
        </w:rPr>
      </w:pPr>
    </w:p>
    <w:p>
      <w:pPr>
        <w:ind w:left="1420" w:hanging="264"/>
        <w:spacing w:after="0"/>
        <w:tabs>
          <w:tab w:leader="none" w:pos="1420"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subject annual report, semi-annual report, transition report on Form 10-K, Form 20-F, Form 11-K, Form N-SAR or Form N-CSR, or</w:t>
      </w:r>
    </w:p>
    <w:p>
      <w:pPr>
        <w:spacing w:after="0" w:line="46" w:lineRule="exact"/>
        <w:rPr>
          <w:rFonts w:ascii="Arial" w:cs="Arial" w:eastAsia="Arial" w:hAnsi="Arial"/>
          <w:sz w:val="16"/>
          <w:szCs w:val="16"/>
          <w:color w:val="auto"/>
        </w:rPr>
      </w:pPr>
    </w:p>
    <w:p>
      <w:pPr>
        <w:ind w:left="1160" w:right="40" w:hanging="828"/>
        <w:spacing w:after="0" w:line="201" w:lineRule="auto"/>
        <w:tabs>
          <w:tab w:leader="none" w:pos="1160"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18"/>
          <w:szCs w:val="18"/>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201" w:lineRule="exact"/>
        <w:rPr>
          <w:rFonts w:ascii="MS PGothic" w:cs="MS PGothic" w:eastAsia="MS PGothic" w:hAnsi="MS PGothic"/>
          <w:sz w:val="36"/>
          <w:szCs w:val="36"/>
          <w:color w:val="auto"/>
          <w:vertAlign w:val="subscript"/>
        </w:rPr>
      </w:pPr>
    </w:p>
    <w:p>
      <w:pPr>
        <w:ind w:left="1400" w:hanging="244"/>
        <w:spacing w:after="0"/>
        <w:tabs>
          <w:tab w:leader="none" w:pos="1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-1082040</wp:posOffset>
            </wp:positionV>
            <wp:extent cx="8890" cy="10979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09791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 – NARRATIVE</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State below in reasonable detail why Forms 10-K, 20-F, 11-K, 10-Q, 10-D, N-SAR, N-CSR, or the transition report or portion thereof, could not be filed within the prescribed time period.</w:t>
      </w:r>
    </w:p>
    <w:p>
      <w:pPr>
        <w:spacing w:after="0" w:line="62" w:lineRule="exact"/>
        <w:rPr>
          <w:sz w:val="20"/>
          <w:szCs w:val="20"/>
          <w:color w:val="auto"/>
        </w:rPr>
      </w:pPr>
    </w:p>
    <w:p>
      <w:pPr>
        <w:ind w:right="340" w:firstLine="222"/>
        <w:spacing w:after="0" w:line="264" w:lineRule="auto"/>
        <w:rPr>
          <w:sz w:val="20"/>
          <w:szCs w:val="20"/>
          <w:color w:val="auto"/>
        </w:rPr>
      </w:pPr>
      <w:r>
        <w:rPr>
          <w:rFonts w:ascii="Arial" w:cs="Arial" w:eastAsia="Arial" w:hAnsi="Arial"/>
          <w:sz w:val="18"/>
          <w:szCs w:val="18"/>
          <w:color w:val="auto"/>
        </w:rPr>
        <w:t>The Company encountered an unexpected delay in preparing its financial statements for the period. Due to the delay in preparation of the financial statements, and without incurring unreasonable effort or expense, the Company was unable to provide sufficient time for its auditors to review the subject report. The Company plans to file the subject report on or before August 20, 2005.</w:t>
      </w:r>
    </w:p>
    <w:p>
      <w:pPr>
        <w:spacing w:after="0" w:line="177" w:lineRule="exact"/>
        <w:rPr>
          <w:sz w:val="20"/>
          <w:szCs w:val="20"/>
          <w:color w:val="auto"/>
        </w:rPr>
      </w:pPr>
    </w:p>
    <w:p>
      <w:pPr>
        <w:ind w:left="1440" w:right="340" w:hanging="1431"/>
        <w:spacing w:after="0" w:line="282" w:lineRule="auto"/>
        <w:rPr>
          <w:sz w:val="20"/>
          <w:szCs w:val="20"/>
          <w:color w:val="auto"/>
        </w:rPr>
      </w:pPr>
      <w:r>
        <w:rPr>
          <w:rFonts w:ascii="Arial" w:cs="Arial" w:eastAsia="Arial" w:hAnsi="Arial"/>
          <w:sz w:val="18"/>
          <w:szCs w:val="18"/>
          <w:color w:val="auto"/>
        </w:rPr>
        <w:t xml:space="preserve">SEC 1344 (03-05) </w:t>
      </w:r>
      <w:r>
        <w:rPr>
          <w:rFonts w:ascii="Arial" w:cs="Arial" w:eastAsia="Arial" w:hAnsi="Arial"/>
          <w:sz w:val="18"/>
          <w:szCs w:val="18"/>
          <w:b w:val="1"/>
          <w:bCs w:val="1"/>
          <w:color w:val="auto"/>
        </w:rPr>
        <w:t>Persons who are to respond to the collection of information contained in this form are not required to respond unless the form</w:t>
      </w:r>
      <w:r>
        <w:rPr>
          <w:rFonts w:ascii="Arial" w:cs="Arial" w:eastAsia="Arial" w:hAnsi="Arial"/>
          <w:sz w:val="18"/>
          <w:szCs w:val="18"/>
          <w:color w:val="auto"/>
        </w:rPr>
        <w:t xml:space="preserve"> </w:t>
      </w:r>
      <w:r>
        <w:rPr>
          <w:rFonts w:ascii="Arial" w:cs="Arial" w:eastAsia="Arial" w:hAnsi="Arial"/>
          <w:sz w:val="18"/>
          <w:szCs w:val="18"/>
          <w:b w:val="1"/>
          <w:bCs w:val="1"/>
          <w:color w:val="auto"/>
        </w:rPr>
        <w:t>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IV –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 Name and telephone number of person to contact in regard to this notification</w:t>
      </w:r>
    </w:p>
    <w:p>
      <w:pPr>
        <w:spacing w:after="0" w:line="225"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3420" w:type="dxa"/>
            <w:vAlign w:val="bottom"/>
          </w:tcPr>
          <w:p>
            <w:pPr>
              <w:jc w:val="center"/>
              <w:spacing w:after="0"/>
              <w:rPr>
                <w:sz w:val="20"/>
                <w:szCs w:val="20"/>
                <w:color w:val="auto"/>
              </w:rPr>
            </w:pPr>
            <w:r>
              <w:rPr>
                <w:rFonts w:ascii="Arial" w:cs="Arial" w:eastAsia="Arial" w:hAnsi="Arial"/>
                <w:sz w:val="18"/>
                <w:szCs w:val="18"/>
                <w:color w:val="auto"/>
                <w:w w:val="89"/>
              </w:rPr>
              <w:t>Robert P. Attai, Esq.</w:t>
            </w:r>
          </w:p>
        </w:tc>
        <w:tc>
          <w:tcPr>
            <w:tcW w:w="3540" w:type="dxa"/>
            <w:vAlign w:val="bottom"/>
            <w:gridSpan w:val="2"/>
          </w:tcPr>
          <w:p>
            <w:pPr>
              <w:jc w:val="right"/>
              <w:ind w:right="1130"/>
              <w:spacing w:after="0"/>
              <w:rPr>
                <w:sz w:val="20"/>
                <w:szCs w:val="20"/>
                <w:color w:val="auto"/>
              </w:rPr>
            </w:pPr>
            <w:r>
              <w:rPr>
                <w:rFonts w:ascii="Arial" w:cs="Arial" w:eastAsia="Arial" w:hAnsi="Arial"/>
                <w:sz w:val="18"/>
                <w:szCs w:val="18"/>
                <w:color w:val="auto"/>
              </w:rPr>
              <w:t>(303)</w:t>
            </w:r>
          </w:p>
        </w:tc>
        <w:tc>
          <w:tcPr>
            <w:tcW w:w="4100" w:type="dxa"/>
            <w:vAlign w:val="bottom"/>
            <w:gridSpan w:val="2"/>
          </w:tcPr>
          <w:p>
            <w:pPr>
              <w:jc w:val="right"/>
              <w:ind w:right="1270"/>
              <w:spacing w:after="0"/>
              <w:rPr>
                <w:sz w:val="20"/>
                <w:szCs w:val="20"/>
                <w:color w:val="auto"/>
              </w:rPr>
            </w:pPr>
            <w:r>
              <w:rPr>
                <w:rFonts w:ascii="Arial" w:cs="Arial" w:eastAsia="Arial" w:hAnsi="Arial"/>
                <w:sz w:val="18"/>
                <w:szCs w:val="18"/>
                <w:color w:val="auto"/>
              </w:rPr>
              <w:t>825-8400</w:t>
            </w:r>
          </w:p>
        </w:tc>
      </w:tr>
      <w:tr>
        <w:trPr>
          <w:trHeight w:val="224"/>
        </w:trPr>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(Name)</w:t>
            </w:r>
          </w:p>
        </w:tc>
        <w:tc>
          <w:tcPr>
            <w:tcW w:w="70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(Area Code)</w:t>
            </w:r>
          </w:p>
        </w:tc>
        <w:tc>
          <w:tcPr>
            <w:tcW w:w="68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(Telephone Number)</w:t>
            </w:r>
          </w:p>
        </w:tc>
      </w:tr>
    </w:tbl>
    <w:p>
      <w:pPr>
        <w:spacing w:after="0" w:line="93" w:lineRule="exact"/>
        <w:rPr>
          <w:sz w:val="20"/>
          <w:szCs w:val="20"/>
          <w:color w:val="auto"/>
        </w:rPr>
      </w:pPr>
    </w:p>
    <w:p>
      <w:pPr>
        <w:ind w:left="340" w:right="120" w:hanging="332"/>
        <w:spacing w:after="0" w:line="227" w:lineRule="exact"/>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340" w:right="100" w:hanging="332"/>
        <w:spacing w:after="0" w:line="233" w:lineRule="exact"/>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Is it anticipated that any significant change in results of operations from the corresponding period for the last fiscal year will be reflected by the earnings statements to be included in the subject report or portion thereof?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-363220</wp:posOffset>
            </wp:positionV>
            <wp:extent cx="70408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40880" cy="8890"/>
                    </a:xfrm>
                    <a:prstGeom prst="rect">
                      <a:avLst/>
                    </a:prstGeom>
                    <a:noFill/>
                  </pic:spPr>
                </pic:pic>
              </a:graphicData>
            </a:graphic>
          </wp:anchor>
        </w:drawing>
      </w:r>
    </w:p>
    <w:p>
      <w:pPr>
        <w:spacing w:after="0" w:line="54" w:lineRule="exact"/>
        <w:rPr>
          <w:sz w:val="20"/>
          <w:szCs w:val="20"/>
          <w:color w:val="auto"/>
        </w:rPr>
      </w:pPr>
    </w:p>
    <w:p>
      <w:pPr>
        <w:ind w:left="220" w:right="2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GENEMAX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6350</wp:posOffset>
            </wp:positionV>
            <wp:extent cx="20497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Registrant as Specified in Charter)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Date August 15, 2005</w:t>
            </w:r>
          </w:p>
        </w:tc>
        <w:tc>
          <w:tcPr>
            <w:tcW w:w="6260" w:type="dxa"/>
            <w:vAlign w:val="bottom"/>
            <w:gridSpan w:val="2"/>
          </w:tcPr>
          <w:p>
            <w:pPr>
              <w:ind w:left="1900"/>
              <w:spacing w:after="0"/>
              <w:rPr>
                <w:sz w:val="20"/>
                <w:szCs w:val="20"/>
                <w:color w:val="auto"/>
              </w:rPr>
            </w:pPr>
            <w:r>
              <w:rPr>
                <w:rFonts w:ascii="Arial" w:cs="Arial" w:eastAsia="Arial" w:hAnsi="Arial"/>
                <w:sz w:val="18"/>
                <w:szCs w:val="18"/>
                <w:color w:val="auto"/>
              </w:rPr>
              <w:t>By /s/ Ed Farrauto</w:t>
            </w:r>
          </w:p>
        </w:tc>
      </w:tr>
      <w:tr>
        <w:trPr>
          <w:trHeight w:val="195"/>
        </w:trPr>
        <w:tc>
          <w:tcPr>
            <w:tcW w:w="34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Ed Farrauto</w:t>
            </w:r>
          </w:p>
        </w:tc>
      </w:tr>
      <w:tr>
        <w:trPr>
          <w:trHeight w:val="230"/>
        </w:trPr>
        <w:tc>
          <w:tcPr>
            <w:tcW w:w="34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310"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50430" cy="295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591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INSTRUCTIONS</w:t>
      </w:r>
    </w:p>
    <w:p>
      <w:pPr>
        <w:spacing w:after="0" w:line="121"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This form is required by Rule 12b-25 (17 CFR 240.12b-25) of the General Rules and Regulations under the Securities Exchange Act of 1934.</w:t>
      </w:r>
    </w:p>
    <w:p>
      <w:pPr>
        <w:spacing w:after="0" w:line="128" w:lineRule="exact"/>
        <w:rPr>
          <w:rFonts w:ascii="Arial" w:cs="Arial" w:eastAsia="Arial" w:hAnsi="Arial"/>
          <w:sz w:val="17"/>
          <w:szCs w:val="17"/>
          <w:color w:val="auto"/>
        </w:rPr>
      </w:pPr>
    </w:p>
    <w:p>
      <w:pPr>
        <w:ind w:left="260" w:right="120" w:hanging="252"/>
        <w:spacing w:after="0" w:line="264" w:lineRule="auto"/>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One signed original and four conformed copies of this form and amendments thereto must be completed and filed with the Securities and Exchange Commission, Washington, D.C. 20549, in accordance with Rule 0-3 of the General Rules and Regulations under the Act. The information contained in or filed with the form will be made a matter of public record in the Commission files.</w:t>
      </w:r>
    </w:p>
    <w:p>
      <w:pPr>
        <w:spacing w:after="0" w:line="73" w:lineRule="exact"/>
        <w:rPr>
          <w:rFonts w:ascii="Arial" w:cs="Arial" w:eastAsia="Arial" w:hAnsi="Arial"/>
          <w:sz w:val="18"/>
          <w:szCs w:val="18"/>
          <w:color w:val="auto"/>
        </w:rPr>
      </w:pPr>
    </w:p>
    <w:p>
      <w:pPr>
        <w:ind w:left="260" w:right="180" w:hanging="252"/>
        <w:spacing w:after="0" w:line="277" w:lineRule="auto"/>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manually signed copy of the form and amendments thereto shall be filed with each national securities exchange on which any class of securities of the registrant is registered.</w:t>
      </w:r>
    </w:p>
    <w:p>
      <w:pPr>
        <w:spacing w:after="0" w:line="62" w:lineRule="exact"/>
        <w:rPr>
          <w:rFonts w:ascii="Arial" w:cs="Arial" w:eastAsia="Arial" w:hAnsi="Arial"/>
          <w:sz w:val="18"/>
          <w:szCs w:val="18"/>
          <w:color w:val="auto"/>
        </w:rPr>
      </w:pPr>
    </w:p>
    <w:p>
      <w:pPr>
        <w:ind w:left="260" w:right="180" w:hanging="252"/>
        <w:spacing w:after="0" w:line="277" w:lineRule="auto"/>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Amendments to the notifications must also be filed on Form 12b-25 but need not restate information that has been correctly furnished. The form shall be clearly identified as an amended notification.</w:t>
      </w:r>
    </w:p>
    <w:p>
      <w:pPr>
        <w:spacing w:after="0" w:line="62" w:lineRule="exact"/>
        <w:rPr>
          <w:rFonts w:ascii="Arial" w:cs="Arial" w:eastAsia="Arial" w:hAnsi="Arial"/>
          <w:sz w:val="18"/>
          <w:szCs w:val="18"/>
          <w:color w:val="auto"/>
        </w:rPr>
      </w:pPr>
    </w:p>
    <w:p>
      <w:pPr>
        <w:ind w:left="260" w:right="100" w:hanging="252"/>
        <w:spacing w:after="0" w:line="312" w:lineRule="auto"/>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Electronic Filers: </w:t>
      </w:r>
      <w:r>
        <w:rPr>
          <w:rFonts w:ascii="Arial" w:cs="Arial" w:eastAsia="Arial" w:hAnsi="Arial"/>
          <w:sz w:val="16"/>
          <w:szCs w:val="16"/>
          <w:color w:val="auto"/>
        </w:rPr>
        <w:t>This form shall not be used by electronic filers unable to timely file a report solely due to electronic difficulties. Filers unable to submit</w:t>
      </w:r>
      <w:r>
        <w:rPr>
          <w:rFonts w:ascii="Arial" w:cs="Arial" w:eastAsia="Arial" w:hAnsi="Arial"/>
          <w:sz w:val="16"/>
          <w:szCs w:val="16"/>
          <w:i w:val="1"/>
          <w:iCs w:val="1"/>
          <w:color w:val="auto"/>
        </w:rPr>
        <w:t xml:space="preserve"> </w:t>
      </w:r>
      <w:r>
        <w:rPr>
          <w:rFonts w:ascii="Arial" w:cs="Arial" w:eastAsia="Arial" w:hAnsi="Arial"/>
          <w:sz w:val="16"/>
          <w:szCs w:val="16"/>
          <w:color w:val="auto"/>
        </w:rPr>
        <w:t>reports within the time period prescribed due to difficulties in electronic filing should comply with either Rule 201 or Rule 202 of Regulation S-T (§232.201 or §232.202 of this chapter) or apply for an adjustment in filing date pursuant to Rule 13(b) of Regulation S-T (§232.13(b) of this chapter).</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2)"/>
      <w:numFmt w:val="lowerLetter"/>
      <w:start w:val="1"/>
    </w:lvl>
  </w:abstractNum>
  <w:abstractNum w:abstractNumId="2">
    <w:nsid w:val="625558EC"/>
    <w:multiLevelType w:val="hybridMultilevel"/>
    <w:lvl w:ilvl="0">
      <w:lvlJc w:val="left"/>
      <w:lvlText w:val="☒"/>
      <w:numFmt w:val="bullet"/>
      <w:start w:val="1"/>
    </w:lvl>
    <w:lvl w:ilvl="1">
      <w:lvlJc w:val="left"/>
      <w:lvlText w:val="(%2)"/>
      <w:numFmt w:val="lowerLetter"/>
      <w:start w:val="3"/>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2020-02-10T22:38:26Z</dcterms:created>
  <dcterms:modified xsi:type="dcterms:W3CDTF">2020-02-10T22:38:26Z</dcterms:modified>
</cp:coreProperties>
</file>