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149225</wp:posOffset>
            </wp:positionH>
            <wp:positionV relativeFrom="page">
              <wp:posOffset>250825</wp:posOffset>
            </wp:positionV>
            <wp:extent cx="7263765"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36195"/>
                    </a:xfrm>
                    <a:prstGeom prst="rect">
                      <a:avLst/>
                    </a:prstGeom>
                    <a:noFill/>
                  </pic:spPr>
                </pic:pic>
              </a:graphicData>
            </a:graphic>
          </wp:anchor>
        </w:drawing>
        <w:t>As filed with the Securities and Exchange Commission on June 11, 2015</w:t>
      </w:r>
    </w:p>
    <w:p>
      <w:pPr>
        <w:spacing w:after="0" w:line="210" w:lineRule="exact"/>
        <w:rPr>
          <w:sz w:val="24"/>
          <w:szCs w:val="24"/>
          <w:color w:val="auto"/>
        </w:rPr>
      </w:pPr>
    </w:p>
    <w:p>
      <w:pPr>
        <w:ind w:left="9480"/>
        <w:spacing w:after="0"/>
        <w:rPr>
          <w:sz w:val="20"/>
          <w:szCs w:val="20"/>
          <w:color w:val="auto"/>
        </w:rPr>
      </w:pPr>
      <w:r>
        <w:rPr>
          <w:rFonts w:ascii="Times New Roman" w:cs="Times New Roman" w:eastAsia="Times New Roman" w:hAnsi="Times New Roman"/>
          <w:sz w:val="16"/>
          <w:szCs w:val="16"/>
          <w:color w:val="auto"/>
        </w:rPr>
        <w:t>Registration No. __________</w:t>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S-3/A ON</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S-1</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REGISTRATION STATEMENT UNDER THE SECURITIES ACT OF 1933</w:t>
      </w:r>
    </w:p>
    <w:p>
      <w:pPr>
        <w:spacing w:after="0" w:line="210" w:lineRule="exact"/>
        <w:rPr>
          <w:sz w:val="24"/>
          <w:szCs w:val="24"/>
          <w:color w:val="auto"/>
        </w:rPr>
      </w:pPr>
    </w:p>
    <w:tbl>
      <w:tblPr>
        <w:tblLayout w:type="fixed"/>
        <w:tblInd w:w="300" w:type="dxa"/>
        <w:tblCellMar>
          <w:top w:w="0" w:type="dxa"/>
          <w:left w:w="0" w:type="dxa"/>
          <w:bottom w:w="0" w:type="dxa"/>
          <w:right w:w="0" w:type="dxa"/>
        </w:tblCellMar>
      </w:tblPr>
      <w:tr>
        <w:trPr>
          <w:trHeight w:val="184"/>
        </w:trPr>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60" w:type="dxa"/>
            <w:vAlign w:val="bottom"/>
            <w:gridSpan w:val="8"/>
          </w:tcPr>
          <w:p>
            <w:pPr>
              <w:jc w:val="center"/>
              <w:ind w:right="4240"/>
              <w:spacing w:after="0"/>
              <w:rPr>
                <w:sz w:val="20"/>
                <w:szCs w:val="20"/>
                <w:color w:val="auto"/>
              </w:rPr>
            </w:pPr>
            <w:r>
              <w:rPr>
                <w:rFonts w:ascii="Times New Roman" w:cs="Times New Roman" w:eastAsia="Times New Roman" w:hAnsi="Times New Roman"/>
                <w:sz w:val="16"/>
                <w:szCs w:val="16"/>
                <w:b w:val="1"/>
                <w:bCs w:val="1"/>
                <w:color w:val="auto"/>
              </w:rPr>
              <w:t>TAPIMMUNE INC.</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540" w:type="dxa"/>
            <w:vAlign w:val="bottom"/>
            <w:gridSpan w:val="9"/>
          </w:tcPr>
          <w:p>
            <w:pPr>
              <w:ind w:left="600"/>
              <w:spacing w:after="0"/>
              <w:rPr>
                <w:sz w:val="20"/>
                <w:szCs w:val="20"/>
                <w:color w:val="auto"/>
              </w:rPr>
            </w:pPr>
            <w:r>
              <w:rPr>
                <w:rFonts w:ascii="Times New Roman" w:cs="Times New Roman" w:eastAsia="Times New Roman" w:hAnsi="Times New Roman"/>
                <w:sz w:val="16"/>
                <w:szCs w:val="16"/>
                <w:color w:val="auto"/>
              </w:rPr>
              <w:t>(Name of Issuer in Its Charter)</w:t>
            </w:r>
          </w:p>
        </w:tc>
        <w:tc>
          <w:tcPr>
            <w:tcW w:w="0" w:type="dxa"/>
            <w:vAlign w:val="bottom"/>
          </w:tcPr>
          <w:p>
            <w:pPr>
              <w:spacing w:after="0"/>
              <w:rPr>
                <w:sz w:val="1"/>
                <w:szCs w:val="1"/>
                <w:color w:val="auto"/>
              </w:rPr>
            </w:pPr>
          </w:p>
        </w:tc>
      </w:tr>
      <w:tr>
        <w:trPr>
          <w:trHeight w:val="603"/>
        </w:trPr>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Nevada</w:t>
            </w:r>
          </w:p>
        </w:tc>
        <w:tc>
          <w:tcPr>
            <w:tcW w:w="46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540" w:type="dxa"/>
            <w:vAlign w:val="bottom"/>
            <w:gridSpan w:val="9"/>
          </w:tcPr>
          <w:p>
            <w:pPr>
              <w:jc w:val="center"/>
              <w:ind w:right="3360"/>
              <w:spacing w:after="0"/>
              <w:rPr>
                <w:sz w:val="20"/>
                <w:szCs w:val="20"/>
                <w:color w:val="auto"/>
              </w:rPr>
            </w:pPr>
            <w:r>
              <w:rPr>
                <w:rFonts w:ascii="Times New Roman" w:cs="Times New Roman" w:eastAsia="Times New Roman" w:hAnsi="Times New Roman"/>
                <w:sz w:val="16"/>
                <w:szCs w:val="16"/>
                <w:color w:val="auto"/>
              </w:rPr>
              <w:t>(State or other jurisdiction</w:t>
            </w:r>
          </w:p>
        </w:tc>
        <w:tc>
          <w:tcPr>
            <w:tcW w:w="0" w:type="dxa"/>
            <w:vAlign w:val="bottom"/>
          </w:tcPr>
          <w:p>
            <w:pPr>
              <w:spacing w:after="0"/>
              <w:rPr>
                <w:sz w:val="1"/>
                <w:szCs w:val="1"/>
                <w:color w:val="auto"/>
              </w:rPr>
            </w:pPr>
          </w:p>
        </w:tc>
      </w:tr>
      <w:tr>
        <w:trPr>
          <w:trHeight w:val="193"/>
        </w:trPr>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60" w:type="dxa"/>
            <w:vAlign w:val="bottom"/>
            <w:gridSpan w:val="8"/>
          </w:tcPr>
          <w:p>
            <w:pPr>
              <w:jc w:val="center"/>
              <w:ind w:right="4260"/>
              <w:spacing w:after="0"/>
              <w:rPr>
                <w:sz w:val="20"/>
                <w:szCs w:val="20"/>
                <w:color w:val="auto"/>
              </w:rPr>
            </w:pPr>
            <w:r>
              <w:rPr>
                <w:rFonts w:ascii="Times New Roman" w:cs="Times New Roman" w:eastAsia="Times New Roman" w:hAnsi="Times New Roman"/>
                <w:sz w:val="16"/>
                <w:szCs w:val="16"/>
                <w:color w:val="auto"/>
              </w:rPr>
              <w:t>of incorporation)</w:t>
            </w:r>
          </w:p>
        </w:tc>
        <w:tc>
          <w:tcPr>
            <w:tcW w:w="0" w:type="dxa"/>
            <w:vAlign w:val="bottom"/>
          </w:tcPr>
          <w:p>
            <w:pPr>
              <w:spacing w:after="0"/>
              <w:rPr>
                <w:sz w:val="1"/>
                <w:szCs w:val="1"/>
                <w:color w:val="auto"/>
              </w:rPr>
            </w:pPr>
          </w:p>
        </w:tc>
      </w:tr>
      <w:tr>
        <w:trPr>
          <w:trHeight w:val="181"/>
        </w:trPr>
        <w:tc>
          <w:tcPr>
            <w:tcW w:w="1760" w:type="dxa"/>
            <w:vAlign w:val="bottom"/>
            <w:gridSpan w:val="2"/>
          </w:tcPr>
          <w:p>
            <w:pPr>
              <w:jc w:val="center"/>
              <w:ind w:left="1358"/>
              <w:spacing w:after="0" w:line="181" w:lineRule="exact"/>
              <w:rPr>
                <w:sz w:val="20"/>
                <w:szCs w:val="20"/>
                <w:color w:val="auto"/>
              </w:rPr>
            </w:pPr>
            <w:r>
              <w:rPr>
                <w:rFonts w:ascii="Times New Roman" w:cs="Times New Roman" w:eastAsia="Times New Roman" w:hAnsi="Times New Roman"/>
                <w:sz w:val="16"/>
                <w:szCs w:val="16"/>
                <w:b w:val="1"/>
                <w:bCs w:val="1"/>
                <w:color w:val="auto"/>
                <w:w w:val="99"/>
              </w:rPr>
              <w:t>2836</w:t>
            </w:r>
          </w:p>
        </w:tc>
        <w:tc>
          <w:tcPr>
            <w:tcW w:w="2060" w:type="dxa"/>
            <w:vAlign w:val="bottom"/>
          </w:tcPr>
          <w:p>
            <w:pPr>
              <w:spacing w:after="0"/>
              <w:rPr>
                <w:sz w:val="15"/>
                <w:szCs w:val="15"/>
                <w:color w:val="auto"/>
              </w:rPr>
            </w:pPr>
          </w:p>
        </w:tc>
        <w:tc>
          <w:tcPr>
            <w:tcW w:w="6540" w:type="dxa"/>
            <w:vAlign w:val="bottom"/>
            <w:gridSpan w:val="9"/>
          </w:tcPr>
          <w:p>
            <w:pPr>
              <w:jc w:val="right"/>
              <w:ind w:right="740"/>
              <w:spacing w:after="0" w:line="181" w:lineRule="exact"/>
              <w:rPr>
                <w:sz w:val="20"/>
                <w:szCs w:val="20"/>
                <w:color w:val="auto"/>
              </w:rPr>
            </w:pPr>
            <w:r>
              <w:rPr>
                <w:rFonts w:ascii="Times New Roman" w:cs="Times New Roman" w:eastAsia="Times New Roman" w:hAnsi="Times New Roman"/>
                <w:sz w:val="16"/>
                <w:szCs w:val="16"/>
                <w:b w:val="1"/>
                <w:bCs w:val="1"/>
                <w:color w:val="auto"/>
              </w:rPr>
              <w:t>88-0277072</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820" w:type="dxa"/>
            <w:vAlign w:val="bottom"/>
            <w:gridSpan w:val="3"/>
          </w:tcPr>
          <w:p>
            <w:pPr>
              <w:jc w:val="center"/>
              <w:ind w:right="620"/>
              <w:spacing w:after="0"/>
              <w:rPr>
                <w:sz w:val="20"/>
                <w:szCs w:val="20"/>
                <w:color w:val="auto"/>
              </w:rPr>
            </w:pPr>
            <w:r>
              <w:rPr>
                <w:rFonts w:ascii="Times New Roman" w:cs="Times New Roman" w:eastAsia="Times New Roman" w:hAnsi="Times New Roman"/>
                <w:sz w:val="16"/>
                <w:szCs w:val="16"/>
                <w:color w:val="auto"/>
              </w:rPr>
              <w:t>(Primary Standard Industrial Classification Code</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40" w:type="dxa"/>
            <w:vAlign w:val="bottom"/>
            <w:gridSpan w:val="3"/>
          </w:tcPr>
          <w:p>
            <w:pPr>
              <w:jc w:val="center"/>
              <w:ind w:left="1878"/>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214"/>
        </w:trPr>
        <w:tc>
          <w:tcPr>
            <w:tcW w:w="3820" w:type="dxa"/>
            <w:vAlign w:val="bottom"/>
            <w:gridSpan w:val="3"/>
          </w:tcPr>
          <w:p>
            <w:pPr>
              <w:jc w:val="center"/>
              <w:ind w:right="620"/>
              <w:spacing w:after="0"/>
              <w:rPr>
                <w:sz w:val="20"/>
                <w:szCs w:val="20"/>
                <w:color w:val="auto"/>
              </w:rPr>
            </w:pPr>
            <w:r>
              <w:rPr>
                <w:rFonts w:ascii="Times New Roman" w:cs="Times New Roman" w:eastAsia="Times New Roman" w:hAnsi="Times New Roman"/>
                <w:sz w:val="16"/>
                <w:szCs w:val="16"/>
                <w:color w:val="auto"/>
              </w:rPr>
              <w:t>Number)</w:t>
            </w:r>
          </w:p>
        </w:tc>
        <w:tc>
          <w:tcPr>
            <w:tcW w:w="6540" w:type="dxa"/>
            <w:vAlign w:val="bottom"/>
            <w:gridSpan w:val="9"/>
            <w:vMerge w:val="restart"/>
          </w:tcPr>
          <w:p>
            <w:pPr>
              <w:jc w:val="center"/>
              <w:ind w:right="3380"/>
              <w:spacing w:after="0"/>
              <w:rPr>
                <w:sz w:val="20"/>
                <w:szCs w:val="20"/>
                <w:color w:val="auto"/>
              </w:rPr>
            </w:pPr>
            <w:r>
              <w:rPr>
                <w:rFonts w:ascii="Times New Roman" w:cs="Times New Roman" w:eastAsia="Times New Roman" w:hAnsi="Times New Roman"/>
                <w:sz w:val="16"/>
                <w:szCs w:val="16"/>
                <w:b w:val="1"/>
                <w:bCs w:val="1"/>
                <w:color w:val="auto"/>
              </w:rPr>
              <w:t>1551 Eastlake Avenue East,</w:t>
            </w: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54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540" w:type="dxa"/>
            <w:vAlign w:val="bottom"/>
            <w:gridSpan w:val="9"/>
          </w:tcPr>
          <w:p>
            <w:pPr>
              <w:jc w:val="center"/>
              <w:ind w:right="3360"/>
              <w:spacing w:after="0"/>
              <w:rPr>
                <w:sz w:val="20"/>
                <w:szCs w:val="20"/>
                <w:color w:val="auto"/>
              </w:rPr>
            </w:pPr>
            <w:r>
              <w:rPr>
                <w:rFonts w:ascii="Times New Roman" w:cs="Times New Roman" w:eastAsia="Times New Roman" w:hAnsi="Times New Roman"/>
                <w:sz w:val="16"/>
                <w:szCs w:val="16"/>
                <w:b w:val="1"/>
                <w:bCs w:val="1"/>
                <w:color w:val="auto"/>
              </w:rPr>
              <w:t>Suite 100, Seattle, WA</w:t>
            </w:r>
          </w:p>
        </w:tc>
        <w:tc>
          <w:tcPr>
            <w:tcW w:w="0" w:type="dxa"/>
            <w:vAlign w:val="bottom"/>
          </w:tcPr>
          <w:p>
            <w:pPr>
              <w:spacing w:after="0"/>
              <w:rPr>
                <w:sz w:val="1"/>
                <w:szCs w:val="1"/>
                <w:color w:val="auto"/>
              </w:rPr>
            </w:pPr>
          </w:p>
        </w:tc>
      </w:tr>
      <w:tr>
        <w:trPr>
          <w:trHeight w:val="181"/>
        </w:trPr>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100" w:type="dxa"/>
            <w:vAlign w:val="bottom"/>
            <w:gridSpan w:val="5"/>
          </w:tcPr>
          <w:p>
            <w:pPr>
              <w:jc w:val="center"/>
              <w:ind w:left="998"/>
              <w:spacing w:after="0" w:line="181" w:lineRule="exact"/>
              <w:rPr>
                <w:sz w:val="20"/>
                <w:szCs w:val="20"/>
                <w:color w:val="auto"/>
              </w:rPr>
            </w:pPr>
            <w:r>
              <w:rPr>
                <w:rFonts w:ascii="Times New Roman" w:cs="Times New Roman" w:eastAsia="Times New Roman" w:hAnsi="Times New Roman"/>
                <w:sz w:val="16"/>
                <w:szCs w:val="16"/>
                <w:b w:val="1"/>
                <w:bCs w:val="1"/>
                <w:color w:val="auto"/>
              </w:rPr>
              <w:t>(206) 504-7278</w:t>
            </w:r>
          </w:p>
        </w:tc>
        <w:tc>
          <w:tcPr>
            <w:tcW w:w="2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including zip code, and telephone number, including area code, of registrant’s principal executive offices)</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Sierra Corporate Services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100 West Liberty Street, 10th Floor</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Reno, Nevada 89501</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Address, Including Zip Code, and Telephone Number,</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Including Area Code, of Agent for Service)</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Copies to:</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William S. Rosenstadt</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Sanders Ortoli Vaughn-Flam Rosenstadt LLP</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501 Madison Avenue – 14th Floor</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New York, NY 10022</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Telephone: 212-588-0022</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Fax: 212-826-9307</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As soon as practicable after this registration statement becomes effective.</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Approximate date of commencement of proposed sale to the public</w:t>
      </w:r>
    </w:p>
    <w:p>
      <w:pPr>
        <w:spacing w:after="0" w:line="193" w:lineRule="exact"/>
        <w:rPr>
          <w:sz w:val="24"/>
          <w:szCs w:val="24"/>
          <w:color w:val="auto"/>
        </w:rPr>
      </w:pPr>
    </w:p>
    <w:p>
      <w:pPr>
        <w:ind w:right="400"/>
        <w:spacing w:after="0" w:line="296" w:lineRule="auto"/>
        <w:rPr>
          <w:sz w:val="20"/>
          <w:szCs w:val="20"/>
          <w:color w:val="auto"/>
        </w:rPr>
      </w:pPr>
      <w:r>
        <w:rPr>
          <w:rFonts w:ascii="Times New Roman" w:cs="Times New Roman" w:eastAsia="Times New Roman" w:hAnsi="Times New Roman"/>
          <w:sz w:val="16"/>
          <w:szCs w:val="16"/>
          <w:color w:val="auto"/>
        </w:rPr>
        <w:t>If any of the securities being registered on this Form are to be offered on a delayed or continuous basis pursuant to Rule 415 under the Securities Act of 1933, check the following box: x</w:t>
      </w:r>
    </w:p>
    <w:p>
      <w:pPr>
        <w:spacing w:after="0" w:line="137" w:lineRule="exact"/>
        <w:rPr>
          <w:sz w:val="24"/>
          <w:szCs w:val="24"/>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62" w:lineRule="exact"/>
        <w:rPr>
          <w:sz w:val="24"/>
          <w:szCs w:val="24"/>
          <w:color w:val="auto"/>
        </w:rPr>
      </w:pPr>
    </w:p>
    <w:p>
      <w:pPr>
        <w:ind w:right="320"/>
        <w:spacing w:after="0" w:line="296" w:lineRule="auto"/>
        <w:rPr>
          <w:sz w:val="20"/>
          <w:szCs w:val="20"/>
          <w:color w:val="auto"/>
        </w:rPr>
      </w:pPr>
      <w:r>
        <w:rPr>
          <w:rFonts w:ascii="Times New Roman" w:cs="Times New Roman" w:eastAsia="Times New Roman" w:hAnsi="Times New Roman"/>
          <w:sz w:val="16"/>
          <w:szCs w:val="16"/>
          <w:color w:val="auto"/>
        </w:rPr>
        <w:t>If this Form is a post-effective amendment filed pursuant to Rule 462(c) under the Securities Act of 1933, check the following box and list the Securities Act registration statement number of the earlier effective registration statement for the same offering. o</w:t>
      </w:r>
    </w:p>
    <w:p>
      <w:pPr>
        <w:spacing w:after="0" w:line="137" w:lineRule="exact"/>
        <w:rPr>
          <w:sz w:val="24"/>
          <w:szCs w:val="24"/>
          <w:color w:val="auto"/>
        </w:rPr>
      </w:pPr>
    </w:p>
    <w:p>
      <w:pPr>
        <w:ind w:right="320"/>
        <w:spacing w:after="0" w:line="296" w:lineRule="auto"/>
        <w:rPr>
          <w:sz w:val="20"/>
          <w:szCs w:val="20"/>
          <w:color w:val="auto"/>
        </w:rPr>
      </w:pPr>
      <w:r>
        <w:rPr>
          <w:rFonts w:ascii="Times New Roman" w:cs="Times New Roman" w:eastAsia="Times New Roman" w:hAnsi="Times New Roman"/>
          <w:sz w:val="16"/>
          <w:szCs w:val="16"/>
          <w:color w:val="auto"/>
        </w:rPr>
        <w:t>If this Form is a post-effective amendment filed pursuant to Rule 462(d) under the Securities Act of 1933, check the following box and list the Securities Act registration statement number of the earlier effective registration statement for the same offering. o</w:t>
      </w:r>
    </w:p>
    <w:p>
      <w:pPr>
        <w:spacing w:after="0" w:line="137" w:lineRule="exact"/>
        <w:rPr>
          <w:sz w:val="24"/>
          <w:szCs w:val="24"/>
          <w:color w:val="auto"/>
        </w:rPr>
      </w:pPr>
    </w:p>
    <w:p>
      <w:pPr>
        <w:ind w:right="220"/>
        <w:spacing w:after="0" w:line="29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49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Large accelerated filer o</w:t>
            </w:r>
          </w:p>
        </w:tc>
        <w:tc>
          <w:tcPr>
            <w:tcW w:w="64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Accelerated filer o</w:t>
            </w:r>
          </w:p>
        </w:tc>
      </w:tr>
      <w:tr>
        <w:trPr>
          <w:trHeight w:val="197"/>
        </w:trPr>
        <w:tc>
          <w:tcPr>
            <w:tcW w:w="49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Non-accelerated filer o (Do not check if a smaller reporting</w:t>
            </w:r>
          </w:p>
        </w:tc>
        <w:tc>
          <w:tcPr>
            <w:tcW w:w="64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Smaller reporting company x</w:t>
            </w:r>
          </w:p>
        </w:tc>
      </w:tr>
      <w:tr>
        <w:trPr>
          <w:trHeight w:val="214"/>
        </w:trPr>
        <w:tc>
          <w:tcPr>
            <w:tcW w:w="49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company)</w:t>
            </w:r>
          </w:p>
        </w:tc>
        <w:tc>
          <w:tcPr>
            <w:tcW w:w="6440" w:type="dxa"/>
            <w:vAlign w:val="bottom"/>
          </w:tcPr>
          <w:p>
            <w:pPr>
              <w:spacing w:after="0"/>
              <w:rPr>
                <w:sz w:val="18"/>
                <w:szCs w:val="18"/>
                <w:color w:val="auto"/>
              </w:rPr>
            </w:pPr>
          </w:p>
        </w:tc>
      </w:tr>
      <w:tr>
        <w:trPr>
          <w:trHeight w:val="771"/>
        </w:trPr>
        <w:tc>
          <w:tcPr>
            <w:tcW w:w="4980" w:type="dxa"/>
            <w:vAlign w:val="bottom"/>
            <w:tcBorders>
              <w:bottom w:val="single" w:sz="8" w:color="808080"/>
            </w:tcBorders>
          </w:tcPr>
          <w:p>
            <w:pPr>
              <w:spacing w:after="0"/>
              <w:rPr>
                <w:sz w:val="24"/>
                <w:szCs w:val="24"/>
                <w:color w:val="auto"/>
              </w:rPr>
            </w:pPr>
          </w:p>
        </w:tc>
        <w:tc>
          <w:tcPr>
            <w:tcW w:w="64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961"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8"/>
        </w:trPr>
        <w:tc>
          <w:tcPr>
            <w:tcW w:w="3760" w:type="dxa"/>
            <w:vAlign w:val="bottom"/>
          </w:tcPr>
          <w:p>
            <w:pPr>
              <w:spacing w:after="0"/>
              <w:rPr>
                <w:sz w:val="18"/>
                <w:szCs w:val="18"/>
                <w:color w:val="auto"/>
              </w:rPr>
            </w:pPr>
          </w:p>
        </w:tc>
        <w:tc>
          <w:tcPr>
            <w:tcW w:w="360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CALCULATION OF REGISTRATION FEE</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3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Proposed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7"/>
        </w:trPr>
        <w:tc>
          <w:tcPr>
            <w:tcW w:w="37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Proposed</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37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37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Amount of</w:t>
            </w:r>
          </w:p>
        </w:tc>
      </w:tr>
      <w:tr>
        <w:trPr>
          <w:trHeight w:val="197"/>
        </w:trPr>
        <w:tc>
          <w:tcPr>
            <w:tcW w:w="37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Amount to Be</w:t>
            </w:r>
          </w:p>
        </w:tc>
        <w:tc>
          <w:tcPr>
            <w:tcW w:w="10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Per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Registration</w:t>
            </w:r>
          </w:p>
        </w:tc>
      </w:tr>
      <w:tr>
        <w:trPr>
          <w:trHeight w:val="230"/>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Title of Each Class of Securities to Be Registered</w:t>
            </w:r>
          </w:p>
        </w:tc>
        <w:tc>
          <w:tcPr>
            <w:tcW w:w="17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Registered</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8"/>
              <w:spacing w:after="0" w:line="230" w:lineRule="exact"/>
              <w:rPr>
                <w:sz w:val="20"/>
                <w:szCs w:val="20"/>
                <w:color w:val="auto"/>
              </w:rPr>
            </w:pPr>
            <w:r>
              <w:rPr>
                <w:rFonts w:ascii="Times New Roman" w:cs="Times New Roman" w:eastAsia="Times New Roman" w:hAnsi="Times New Roman"/>
                <w:sz w:val="16"/>
                <w:szCs w:val="16"/>
                <w:b w:val="1"/>
                <w:bCs w:val="1"/>
                <w:color w:val="auto"/>
                <w:w w:val="97"/>
              </w:rPr>
              <w:t xml:space="preserve">Security </w:t>
            </w:r>
            <w:r>
              <w:rPr>
                <w:rFonts w:ascii="Times New Roman" w:cs="Times New Roman" w:eastAsia="Times New Roman" w:hAnsi="Times New Roman"/>
                <w:sz w:val="22"/>
                <w:szCs w:val="22"/>
                <w:b w:val="1"/>
                <w:bCs w:val="1"/>
                <w:color w:val="auto"/>
                <w:w w:val="97"/>
                <w:vertAlign w:val="subscript"/>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78"/>
              <w:spacing w:after="0" w:line="230" w:lineRule="exact"/>
              <w:rPr>
                <w:sz w:val="20"/>
                <w:szCs w:val="20"/>
                <w:color w:val="auto"/>
              </w:rPr>
            </w:pPr>
            <w:r>
              <w:rPr>
                <w:rFonts w:ascii="Times New Roman" w:cs="Times New Roman" w:eastAsia="Times New Roman" w:hAnsi="Times New Roman"/>
                <w:sz w:val="16"/>
                <w:szCs w:val="16"/>
                <w:b w:val="1"/>
                <w:bCs w:val="1"/>
                <w:color w:val="auto"/>
                <w:w w:val="95"/>
              </w:rPr>
              <w:t xml:space="preserve">Price </w:t>
            </w:r>
            <w:r>
              <w:rPr>
                <w:rFonts w:ascii="Times New Roman" w:cs="Times New Roman" w:eastAsia="Times New Roman" w:hAnsi="Times New Roman"/>
                <w:sz w:val="22"/>
                <w:szCs w:val="22"/>
                <w:b w:val="1"/>
                <w:bCs w:val="1"/>
                <w:color w:val="auto"/>
                <w:w w:val="95"/>
                <w:vertAlign w:val="subscript"/>
              </w:rPr>
              <w:t>(1)</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rPr>
              <w:t>Fee</w:t>
            </w:r>
          </w:p>
        </w:tc>
        <w:tc>
          <w:tcPr>
            <w:tcW w:w="20" w:type="dxa"/>
            <w:vAlign w:val="bottom"/>
          </w:tcPr>
          <w:p>
            <w:pPr>
              <w:spacing w:after="0"/>
              <w:rPr>
                <w:sz w:val="19"/>
                <w:szCs w:val="19"/>
                <w:color w:val="auto"/>
              </w:rPr>
            </w:pP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7"/>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August 2014 Warrants</w:t>
            </w:r>
            <w:r>
              <w:rPr>
                <w:rFonts w:ascii="Times New Roman" w:cs="Times New Roman" w:eastAsia="Times New Roman" w:hAnsi="Times New Roman"/>
                <w:sz w:val="22"/>
                <w:szCs w:val="22"/>
                <w:color w:val="auto"/>
                <w:vertAlign w:val="superscript"/>
              </w:rPr>
              <w:t>(2)</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1,886,792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_____</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________   $</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_____</w:t>
            </w:r>
          </w:p>
        </w:tc>
      </w:tr>
      <w:tr>
        <w:trPr>
          <w:trHeight w:val="197"/>
        </w:trPr>
        <w:tc>
          <w:tcPr>
            <w:tcW w:w="3760" w:type="dxa"/>
            <w:vAlign w:val="bottom"/>
          </w:tcPr>
          <w:p>
            <w:pPr>
              <w:spacing w:after="0" w:line="197" w:lineRule="exact"/>
              <w:rPr>
                <w:sz w:val="20"/>
                <w:szCs w:val="20"/>
                <w:color w:val="auto"/>
              </w:rPr>
            </w:pPr>
            <w:r>
              <w:rPr>
                <w:rFonts w:ascii="Times New Roman" w:cs="Times New Roman" w:eastAsia="Times New Roman" w:hAnsi="Times New Roman"/>
                <w:sz w:val="16"/>
                <w:szCs w:val="16"/>
                <w:color w:val="auto"/>
              </w:rPr>
              <w:t>Series A Warrants</w:t>
            </w:r>
            <w:r>
              <w:rPr>
                <w:rFonts w:ascii="Times New Roman" w:cs="Times New Roman" w:eastAsia="Times New Roman" w:hAnsi="Times New Roman"/>
                <w:sz w:val="22"/>
                <w:szCs w:val="22"/>
                <w:color w:val="auto"/>
                <w:vertAlign w:val="superscript"/>
              </w:rPr>
              <w:t>(2)</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7,320,000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3760" w:type="dxa"/>
            <w:vAlign w:val="bottom"/>
          </w:tcPr>
          <w:p>
            <w:pPr>
              <w:spacing w:after="0" w:line="197" w:lineRule="exact"/>
              <w:rPr>
                <w:sz w:val="20"/>
                <w:szCs w:val="20"/>
                <w:color w:val="auto"/>
              </w:rPr>
            </w:pPr>
            <w:r>
              <w:rPr>
                <w:rFonts w:ascii="Times New Roman" w:cs="Times New Roman" w:eastAsia="Times New Roman" w:hAnsi="Times New Roman"/>
                <w:sz w:val="16"/>
                <w:szCs w:val="16"/>
                <w:color w:val="auto"/>
              </w:rPr>
              <w:t>Series B Warrants</w:t>
            </w:r>
            <w:r>
              <w:rPr>
                <w:rFonts w:ascii="Times New Roman" w:cs="Times New Roman" w:eastAsia="Times New Roman" w:hAnsi="Times New Roman"/>
                <w:sz w:val="22"/>
                <w:szCs w:val="22"/>
                <w:color w:val="auto"/>
                <w:vertAlign w:val="superscript"/>
              </w:rPr>
              <w:t>(3)</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14,640,000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$774.03</w:t>
            </w:r>
          </w:p>
        </w:tc>
      </w:tr>
      <w:tr>
        <w:trPr>
          <w:trHeight w:val="197"/>
        </w:trPr>
        <w:tc>
          <w:tcPr>
            <w:tcW w:w="3760" w:type="dxa"/>
            <w:vAlign w:val="bottom"/>
          </w:tcPr>
          <w:p>
            <w:pPr>
              <w:spacing w:after="0" w:line="197" w:lineRule="exact"/>
              <w:rPr>
                <w:sz w:val="20"/>
                <w:szCs w:val="20"/>
                <w:color w:val="auto"/>
              </w:rPr>
            </w:pPr>
            <w:r>
              <w:rPr>
                <w:rFonts w:ascii="Times New Roman" w:cs="Times New Roman" w:eastAsia="Times New Roman" w:hAnsi="Times New Roman"/>
                <w:sz w:val="16"/>
                <w:szCs w:val="16"/>
                <w:color w:val="auto"/>
              </w:rPr>
              <w:t>Series C Warrants</w:t>
            </w:r>
            <w:r>
              <w:rPr>
                <w:rFonts w:ascii="Times New Roman" w:cs="Times New Roman" w:eastAsia="Times New Roman" w:hAnsi="Times New Roman"/>
                <w:sz w:val="22"/>
                <w:szCs w:val="22"/>
                <w:color w:val="auto"/>
                <w:vertAlign w:val="superscript"/>
              </w:rPr>
              <w:t>(3)</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14,640,000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$774.03</w:t>
            </w:r>
          </w:p>
        </w:tc>
      </w:tr>
      <w:tr>
        <w:trPr>
          <w:trHeight w:val="197"/>
        </w:trPr>
        <w:tc>
          <w:tcPr>
            <w:tcW w:w="3760" w:type="dxa"/>
            <w:vAlign w:val="bottom"/>
          </w:tcPr>
          <w:p>
            <w:pPr>
              <w:spacing w:after="0" w:line="197" w:lineRule="exact"/>
              <w:rPr>
                <w:sz w:val="20"/>
                <w:szCs w:val="20"/>
                <w:color w:val="auto"/>
              </w:rPr>
            </w:pPr>
            <w:r>
              <w:rPr>
                <w:rFonts w:ascii="Times New Roman" w:cs="Times New Roman" w:eastAsia="Times New Roman" w:hAnsi="Times New Roman"/>
                <w:sz w:val="16"/>
                <w:szCs w:val="16"/>
                <w:color w:val="auto"/>
              </w:rPr>
              <w:t>Series D Warrants</w:t>
            </w:r>
            <w:r>
              <w:rPr>
                <w:rFonts w:ascii="Times New Roman" w:cs="Times New Roman" w:eastAsia="Times New Roman" w:hAnsi="Times New Roman"/>
                <w:sz w:val="22"/>
                <w:szCs w:val="22"/>
                <w:color w:val="auto"/>
                <w:vertAlign w:val="superscript"/>
              </w:rPr>
              <w:t>(2)</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7,320,000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3760" w:type="dxa"/>
            <w:vAlign w:val="bottom"/>
          </w:tcPr>
          <w:p>
            <w:pPr>
              <w:spacing w:after="0" w:line="197" w:lineRule="exact"/>
              <w:rPr>
                <w:sz w:val="20"/>
                <w:szCs w:val="20"/>
                <w:color w:val="auto"/>
              </w:rPr>
            </w:pPr>
            <w:r>
              <w:rPr>
                <w:rFonts w:ascii="Times New Roman" w:cs="Times New Roman" w:eastAsia="Times New Roman" w:hAnsi="Times New Roman"/>
                <w:sz w:val="16"/>
                <w:szCs w:val="16"/>
                <w:color w:val="auto"/>
              </w:rPr>
              <w:t>Series E Warrants</w:t>
            </w:r>
            <w:r>
              <w:rPr>
                <w:rFonts w:ascii="Times New Roman" w:cs="Times New Roman" w:eastAsia="Times New Roman" w:hAnsi="Times New Roman"/>
                <w:sz w:val="22"/>
                <w:szCs w:val="22"/>
                <w:color w:val="auto"/>
                <w:vertAlign w:val="superscript"/>
              </w:rPr>
              <w:t>(2)</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7,320,000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3760" w:type="dxa"/>
            <w:vAlign w:val="bottom"/>
          </w:tcPr>
          <w:p>
            <w:pPr>
              <w:spacing w:after="0" w:line="197" w:lineRule="exact"/>
              <w:rPr>
                <w:sz w:val="20"/>
                <w:szCs w:val="20"/>
                <w:color w:val="auto"/>
              </w:rPr>
            </w:pPr>
            <w:r>
              <w:rPr>
                <w:rFonts w:ascii="Times New Roman" w:cs="Times New Roman" w:eastAsia="Times New Roman" w:hAnsi="Times New Roman"/>
                <w:sz w:val="16"/>
                <w:szCs w:val="16"/>
                <w:color w:val="auto"/>
              </w:rPr>
              <w:t>Series A-1 Warrants</w:t>
            </w:r>
            <w:r>
              <w:rPr>
                <w:rFonts w:ascii="Times New Roman" w:cs="Times New Roman" w:eastAsia="Times New Roman" w:hAnsi="Times New Roman"/>
                <w:sz w:val="22"/>
                <w:szCs w:val="22"/>
                <w:color w:val="auto"/>
                <w:vertAlign w:val="superscript"/>
              </w:rPr>
              <w:t>(2)</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3760" w:type="dxa"/>
            <w:vAlign w:val="bottom"/>
          </w:tcPr>
          <w:p>
            <w:pPr>
              <w:spacing w:after="0" w:line="197" w:lineRule="exact"/>
              <w:rPr>
                <w:sz w:val="20"/>
                <w:szCs w:val="20"/>
                <w:color w:val="auto"/>
              </w:rPr>
            </w:pPr>
            <w:r>
              <w:rPr>
                <w:rFonts w:ascii="Times New Roman" w:cs="Times New Roman" w:eastAsia="Times New Roman" w:hAnsi="Times New Roman"/>
                <w:sz w:val="16"/>
                <w:szCs w:val="16"/>
                <w:color w:val="auto"/>
              </w:rPr>
              <w:t>Series B-1 Warrants</w:t>
            </w:r>
            <w:r>
              <w:rPr>
                <w:rFonts w:ascii="Times New Roman" w:cs="Times New Roman" w:eastAsia="Times New Roman" w:hAnsi="Times New Roman"/>
                <w:sz w:val="22"/>
                <w:szCs w:val="22"/>
                <w:color w:val="auto"/>
                <w:vertAlign w:val="superscript"/>
              </w:rPr>
              <w:t>(4)</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$528.71</w:t>
            </w:r>
          </w:p>
        </w:tc>
      </w:tr>
      <w:tr>
        <w:trPr>
          <w:trHeight w:val="197"/>
        </w:trPr>
        <w:tc>
          <w:tcPr>
            <w:tcW w:w="3760" w:type="dxa"/>
            <w:vAlign w:val="bottom"/>
          </w:tcPr>
          <w:p>
            <w:pPr>
              <w:spacing w:after="0" w:line="197" w:lineRule="exact"/>
              <w:rPr>
                <w:sz w:val="20"/>
                <w:szCs w:val="20"/>
                <w:color w:val="auto"/>
              </w:rPr>
            </w:pPr>
            <w:r>
              <w:rPr>
                <w:rFonts w:ascii="Times New Roman" w:cs="Times New Roman" w:eastAsia="Times New Roman" w:hAnsi="Times New Roman"/>
                <w:sz w:val="16"/>
                <w:szCs w:val="16"/>
                <w:color w:val="auto"/>
              </w:rPr>
              <w:t>Series C-1 Warrants</w:t>
            </w:r>
            <w:r>
              <w:rPr>
                <w:rFonts w:ascii="Times New Roman" w:cs="Times New Roman" w:eastAsia="Times New Roman" w:hAnsi="Times New Roman"/>
                <w:sz w:val="22"/>
                <w:szCs w:val="22"/>
                <w:color w:val="auto"/>
                <w:vertAlign w:val="superscript"/>
              </w:rPr>
              <w:t>(2)</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3760" w:type="dxa"/>
            <w:vAlign w:val="bottom"/>
          </w:tcPr>
          <w:p>
            <w:pPr>
              <w:spacing w:after="0" w:line="197" w:lineRule="exact"/>
              <w:rPr>
                <w:sz w:val="20"/>
                <w:szCs w:val="20"/>
                <w:color w:val="auto"/>
              </w:rPr>
            </w:pPr>
            <w:r>
              <w:rPr>
                <w:rFonts w:ascii="Times New Roman" w:cs="Times New Roman" w:eastAsia="Times New Roman" w:hAnsi="Times New Roman"/>
                <w:sz w:val="16"/>
                <w:szCs w:val="16"/>
                <w:color w:val="auto"/>
              </w:rPr>
              <w:t>Series D-1 Warrants</w:t>
            </w:r>
            <w:r>
              <w:rPr>
                <w:rFonts w:ascii="Times New Roman" w:cs="Times New Roman" w:eastAsia="Times New Roman" w:hAnsi="Times New Roman"/>
                <w:sz w:val="22"/>
                <w:szCs w:val="22"/>
                <w:color w:val="auto"/>
                <w:vertAlign w:val="superscript"/>
              </w:rPr>
              <w:t>(2)</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3760" w:type="dxa"/>
            <w:vAlign w:val="bottom"/>
          </w:tcPr>
          <w:p>
            <w:pPr>
              <w:spacing w:after="0" w:line="197" w:lineRule="exact"/>
              <w:rPr>
                <w:sz w:val="20"/>
                <w:szCs w:val="20"/>
                <w:color w:val="auto"/>
              </w:rPr>
            </w:pPr>
            <w:r>
              <w:rPr>
                <w:rFonts w:ascii="Times New Roman" w:cs="Times New Roman" w:eastAsia="Times New Roman" w:hAnsi="Times New Roman"/>
                <w:sz w:val="16"/>
                <w:szCs w:val="16"/>
                <w:color w:val="auto"/>
              </w:rPr>
              <w:t>Series E-1 Warrants</w:t>
            </w:r>
            <w:r>
              <w:rPr>
                <w:rFonts w:ascii="Times New Roman" w:cs="Times New Roman" w:eastAsia="Times New Roman" w:hAnsi="Times New Roman"/>
                <w:sz w:val="22"/>
                <w:szCs w:val="22"/>
                <w:color w:val="auto"/>
                <w:vertAlign w:val="superscript"/>
              </w:rPr>
              <w:t>(2)</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3760" w:type="dxa"/>
            <w:vAlign w:val="bottom"/>
          </w:tcPr>
          <w:p>
            <w:pPr>
              <w:spacing w:after="0" w:line="213" w:lineRule="exact"/>
              <w:rPr>
                <w:sz w:val="20"/>
                <w:szCs w:val="20"/>
                <w:color w:val="auto"/>
              </w:rPr>
            </w:pPr>
            <w:r>
              <w:rPr>
                <w:rFonts w:ascii="Times New Roman" w:cs="Times New Roman" w:eastAsia="Times New Roman" w:hAnsi="Times New Roman"/>
                <w:sz w:val="16"/>
                <w:szCs w:val="16"/>
                <w:color w:val="auto"/>
              </w:rPr>
              <w:t>Common Stock</w:t>
            </w:r>
            <w:r>
              <w:rPr>
                <w:rFonts w:ascii="Times New Roman" w:cs="Times New Roman" w:eastAsia="Times New Roman" w:hAnsi="Times New Roman"/>
                <w:sz w:val="22"/>
                <w:szCs w:val="22"/>
                <w:color w:val="auto"/>
                <w:vertAlign w:val="superscript"/>
              </w:rPr>
              <w:t>(5)</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$1057.42</w:t>
            </w:r>
          </w:p>
        </w:tc>
      </w:tr>
      <w:tr>
        <w:trPr>
          <w:trHeight w:val="214"/>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900" w:type="dxa"/>
            <w:vAlign w:val="bottom"/>
            <w:gridSpan w:val="2"/>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93,126,792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3,135</w:t>
            </w:r>
          </w:p>
        </w:tc>
        <w:tc>
          <w:tcPr>
            <w:tcW w:w="20" w:type="dxa"/>
            <w:vAlign w:val="bottom"/>
          </w:tcPr>
          <w:p>
            <w:pPr>
              <w:spacing w:after="0"/>
              <w:rPr>
                <w:sz w:val="18"/>
                <w:szCs w:val="18"/>
                <w:color w:val="auto"/>
              </w:rPr>
            </w:pPr>
          </w:p>
        </w:tc>
      </w:tr>
    </w:tbl>
    <w:p>
      <w:pPr>
        <w:spacing w:after="0" w:line="385" w:lineRule="exact"/>
        <w:rPr>
          <w:sz w:val="20"/>
          <w:szCs w:val="20"/>
          <w:color w:val="auto"/>
        </w:rPr>
      </w:pPr>
    </w:p>
    <w:p>
      <w:pPr>
        <w:ind w:left="540" w:hanging="366"/>
        <w:spacing w:after="0"/>
        <w:tabs>
          <w:tab w:leader="none" w:pos="5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the purpose of calculating the registration fee pursuant to Rule 457 under the Securities Act of 1933, as amended.</w:t>
      </w:r>
    </w:p>
    <w:p>
      <w:pPr>
        <w:spacing w:after="0" w:line="30" w:lineRule="exact"/>
        <w:rPr>
          <w:rFonts w:ascii="Times New Roman" w:cs="Times New Roman" w:eastAsia="Times New Roman" w:hAnsi="Times New Roman"/>
          <w:sz w:val="16"/>
          <w:szCs w:val="16"/>
          <w:color w:val="auto"/>
        </w:rPr>
      </w:pPr>
    </w:p>
    <w:p>
      <w:pPr>
        <w:ind w:left="540" w:hanging="366"/>
        <w:spacing w:after="0"/>
        <w:tabs>
          <w:tab w:leader="none" w:pos="5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shares were previously included in Registration Statement No. 333-196115 for which all filing fees were paid.</w:t>
      </w:r>
    </w:p>
    <w:p>
      <w:pPr>
        <w:spacing w:after="0" w:line="13" w:lineRule="exact"/>
        <w:rPr>
          <w:rFonts w:ascii="Times New Roman" w:cs="Times New Roman" w:eastAsia="Times New Roman" w:hAnsi="Times New Roman"/>
          <w:sz w:val="16"/>
          <w:szCs w:val="16"/>
          <w:color w:val="auto"/>
        </w:rPr>
      </w:pPr>
    </w:p>
    <w:p>
      <w:pPr>
        <w:jc w:val="both"/>
        <w:ind w:left="540" w:right="40" w:hanging="366"/>
        <w:spacing w:after="0" w:line="257" w:lineRule="auto"/>
        <w:tabs>
          <w:tab w:leader="none" w:pos="5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7,320,000 of these shares were previously included in Registration Statement No. 333-196115 for which all filing fees were paid. 7,320,000 of these shares are being registered hereby for which filing fees of $774.03 has been paid in connection herewith. We estimated the amount of this filing fee based on the closing price of our common stock on June 16, 2015 of $0.91 as reported on the OTCQB.</w:t>
      </w:r>
    </w:p>
    <w:p>
      <w:pPr>
        <w:jc w:val="both"/>
        <w:ind w:left="540" w:right="40" w:hanging="366"/>
        <w:spacing w:after="0" w:line="257" w:lineRule="auto"/>
        <w:tabs>
          <w:tab w:leader="none" w:pos="5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5,000,000 of these shares were previously included in Registration Statement No. 333-196115 for which all filing fees were paid. 5,000,000 of these shares are being registered hereby for which filing fees of $528.71 has been paid in connection herewith. We estimated the amount of this filing fee based on the closing price of our common stock on June 16, 2015 of $0.91 as reported on the OTCQB.</w:t>
      </w:r>
    </w:p>
    <w:p>
      <w:pPr>
        <w:ind w:left="540" w:right="20" w:hanging="366"/>
        <w:spacing w:after="0" w:line="274" w:lineRule="auto"/>
        <w:tabs>
          <w:tab w:leader="none" w:pos="5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shares are being registered hereby for which filing fees of $1057.42 has been paid in connection herewith. We estimated the amount of this filing fee based on the closing price of our common stock on June 16, 2015 of $0.91 as reported on the OTCQB.</w:t>
      </w:r>
    </w:p>
    <w:p>
      <w:pPr>
        <w:spacing w:after="0" w:line="1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539115</wp:posOffset>
            </wp:positionV>
            <wp:extent cx="7263765"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52"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We filed a registration statement on Form S-3 (Registration No. 333-196115) (as amended on July 21, 2014, the “Original Registration Statement”) declared effective by the Securities and Exchange Commission on July 23, 2014, which registered shares of our common stock, warrants and shares of our common stock underlying those warrants. In connection with the Original Registration Statement, we offered and sold shares of our common stock and warrants to purchase shares of our common stock pursuant to prospectus supplements filed with the U.S. Securities and Exchange Commission on August 13, 2014, January 12, 2015 and March 9, 2015. We are filing this Post-Effective Amendment No.1 to Form S-3/A on Form S-1 to amend the Original Registration Statement into a registration statement on Form S-1 to:</w:t>
      </w:r>
    </w:p>
    <w:p>
      <w:pPr>
        <w:spacing w:after="0" w:line="163" w:lineRule="exact"/>
        <w:rPr>
          <w:sz w:val="20"/>
          <w:szCs w:val="20"/>
          <w:color w:val="auto"/>
        </w:rPr>
      </w:pPr>
    </w:p>
    <w:p>
      <w:pPr>
        <w:ind w:left="580" w:hanging="286"/>
        <w:spacing w:after="0"/>
        <w:tabs>
          <w:tab w:leader="none" w:pos="5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the registration of:</w:t>
      </w:r>
    </w:p>
    <w:p>
      <w:pPr>
        <w:spacing w:after="0" w:line="210" w:lineRule="exact"/>
        <w:rPr>
          <w:rFonts w:ascii="Times New Roman" w:cs="Times New Roman" w:eastAsia="Times New Roman" w:hAnsi="Times New Roman"/>
          <w:sz w:val="16"/>
          <w:szCs w:val="16"/>
          <w:color w:val="auto"/>
        </w:rPr>
      </w:pPr>
    </w:p>
    <w:p>
      <w:pPr>
        <w:ind w:left="880" w:hanging="290"/>
        <w:spacing w:after="0"/>
        <w:tabs>
          <w:tab w:leader="none" w:pos="88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1,866,792 shares of common stock issuable upon exercise of warrants originally issued subject to a Prospectus Supplement dated August 13, 2014,</w:t>
      </w:r>
    </w:p>
    <w:p>
      <w:pPr>
        <w:spacing w:after="0" w:line="210" w:lineRule="exact"/>
        <w:rPr>
          <w:rFonts w:ascii="Times New Roman" w:cs="Times New Roman" w:eastAsia="Times New Roman" w:hAnsi="Times New Roman"/>
          <w:sz w:val="16"/>
          <w:szCs w:val="16"/>
          <w:color w:val="auto"/>
        </w:rPr>
      </w:pPr>
    </w:p>
    <w:p>
      <w:pPr>
        <w:ind w:left="880" w:hanging="290"/>
        <w:spacing w:after="0" w:line="268" w:lineRule="auto"/>
        <w:tabs>
          <w:tab w:leader="none" w:pos="88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7,320,000 shares of common stock issuable upon exercise of the Series A Warrants originally issued subject to a Prospectus Supplement dated January 12, 2015,</w:t>
      </w:r>
    </w:p>
    <w:p>
      <w:pPr>
        <w:spacing w:after="0" w:line="385" w:lineRule="exact"/>
        <w:rPr>
          <w:rFonts w:ascii="Times New Roman" w:cs="Times New Roman" w:eastAsia="Times New Roman" w:hAnsi="Times New Roman"/>
          <w:sz w:val="16"/>
          <w:szCs w:val="16"/>
          <w:color w:val="auto"/>
        </w:rPr>
      </w:pPr>
    </w:p>
    <w:p>
      <w:pPr>
        <w:ind w:left="880" w:hanging="290"/>
        <w:spacing w:after="0" w:line="268" w:lineRule="auto"/>
        <w:tabs>
          <w:tab w:leader="none" w:pos="88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7,320,000 shares of common stock issuable upon exercise of the Series B Warrants originally issued subject to a Prospectus Supplement dated January 12, 2015,</w:t>
      </w:r>
    </w:p>
    <w:p>
      <w:pPr>
        <w:spacing w:after="0" w:line="385" w:lineRule="exact"/>
        <w:rPr>
          <w:rFonts w:ascii="Times New Roman" w:cs="Times New Roman" w:eastAsia="Times New Roman" w:hAnsi="Times New Roman"/>
          <w:sz w:val="16"/>
          <w:szCs w:val="16"/>
          <w:color w:val="auto"/>
        </w:rPr>
      </w:pPr>
    </w:p>
    <w:p>
      <w:pPr>
        <w:ind w:left="880" w:hanging="290"/>
        <w:spacing w:after="0" w:line="268" w:lineRule="auto"/>
        <w:tabs>
          <w:tab w:leader="none" w:pos="88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7,320,000 shares of common stock issuable upon exercise of the Series C Warrants originally issued subject to a Prospectus Supplement dated January 12, 2015,</w:t>
      </w:r>
    </w:p>
    <w:p>
      <w:pPr>
        <w:spacing w:after="0" w:line="385" w:lineRule="exact"/>
        <w:rPr>
          <w:rFonts w:ascii="Times New Roman" w:cs="Times New Roman" w:eastAsia="Times New Roman" w:hAnsi="Times New Roman"/>
          <w:sz w:val="16"/>
          <w:szCs w:val="16"/>
          <w:color w:val="auto"/>
        </w:rPr>
      </w:pPr>
    </w:p>
    <w:p>
      <w:pPr>
        <w:ind w:left="880" w:hanging="290"/>
        <w:spacing w:after="0" w:line="268" w:lineRule="auto"/>
        <w:tabs>
          <w:tab w:leader="none" w:pos="88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7,320,000 shares of common stock issuable upon exercise of the Series D Warrants originally issued subject to a Prospectus Supplement dated January 12, 2015,</w:t>
      </w:r>
    </w:p>
    <w:p>
      <w:pPr>
        <w:spacing w:after="0" w:line="385" w:lineRule="exact"/>
        <w:rPr>
          <w:rFonts w:ascii="Times New Roman" w:cs="Times New Roman" w:eastAsia="Times New Roman" w:hAnsi="Times New Roman"/>
          <w:sz w:val="16"/>
          <w:szCs w:val="16"/>
          <w:color w:val="auto"/>
        </w:rPr>
      </w:pPr>
    </w:p>
    <w:p>
      <w:pPr>
        <w:ind w:left="880" w:hanging="290"/>
        <w:spacing w:after="0"/>
        <w:tabs>
          <w:tab w:leader="none" w:pos="88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7,320,000 shares of common stock issuable upon exercise of the Series E Warrants originally issued subject to a Prospectus Supplement dated January 12, 2015,</w:t>
      </w:r>
    </w:p>
    <w:p>
      <w:pPr>
        <w:spacing w:after="0" w:line="210" w:lineRule="exact"/>
        <w:rPr>
          <w:rFonts w:ascii="Times New Roman" w:cs="Times New Roman" w:eastAsia="Times New Roman" w:hAnsi="Times New Roman"/>
          <w:sz w:val="16"/>
          <w:szCs w:val="16"/>
          <w:color w:val="auto"/>
        </w:rPr>
      </w:pPr>
    </w:p>
    <w:p>
      <w:pPr>
        <w:ind w:left="880" w:hanging="290"/>
        <w:spacing w:after="0"/>
        <w:tabs>
          <w:tab w:leader="none" w:pos="88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5,000,000 shares of common stock issuable upon exercise of the Series A-1 Warrants originally issued subject to a Prospectus Supplement dated March 9, 2015,</w:t>
      </w:r>
    </w:p>
    <w:p>
      <w:pPr>
        <w:spacing w:after="0" w:line="210" w:lineRule="exact"/>
        <w:rPr>
          <w:rFonts w:ascii="Times New Roman" w:cs="Times New Roman" w:eastAsia="Times New Roman" w:hAnsi="Times New Roman"/>
          <w:sz w:val="16"/>
          <w:szCs w:val="16"/>
          <w:color w:val="auto"/>
        </w:rPr>
      </w:pPr>
    </w:p>
    <w:p>
      <w:pPr>
        <w:ind w:left="880" w:hanging="290"/>
        <w:spacing w:after="0"/>
        <w:tabs>
          <w:tab w:leader="none" w:pos="88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5,000,000 shares of common stock issuable upon exercise of the Series B-1 Warrants originally issued subject to a Prospectus Supplement dated March 9, 2015,</w:t>
      </w:r>
    </w:p>
    <w:p>
      <w:pPr>
        <w:spacing w:after="0" w:line="210" w:lineRule="exact"/>
        <w:rPr>
          <w:rFonts w:ascii="Times New Roman" w:cs="Times New Roman" w:eastAsia="Times New Roman" w:hAnsi="Times New Roman"/>
          <w:sz w:val="16"/>
          <w:szCs w:val="16"/>
          <w:color w:val="auto"/>
        </w:rPr>
      </w:pPr>
    </w:p>
    <w:p>
      <w:pPr>
        <w:ind w:left="880" w:hanging="290"/>
        <w:spacing w:after="0"/>
        <w:tabs>
          <w:tab w:leader="none" w:pos="88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5,000,000 shares of common stock issuable upon exercise of the Series C-1 Warrants originally issued subject to a Prospectus Supplement dated March 9, 2015,</w:t>
      </w:r>
    </w:p>
    <w:p>
      <w:pPr>
        <w:spacing w:after="0" w:line="210" w:lineRule="exact"/>
        <w:rPr>
          <w:rFonts w:ascii="Times New Roman" w:cs="Times New Roman" w:eastAsia="Times New Roman" w:hAnsi="Times New Roman"/>
          <w:sz w:val="16"/>
          <w:szCs w:val="16"/>
          <w:color w:val="auto"/>
        </w:rPr>
      </w:pPr>
    </w:p>
    <w:p>
      <w:pPr>
        <w:ind w:left="880" w:hanging="290"/>
        <w:spacing w:after="0"/>
        <w:tabs>
          <w:tab w:leader="none" w:pos="88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5,000,000 shares of common stock issuable upon exercise of the Series D-1 Warrants originally issued subject to a Prospectus Supplement dated March 9, 2015,</w:t>
      </w:r>
    </w:p>
    <w:p>
      <w:pPr>
        <w:spacing w:after="0" w:line="210" w:lineRule="exact"/>
        <w:rPr>
          <w:rFonts w:ascii="Times New Roman" w:cs="Times New Roman" w:eastAsia="Times New Roman" w:hAnsi="Times New Roman"/>
          <w:sz w:val="16"/>
          <w:szCs w:val="16"/>
          <w:color w:val="auto"/>
        </w:rPr>
      </w:pPr>
    </w:p>
    <w:p>
      <w:pPr>
        <w:ind w:left="880" w:hanging="290"/>
        <w:spacing w:after="0" w:line="268" w:lineRule="auto"/>
        <w:tabs>
          <w:tab w:leader="none" w:pos="88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5,000,000 shares of common stock issuable upon exercise of the Series E-1 Warrants originally issued subject to a Prospectus Supplement dated March 9, 2015 and</w:t>
      </w:r>
    </w:p>
    <w:p>
      <w:pPr>
        <w:spacing w:after="0" w:line="3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all such warrants and shares underlying the warrants having been previously registered on the Original Registration Statement,</w:t>
      </w:r>
    </w:p>
    <w:p>
      <w:pPr>
        <w:spacing w:after="0" w:line="210" w:lineRule="exact"/>
        <w:rPr>
          <w:sz w:val="20"/>
          <w:szCs w:val="20"/>
          <w:color w:val="auto"/>
        </w:rPr>
      </w:pPr>
    </w:p>
    <w:p>
      <w:pPr>
        <w:ind w:left="580" w:hanging="286"/>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register:</w:t>
      </w:r>
    </w:p>
    <w:p>
      <w:pPr>
        <w:spacing w:after="0" w:line="210" w:lineRule="exact"/>
        <w:rPr>
          <w:rFonts w:ascii="Times New Roman" w:cs="Times New Roman" w:eastAsia="Times New Roman" w:hAnsi="Times New Roman"/>
          <w:sz w:val="16"/>
          <w:szCs w:val="16"/>
          <w:color w:val="auto"/>
        </w:rPr>
      </w:pPr>
    </w:p>
    <w:p>
      <w:pPr>
        <w:ind w:left="880" w:hanging="290"/>
        <w:spacing w:after="0" w:line="296" w:lineRule="auto"/>
        <w:tabs>
          <w:tab w:leader="none" w:pos="88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7,320,000 shares of common stock issuable upon exercise of an additional 7,320,000 Series B Warrants issued subject to a Restructuring Agreement pursuant to which the Series B Warrants mentioned in (i)(c) above were doubled,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384810</wp:posOffset>
            </wp:positionV>
            <wp:extent cx="726376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1067" w:right="239" w:bottom="1440" w:gutter="0" w:footer="0" w:header="0"/>
        </w:sectPr>
      </w:pPr>
    </w:p>
    <w:bookmarkStart w:id="3" w:name="page4"/>
    <w:bookmarkEnd w:id="3"/>
    <w:p>
      <w:pPr>
        <w:ind w:left="880" w:hanging="290"/>
        <w:spacing w:after="0" w:line="296" w:lineRule="auto"/>
        <w:tabs>
          <w:tab w:leader="none" w:pos="88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7,320,000 shares of common stock issuable upon exercise of an additional 7,320,000 Series C Warrants issued subject to a Restructuring Agreement pursuant to which the Series C Warrants mentioned in (i)(d) above were doubled,</w:t>
      </w:r>
    </w:p>
    <w:p>
      <w:pPr>
        <w:spacing w:after="0" w:line="162" w:lineRule="exact"/>
        <w:rPr>
          <w:rFonts w:ascii="Times New Roman" w:cs="Times New Roman" w:eastAsia="Times New Roman" w:hAnsi="Times New Roman"/>
          <w:sz w:val="16"/>
          <w:szCs w:val="16"/>
          <w:color w:val="auto"/>
        </w:rPr>
      </w:pPr>
    </w:p>
    <w:p>
      <w:pPr>
        <w:ind w:left="880" w:hanging="290"/>
        <w:spacing w:after="0" w:line="296" w:lineRule="auto"/>
        <w:tabs>
          <w:tab w:leader="none" w:pos="88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5,000,000 shares of common stock issuable upon exercise of an additional 5,000,000 Series B-1 Warrants issued subject to a Restructuring Agreement pursuant to which the Series B-1 Warrants mentioned in (i)(h) above were doubled,</w:t>
      </w:r>
    </w:p>
    <w:p>
      <w:pPr>
        <w:spacing w:after="0" w:line="162" w:lineRule="exact"/>
        <w:rPr>
          <w:rFonts w:ascii="Times New Roman" w:cs="Times New Roman" w:eastAsia="Times New Roman" w:hAnsi="Times New Roman"/>
          <w:sz w:val="16"/>
          <w:szCs w:val="16"/>
          <w:color w:val="auto"/>
        </w:rPr>
      </w:pPr>
    </w:p>
    <w:p>
      <w:pPr>
        <w:ind w:left="880" w:hanging="290"/>
        <w:spacing w:after="0" w:line="296" w:lineRule="auto"/>
        <w:tabs>
          <w:tab w:leader="none" w:pos="88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5,000,000 shares of common stock issued to a shareholder upon its exercise on June 16, 2015 of 5,000,000 Series C-1 Warrants issued subject to a Restructuring Agreement pursuant to which the Series C-1 Warrants mentioned in (i)(i) above were doubled and</w:t>
      </w:r>
    </w:p>
    <w:p>
      <w:pPr>
        <w:spacing w:after="0" w:line="162" w:lineRule="exact"/>
        <w:rPr>
          <w:rFonts w:ascii="Times New Roman" w:cs="Times New Roman" w:eastAsia="Times New Roman" w:hAnsi="Times New Roman"/>
          <w:sz w:val="16"/>
          <w:szCs w:val="16"/>
          <w:color w:val="auto"/>
        </w:rPr>
      </w:pPr>
    </w:p>
    <w:p>
      <w:pPr>
        <w:ind w:left="880" w:hanging="290"/>
        <w:spacing w:after="0"/>
        <w:tabs>
          <w:tab w:leader="none" w:pos="88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5,000,000 shares of common stock issued to a shareholder in March 2015 and</w:t>
      </w:r>
    </w:p>
    <w:p>
      <w:pPr>
        <w:spacing w:after="0" w:line="234"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remove from registration the unsold portion of securities registered under the Original Registration Statement.</w:t>
      </w:r>
    </w:p>
    <w:p>
      <w:pPr>
        <w:spacing w:after="0" w:line="23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394970</wp:posOffset>
            </wp:positionV>
            <wp:extent cx="7263765"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4" w:name="page5"/>
    <w:bookmarkEnd w:id="4"/>
    <w:p>
      <w:pPr>
        <w:jc w:val="both"/>
        <w:spacing w:after="0" w:line="279" w:lineRule="auto"/>
        <w:rPr>
          <w:sz w:val="20"/>
          <w:szCs w:val="20"/>
          <w:color w:val="auto"/>
        </w:rPr>
      </w:pPr>
      <w:r>
        <w:rPr>
          <w:rFonts w:ascii="Times New Roman" w:cs="Times New Roman" w:eastAsia="Times New Roman" w:hAnsi="Times New Roman"/>
          <w:sz w:val="16"/>
          <w:szCs w:val="16"/>
          <w:b w:val="1"/>
          <w:bCs w:val="1"/>
          <w:i w:val="1"/>
          <w:i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Subject to Completion—Dated June [--], 2015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1741805</wp:posOffset>
            </wp:positionV>
            <wp:extent cx="727456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4560" cy="7620"/>
                    </a:xfrm>
                    <a:prstGeom prst="rect">
                      <a:avLst/>
                    </a:prstGeom>
                    <a:noFill/>
                  </pic:spPr>
                </pic:pic>
              </a:graphicData>
            </a:graphic>
          </wp:anchor>
        </w:drawing>
        <w:drawing>
          <wp:anchor simplePos="0" relativeHeight="251657728" behindDoc="1" locked="0" layoutInCell="0" allowOverlap="1">
            <wp:simplePos x="0" y="0"/>
            <wp:positionH relativeFrom="column">
              <wp:posOffset>2682240</wp:posOffset>
            </wp:positionH>
            <wp:positionV relativeFrom="paragraph">
              <wp:posOffset>302895</wp:posOffset>
            </wp:positionV>
            <wp:extent cx="1900555" cy="969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00555" cy="969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93,126,792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2745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This prospectus covers the resale of:</w:t>
      </w:r>
    </w:p>
    <w:p>
      <w:pPr>
        <w:spacing w:after="0" w:line="210" w:lineRule="exact"/>
        <w:rPr>
          <w:sz w:val="20"/>
          <w:szCs w:val="20"/>
          <w:color w:val="auto"/>
        </w:rPr>
      </w:pPr>
    </w:p>
    <w:p>
      <w:pPr>
        <w:ind w:left="1180" w:hanging="590"/>
        <w:spacing w:after="0"/>
        <w:tabs>
          <w:tab w:leader="none" w:pos="11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1,886,792 shares of common stock issuable upon exercise of warrants originally issued subject to a Prospectus Supplement dated August 13, 2014,</w:t>
      </w:r>
    </w:p>
    <w:p>
      <w:pPr>
        <w:spacing w:after="0" w:line="210" w:lineRule="exact"/>
        <w:rPr>
          <w:rFonts w:ascii="Times New Roman" w:cs="Times New Roman" w:eastAsia="Times New Roman" w:hAnsi="Times New Roman"/>
          <w:sz w:val="16"/>
          <w:szCs w:val="16"/>
          <w:color w:val="auto"/>
        </w:rPr>
      </w:pPr>
    </w:p>
    <w:p>
      <w:pPr>
        <w:ind w:left="1180" w:hanging="590"/>
        <w:spacing w:after="0" w:line="296" w:lineRule="auto"/>
        <w:tabs>
          <w:tab w:leader="none" w:pos="11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7,320,000 shares of common stock issuable upon exercise of the Series A Warrants originally issued subject to a Prospectus Supplement dated January 12, 2015,</w:t>
      </w:r>
    </w:p>
    <w:p>
      <w:pPr>
        <w:spacing w:after="0" w:line="137" w:lineRule="exact"/>
        <w:rPr>
          <w:rFonts w:ascii="Times New Roman" w:cs="Times New Roman" w:eastAsia="Times New Roman" w:hAnsi="Times New Roman"/>
          <w:sz w:val="16"/>
          <w:szCs w:val="16"/>
          <w:color w:val="auto"/>
        </w:rPr>
      </w:pPr>
    </w:p>
    <w:p>
      <w:pPr>
        <w:ind w:left="1180" w:hanging="590"/>
        <w:spacing w:after="0" w:line="296" w:lineRule="auto"/>
        <w:tabs>
          <w:tab w:leader="none" w:pos="11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7,320,000 shares of common stock issuable upon exercise of the Series B Warrants originally issued subject to a Prospectus Supplement dated January 12, 2015,</w:t>
      </w:r>
    </w:p>
    <w:p>
      <w:pPr>
        <w:spacing w:after="0" w:line="137" w:lineRule="exact"/>
        <w:rPr>
          <w:rFonts w:ascii="Times New Roman" w:cs="Times New Roman" w:eastAsia="Times New Roman" w:hAnsi="Times New Roman"/>
          <w:sz w:val="16"/>
          <w:szCs w:val="16"/>
          <w:color w:val="auto"/>
        </w:rPr>
      </w:pPr>
    </w:p>
    <w:p>
      <w:pPr>
        <w:ind w:left="1180" w:hanging="590"/>
        <w:spacing w:after="0" w:line="296" w:lineRule="auto"/>
        <w:tabs>
          <w:tab w:leader="none" w:pos="11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7,320,000 shares of common stock issuable upon exercise of an additional 7,320,000 Series B Warrants issued on May 28, 2015 subject to a Restructuring Agreement pursuant to which the Series B Warrants mentioned were doubled,</w:t>
      </w:r>
    </w:p>
    <w:p>
      <w:pPr>
        <w:spacing w:after="0" w:line="137" w:lineRule="exact"/>
        <w:rPr>
          <w:rFonts w:ascii="Times New Roman" w:cs="Times New Roman" w:eastAsia="Times New Roman" w:hAnsi="Times New Roman"/>
          <w:sz w:val="16"/>
          <w:szCs w:val="16"/>
          <w:color w:val="auto"/>
        </w:rPr>
      </w:pPr>
    </w:p>
    <w:p>
      <w:pPr>
        <w:ind w:left="1180" w:hanging="590"/>
        <w:spacing w:after="0" w:line="296" w:lineRule="auto"/>
        <w:tabs>
          <w:tab w:leader="none" w:pos="11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7,320,000 shares of common stock issuable upon exercise of the Series C Warrants originally issued subject to a Prospectus Supplement dated January 12, 2015,</w:t>
      </w:r>
    </w:p>
    <w:p>
      <w:pPr>
        <w:spacing w:after="0" w:line="137" w:lineRule="exact"/>
        <w:rPr>
          <w:rFonts w:ascii="Times New Roman" w:cs="Times New Roman" w:eastAsia="Times New Roman" w:hAnsi="Times New Roman"/>
          <w:sz w:val="16"/>
          <w:szCs w:val="16"/>
          <w:color w:val="auto"/>
        </w:rPr>
      </w:pPr>
    </w:p>
    <w:p>
      <w:pPr>
        <w:ind w:left="1180" w:hanging="590"/>
        <w:spacing w:after="0" w:line="296" w:lineRule="auto"/>
        <w:tabs>
          <w:tab w:leader="none" w:pos="11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7,320,000 shares of common stock issuable upon exercise of an additional 7,320,000 Series C Warrants issued on May 28, 2015 subject to a Restructuring Agreement pursuant to which the Series C Warrants mentioned above were doubled,</w:t>
      </w:r>
    </w:p>
    <w:p>
      <w:pPr>
        <w:spacing w:after="0" w:line="137" w:lineRule="exact"/>
        <w:rPr>
          <w:rFonts w:ascii="Times New Roman" w:cs="Times New Roman" w:eastAsia="Times New Roman" w:hAnsi="Times New Roman"/>
          <w:sz w:val="16"/>
          <w:szCs w:val="16"/>
          <w:color w:val="auto"/>
        </w:rPr>
      </w:pPr>
    </w:p>
    <w:p>
      <w:pPr>
        <w:ind w:left="1180" w:hanging="549"/>
        <w:spacing w:after="0" w:line="296" w:lineRule="auto"/>
        <w:tabs>
          <w:tab w:leader="none" w:pos="118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7,320,000 shares of common stock issuable upon exercise of the Series D Warrants originally issued subject to a Prospectus Supplement dated January 12, 2015,</w:t>
      </w:r>
    </w:p>
    <w:p>
      <w:pPr>
        <w:spacing w:after="0" w:line="137" w:lineRule="exact"/>
        <w:rPr>
          <w:rFonts w:ascii="Times New Roman" w:cs="Times New Roman" w:eastAsia="Times New Roman" w:hAnsi="Times New Roman"/>
          <w:sz w:val="16"/>
          <w:szCs w:val="16"/>
          <w:color w:val="auto"/>
        </w:rPr>
      </w:pPr>
    </w:p>
    <w:p>
      <w:pPr>
        <w:ind w:left="1180" w:hanging="590"/>
        <w:spacing w:after="0" w:line="296" w:lineRule="auto"/>
        <w:tabs>
          <w:tab w:leader="none" w:pos="118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7,320,000 shares of common stock issuable upon exercise of the Series E Warrants originally issued subject to a Prospectus Supplement dated January 12, 2015,</w:t>
      </w:r>
    </w:p>
    <w:p>
      <w:pPr>
        <w:spacing w:after="0" w:line="137" w:lineRule="exact"/>
        <w:rPr>
          <w:sz w:val="20"/>
          <w:szCs w:val="20"/>
          <w:color w:val="auto"/>
        </w:rPr>
      </w:pPr>
    </w:p>
    <w:p>
      <w:pPr>
        <w:ind w:left="1180" w:hanging="590"/>
        <w:spacing w:after="0" w:line="296" w:lineRule="auto"/>
        <w:tabs>
          <w:tab w:leader="none" w:pos="11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5,000,000 shares of common stock issuable upon exercise of the Series A-1 Warrants originally issued subject to a Prospectus Supplement dated March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525780</wp:posOffset>
            </wp:positionV>
            <wp:extent cx="7263765"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5" w:name="page6"/>
    <w:bookmarkEnd w:id="5"/>
    <w:p>
      <w:pPr>
        <w:ind w:left="1180" w:hanging="590"/>
        <w:spacing w:after="0" w:line="296" w:lineRule="auto"/>
        <w:tabs>
          <w:tab w:leader="none" w:pos="11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5,000,000 shares of common stock issuable upon exercise of the Series B-1 Warrants originally issued subject to a Prospectus Supplement dated March 9, 2015,</w:t>
      </w:r>
    </w:p>
    <w:p>
      <w:pPr>
        <w:spacing w:after="0" w:line="162" w:lineRule="exact"/>
        <w:rPr>
          <w:rFonts w:ascii="Times New Roman" w:cs="Times New Roman" w:eastAsia="Times New Roman" w:hAnsi="Times New Roman"/>
          <w:sz w:val="16"/>
          <w:szCs w:val="16"/>
          <w:color w:val="auto"/>
        </w:rPr>
      </w:pPr>
    </w:p>
    <w:p>
      <w:pPr>
        <w:ind w:left="1180" w:hanging="590"/>
        <w:spacing w:after="0" w:line="296" w:lineRule="auto"/>
        <w:tabs>
          <w:tab w:leader="none" w:pos="11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5,000,000 shares of common stock issuable upon exercise of an additional 5,000,000 Series B-1 Warrants issued on May 28, 2015 subject to a Restructuring Agreement pursuant to which the Series B-1 Warrants mentioned above were doubled,</w:t>
      </w:r>
    </w:p>
    <w:p>
      <w:pPr>
        <w:spacing w:after="0" w:line="162" w:lineRule="exact"/>
        <w:rPr>
          <w:rFonts w:ascii="Times New Roman" w:cs="Times New Roman" w:eastAsia="Times New Roman" w:hAnsi="Times New Roman"/>
          <w:sz w:val="16"/>
          <w:szCs w:val="16"/>
          <w:color w:val="auto"/>
        </w:rPr>
      </w:pPr>
    </w:p>
    <w:p>
      <w:pPr>
        <w:ind w:left="1180" w:hanging="590"/>
        <w:spacing w:after="0" w:line="296" w:lineRule="auto"/>
        <w:tabs>
          <w:tab w:leader="none" w:pos="11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5,000,000 shares of common stock issuable upon exercise of the Series C-1 Warrants originally issued subject to a Prospectus Supplement dated March 9, 2015,</w:t>
      </w:r>
    </w:p>
    <w:p>
      <w:pPr>
        <w:spacing w:after="0" w:line="162" w:lineRule="exact"/>
        <w:rPr>
          <w:rFonts w:ascii="Times New Roman" w:cs="Times New Roman" w:eastAsia="Times New Roman" w:hAnsi="Times New Roman"/>
          <w:sz w:val="16"/>
          <w:szCs w:val="16"/>
          <w:color w:val="auto"/>
        </w:rPr>
      </w:pPr>
    </w:p>
    <w:p>
      <w:pPr>
        <w:ind w:left="1180" w:hanging="590"/>
        <w:spacing w:after="0" w:line="296" w:lineRule="auto"/>
        <w:tabs>
          <w:tab w:leader="none" w:pos="11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5,000,000 shares of common stock issued to a shareholder on June 16, 2015 upon exercise of 5,000,000 Series C-1 Warrants issued on May 28, 2015 subject to a Restructuring Agreement pursuant to which the Series C-1 Warrants mentioned above were doubled,</w:t>
      </w:r>
    </w:p>
    <w:p>
      <w:pPr>
        <w:spacing w:after="0" w:line="162" w:lineRule="exact"/>
        <w:rPr>
          <w:rFonts w:ascii="Times New Roman" w:cs="Times New Roman" w:eastAsia="Times New Roman" w:hAnsi="Times New Roman"/>
          <w:sz w:val="16"/>
          <w:szCs w:val="16"/>
          <w:color w:val="auto"/>
        </w:rPr>
      </w:pPr>
    </w:p>
    <w:p>
      <w:pPr>
        <w:ind w:left="1180" w:hanging="590"/>
        <w:spacing w:after="0" w:line="296" w:lineRule="auto"/>
        <w:tabs>
          <w:tab w:leader="none" w:pos="11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5,000,000 shares of common stock issuable upon exercise of the Series D-1 Warrants originally issued subject to a Prospectus Supplement dated March 9, 2015,</w:t>
      </w:r>
    </w:p>
    <w:p>
      <w:pPr>
        <w:spacing w:after="0" w:line="162" w:lineRule="exact"/>
        <w:rPr>
          <w:rFonts w:ascii="Times New Roman" w:cs="Times New Roman" w:eastAsia="Times New Roman" w:hAnsi="Times New Roman"/>
          <w:sz w:val="16"/>
          <w:szCs w:val="16"/>
          <w:color w:val="auto"/>
        </w:rPr>
      </w:pPr>
    </w:p>
    <w:p>
      <w:pPr>
        <w:ind w:left="1180" w:hanging="590"/>
        <w:spacing w:after="0" w:line="296" w:lineRule="auto"/>
        <w:tabs>
          <w:tab w:leader="none" w:pos="11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5,000,000 shares of common stock issuable upon exercise of the Series E-1 Warrants originally issued subject to a Prospectus Supplement dated March 9, 2015 and</w:t>
      </w:r>
    </w:p>
    <w:p>
      <w:pPr>
        <w:spacing w:after="0" w:line="162" w:lineRule="exact"/>
        <w:rPr>
          <w:rFonts w:ascii="Times New Roman" w:cs="Times New Roman" w:eastAsia="Times New Roman" w:hAnsi="Times New Roman"/>
          <w:sz w:val="16"/>
          <w:szCs w:val="16"/>
          <w:color w:val="auto"/>
        </w:rPr>
      </w:pPr>
    </w:p>
    <w:p>
      <w:pPr>
        <w:ind w:left="1180" w:hanging="590"/>
        <w:spacing w:after="0"/>
        <w:tabs>
          <w:tab w:leader="none" w:pos="11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5,000,000 shares of common stock issued to a shareholder on March 9, 2015.</w:t>
      </w:r>
    </w:p>
    <w:p>
      <w:pPr>
        <w:spacing w:after="0" w:line="235" w:lineRule="exact"/>
        <w:rPr>
          <w:sz w:val="20"/>
          <w:szCs w:val="20"/>
          <w:color w:val="auto"/>
        </w:rPr>
      </w:pPr>
    </w:p>
    <w:p>
      <w:pPr>
        <w:ind w:right="180"/>
        <w:spacing w:after="0" w:line="296" w:lineRule="auto"/>
        <w:rPr>
          <w:sz w:val="20"/>
          <w:szCs w:val="20"/>
          <w:color w:val="auto"/>
        </w:rPr>
      </w:pPr>
      <w:r>
        <w:rPr>
          <w:rFonts w:ascii="Times New Roman" w:cs="Times New Roman" w:eastAsia="Times New Roman" w:hAnsi="Times New Roman"/>
          <w:sz w:val="16"/>
          <w:szCs w:val="16"/>
          <w:color w:val="auto"/>
        </w:rPr>
        <w:t>We will not receive any proceeds from the resale of any of the shares of common stock being registered hereby sold by the selling stockholders. However, we may receive proceeds from the exercise of the warrants held by the selling stockholders.</w:t>
      </w:r>
    </w:p>
    <w:p>
      <w:pPr>
        <w:spacing w:after="0" w:line="137" w:lineRule="exact"/>
        <w:rPr>
          <w:sz w:val="20"/>
          <w:szCs w:val="20"/>
          <w:color w:val="auto"/>
        </w:rPr>
      </w:pPr>
    </w:p>
    <w:p>
      <w:pPr>
        <w:ind w:right="280"/>
        <w:spacing w:after="0" w:line="296" w:lineRule="auto"/>
        <w:rPr>
          <w:sz w:val="20"/>
          <w:szCs w:val="20"/>
          <w:color w:val="auto"/>
        </w:rPr>
      </w:pPr>
      <w:r>
        <w:rPr>
          <w:rFonts w:ascii="Times New Roman" w:cs="Times New Roman" w:eastAsia="Times New Roman" w:hAnsi="Times New Roman"/>
          <w:sz w:val="16"/>
          <w:szCs w:val="16"/>
          <w:color w:val="auto"/>
        </w:rPr>
        <w:t>Our common stock is quoted on the OTCQB under the symbol “TPIV.” On June 16, 2015, the last reported sale price of our common stock on the OTCQB was $0.91 per share, and we had approximately 37,638,810 shares of common stock outstanding.</w:t>
      </w:r>
    </w:p>
    <w:p>
      <w:pPr>
        <w:spacing w:after="0" w:line="137"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6"/>
          <w:szCs w:val="16"/>
          <w:color w:val="auto"/>
        </w:rPr>
        <w:t>The selling stockholders may offer all or part of the shares for resale from time to time through public or private transactions, at either prevailing market prices or at privately negotiated prices.</w:t>
      </w:r>
    </w:p>
    <w:p>
      <w:pPr>
        <w:spacing w:after="0" w:line="137"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6"/>
          <w:szCs w:val="16"/>
          <w:color w:val="auto"/>
        </w:rPr>
        <w:t>This prospectus provides a general description of the securities being offered. You should carefully read this prospectus and the registration statement of which it forms a part carefully before you invest in any securities.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Investing in our securities involves risks. You should review carefully the risks and uncertainties described under the heading “</w:t>
      </w:r>
      <w:r>
        <w:rPr>
          <w:rFonts w:ascii="Times New Roman" w:cs="Times New Roman" w:eastAsia="Times New Roman" w:hAnsi="Times New Roman"/>
          <w:sz w:val="16"/>
          <w:szCs w:val="16"/>
          <w:b w:val="1"/>
          <w:bCs w:val="1"/>
          <w:u w:val="single" w:color="auto"/>
          <w:color w:val="auto"/>
        </w:rPr>
        <w:t>risk factors</w:t>
      </w:r>
      <w:r>
        <w:rPr>
          <w:rFonts w:ascii="Times New Roman" w:cs="Times New Roman" w:eastAsia="Times New Roman" w:hAnsi="Times New Roman"/>
          <w:sz w:val="16"/>
          <w:szCs w:val="16"/>
          <w:b w:val="1"/>
          <w:bCs w:val="1"/>
          <w:color w:val="auto"/>
        </w:rPr>
        <w:t>” on page.</w:t>
      </w:r>
    </w:p>
    <w:p>
      <w:pPr>
        <w:spacing w:after="0" w:line="210" w:lineRule="exact"/>
        <w:rPr>
          <w:sz w:val="20"/>
          <w:szCs w:val="20"/>
          <w:color w:val="auto"/>
        </w:rPr>
      </w:pPr>
    </w:p>
    <w:p>
      <w:pPr>
        <w:ind w:right="62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date of this prospectus is June ___,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431165</wp:posOffset>
            </wp:positionV>
            <wp:extent cx="7263765"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8"/>
        </w:trPr>
        <w:tc>
          <w:tcPr>
            <w:tcW w:w="10040" w:type="dxa"/>
            <w:vAlign w:val="bottom"/>
          </w:tcPr>
          <w:p>
            <w:pPr>
              <w:ind w:left="510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160" w:type="dxa"/>
            <w:vAlign w:val="bottom"/>
          </w:tcPr>
          <w:p>
            <w:pPr>
              <w:spacing w:after="0"/>
              <w:rPr>
                <w:sz w:val="18"/>
                <w:szCs w:val="18"/>
                <w:color w:val="auto"/>
              </w:rPr>
            </w:pPr>
          </w:p>
        </w:tc>
      </w:tr>
      <w:tr>
        <w:trPr>
          <w:trHeight w:val="423"/>
        </w:trPr>
        <w:tc>
          <w:tcPr>
            <w:tcW w:w="1004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97"/>
        </w:trPr>
        <w:tc>
          <w:tcPr>
            <w:tcW w:w="10040" w:type="dxa"/>
            <w:vAlign w:val="bottom"/>
          </w:tcPr>
          <w:p>
            <w:pPr>
              <w:spacing w:after="0"/>
              <w:rPr>
                <w:sz w:val="20"/>
                <w:szCs w:val="20"/>
                <w:color w:val="auto"/>
              </w:rPr>
            </w:pPr>
            <w:r>
              <w:rPr>
                <w:rFonts w:ascii="Times New Roman" w:cs="Times New Roman" w:eastAsia="Times New Roman" w:hAnsi="Times New Roman"/>
                <w:sz w:val="16"/>
                <w:szCs w:val="16"/>
                <w:color w:val="auto"/>
              </w:rPr>
              <w:t>Prospectus Summary</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w:t>
            </w:r>
          </w:p>
        </w:tc>
      </w:tr>
      <w:tr>
        <w:trPr>
          <w:trHeight w:val="197"/>
        </w:trPr>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 Factors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197"/>
        </w:trPr>
        <w:tc>
          <w:tcPr>
            <w:tcW w:w="10040" w:type="dxa"/>
            <w:vAlign w:val="bottom"/>
          </w:tcPr>
          <w:p>
            <w:pPr>
              <w:spacing w:after="0"/>
              <w:rPr>
                <w:sz w:val="20"/>
                <w:szCs w:val="20"/>
                <w:color w:val="auto"/>
              </w:rPr>
            </w:pPr>
            <w:r>
              <w:rPr>
                <w:rFonts w:ascii="Times New Roman" w:cs="Times New Roman" w:eastAsia="Times New Roman" w:hAnsi="Times New Roman"/>
                <w:sz w:val="16"/>
                <w:szCs w:val="16"/>
                <w:color w:val="auto"/>
              </w:rPr>
              <w:t>Use of Proceeds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197"/>
        </w:trPr>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Determination of Offering Price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197"/>
        </w:trPr>
        <w:tc>
          <w:tcPr>
            <w:tcW w:w="10040" w:type="dxa"/>
            <w:vAlign w:val="bottom"/>
          </w:tcPr>
          <w:p>
            <w:pPr>
              <w:spacing w:after="0"/>
              <w:rPr>
                <w:sz w:val="20"/>
                <w:szCs w:val="20"/>
                <w:color w:val="auto"/>
              </w:rPr>
            </w:pPr>
            <w:r>
              <w:rPr>
                <w:rFonts w:ascii="Times New Roman" w:cs="Times New Roman" w:eastAsia="Times New Roman" w:hAnsi="Times New Roman"/>
                <w:sz w:val="16"/>
                <w:szCs w:val="16"/>
                <w:color w:val="auto"/>
              </w:rPr>
              <w:t>Selling Stockholders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197"/>
        </w:trPr>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Plan of Distribution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197"/>
        </w:trPr>
        <w:tc>
          <w:tcPr>
            <w:tcW w:w="10040" w:type="dxa"/>
            <w:vAlign w:val="bottom"/>
          </w:tcPr>
          <w:p>
            <w:pPr>
              <w:spacing w:after="0"/>
              <w:rPr>
                <w:sz w:val="20"/>
                <w:szCs w:val="20"/>
                <w:color w:val="auto"/>
              </w:rPr>
            </w:pPr>
            <w:r>
              <w:rPr>
                <w:rFonts w:ascii="Times New Roman" w:cs="Times New Roman" w:eastAsia="Times New Roman" w:hAnsi="Times New Roman"/>
                <w:sz w:val="16"/>
                <w:szCs w:val="16"/>
                <w:color w:val="auto"/>
              </w:rPr>
              <w:t>Description of Securities to be Registered</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197"/>
        </w:trPr>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Business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197"/>
        </w:trPr>
        <w:tc>
          <w:tcPr>
            <w:tcW w:w="10040" w:type="dxa"/>
            <w:vAlign w:val="bottom"/>
          </w:tcPr>
          <w:p>
            <w:pPr>
              <w:spacing w:after="0"/>
              <w:rPr>
                <w:sz w:val="20"/>
                <w:szCs w:val="20"/>
                <w:color w:val="auto"/>
              </w:rPr>
            </w:pPr>
            <w:r>
              <w:rPr>
                <w:rFonts w:ascii="Times New Roman" w:cs="Times New Roman" w:eastAsia="Times New Roman" w:hAnsi="Times New Roman"/>
                <w:sz w:val="16"/>
                <w:szCs w:val="16"/>
                <w:color w:val="auto"/>
              </w:rPr>
              <w:t>Market For Common Equity and Related Stockholder Matters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197"/>
        </w:trPr>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197"/>
        </w:trPr>
        <w:tc>
          <w:tcPr>
            <w:tcW w:w="10040" w:type="dxa"/>
            <w:vAlign w:val="bottom"/>
          </w:tcPr>
          <w:p>
            <w:pPr>
              <w:spacing w:after="0"/>
              <w:rPr>
                <w:sz w:val="20"/>
                <w:szCs w:val="20"/>
                <w:color w:val="auto"/>
              </w:rPr>
            </w:pPr>
            <w:r>
              <w:rPr>
                <w:rFonts w:ascii="Times New Roman" w:cs="Times New Roman" w:eastAsia="Times New Roman" w:hAnsi="Times New Roman"/>
                <w:sz w:val="16"/>
                <w:szCs w:val="16"/>
                <w:color w:val="auto"/>
              </w:rPr>
              <w:t>Management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197"/>
        </w:trPr>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Transactions with Related Persons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197"/>
        </w:trPr>
        <w:tc>
          <w:tcPr>
            <w:tcW w:w="10040" w:type="dxa"/>
            <w:vAlign w:val="bottom"/>
          </w:tcPr>
          <w:p>
            <w:pPr>
              <w:spacing w:after="0"/>
              <w:rPr>
                <w:sz w:val="20"/>
                <w:szCs w:val="20"/>
                <w:color w:val="auto"/>
              </w:rPr>
            </w:pPr>
            <w:r>
              <w:rPr>
                <w:rFonts w:ascii="Times New Roman" w:cs="Times New Roman" w:eastAsia="Times New Roman" w:hAnsi="Times New Roman"/>
                <w:sz w:val="16"/>
                <w:szCs w:val="16"/>
                <w:color w:val="auto"/>
              </w:rPr>
              <w:t>Executive Compensation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197"/>
        </w:trPr>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Beneficial Ownership of Principal Stockholders, Officers and Directors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197"/>
        </w:trPr>
        <w:tc>
          <w:tcPr>
            <w:tcW w:w="10040" w:type="dxa"/>
            <w:vAlign w:val="bottom"/>
          </w:tcPr>
          <w:p>
            <w:pPr>
              <w:spacing w:after="0"/>
              <w:rPr>
                <w:sz w:val="20"/>
                <w:szCs w:val="20"/>
                <w:color w:val="auto"/>
              </w:rPr>
            </w:pPr>
            <w:r>
              <w:rPr>
                <w:rFonts w:ascii="Times New Roman" w:cs="Times New Roman" w:eastAsia="Times New Roman" w:hAnsi="Times New Roman"/>
                <w:sz w:val="16"/>
                <w:szCs w:val="16"/>
                <w:color w:val="auto"/>
              </w:rPr>
              <w:t>Experts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197"/>
        </w:trPr>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Legal Matters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197"/>
        </w:trPr>
        <w:tc>
          <w:tcPr>
            <w:tcW w:w="10040" w:type="dxa"/>
            <w:vAlign w:val="bottom"/>
          </w:tcPr>
          <w:p>
            <w:pPr>
              <w:spacing w:after="0"/>
              <w:rPr>
                <w:sz w:val="20"/>
                <w:szCs w:val="20"/>
                <w:color w:val="auto"/>
              </w:rPr>
            </w:pPr>
            <w:r>
              <w:rPr>
                <w:rFonts w:ascii="Times New Roman" w:cs="Times New Roman" w:eastAsia="Times New Roman" w:hAnsi="Times New Roman"/>
                <w:sz w:val="16"/>
                <w:szCs w:val="16"/>
                <w:color w:val="auto"/>
              </w:rPr>
              <w:t>Disclosure of Commission Position of Indemnification For Securities Act Liabilities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197"/>
        </w:trPr>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Where You Can Find Additional Information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4"/>
        </w:trPr>
        <w:tc>
          <w:tcPr>
            <w:tcW w:w="10040" w:type="dxa"/>
            <w:vAlign w:val="bottom"/>
          </w:tcPr>
          <w:p>
            <w:pPr>
              <w:spacing w:after="0"/>
              <w:rPr>
                <w:sz w:val="20"/>
                <w:szCs w:val="20"/>
                <w:color w:val="auto"/>
              </w:rPr>
            </w:pPr>
            <w:r>
              <w:rPr>
                <w:rFonts w:ascii="Times New Roman" w:cs="Times New Roman" w:eastAsia="Times New Roman" w:hAnsi="Times New Roman"/>
                <w:sz w:val="16"/>
                <w:szCs w:val="16"/>
                <w:color w:val="auto"/>
              </w:rPr>
              <w:t>Index to Financial Statements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200"/>
          </w:cols>
          <w:pgMar w:left="240" w:top="476" w:right="4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PROSPECTUS SUMMARY</w:t>
      </w:r>
    </w:p>
    <w:p>
      <w:pPr>
        <w:spacing w:after="0" w:line="212" w:lineRule="exact"/>
        <w:rPr>
          <w:sz w:val="20"/>
          <w:szCs w:val="20"/>
          <w:color w:val="auto"/>
        </w:rPr>
      </w:pPr>
    </w:p>
    <w:p>
      <w:pPr>
        <w:jc w:val="both"/>
        <w:ind w:firstLine="591"/>
        <w:spacing w:after="0" w:line="271" w:lineRule="auto"/>
        <w:rPr>
          <w:sz w:val="20"/>
          <w:szCs w:val="20"/>
          <w:color w:val="auto"/>
        </w:rPr>
      </w:pPr>
      <w:r>
        <w:rPr>
          <w:rFonts w:ascii="Times New Roman" w:cs="Times New Roman" w:eastAsia="Times New Roman" w:hAnsi="Times New Roman"/>
          <w:sz w:val="16"/>
          <w:szCs w:val="16"/>
          <w:i w:val="1"/>
          <w:iCs w:val="1"/>
          <w:color w:val="auto"/>
        </w:rPr>
        <w:t>This summary highlights selected information contained elsewhere in this prospectus. This summary does not contain all the information that you should consider before investing in the common stock. You should carefully read the entire prospectus. In particular, attention should be directed to our “Risk Factors,” “Information With Respect to the Company,” “Management’s Discussion and Analysis of Financial Condition and Results of Operations” and the financial statements and related notes thereto contained herein before making an investment decision.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We specialize in the development of innovative peptide and gene-based immunotherapeutics and vaccines for the treatment of cancer and infectious disease. The field of immunotherapy is a relatively new area of cancer treatment development that holds tremendous promise to generate more effective and better tolerated treatments for cancer than the more traditional, high dose chemotherapy and radiation and surgery therapies. Traditional treatments are not precise in targeting only cancerous cells, and they often fail to remove or destroy all of the cancer. The remaining cancer cells may then grow into new tumors, which can be fatally resistant to further chemotherapy or radiation. In the United States, deaths from cancer are second only to cardiovascular deaths.</w:t>
      </w:r>
    </w:p>
    <w:p>
      <w:pPr>
        <w:spacing w:after="0" w:line="18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Unlike other immunotherapeutic and vaccine technologies that narrowly address the initiation of an immune response, we have designed our approach ("Prime" and "Boost") to broadly stimulate the cellular immune system by enhancing the function of killer T-cells and helper T-cells. Our business strategy in cancer is to take products through Phase II clinical trials and then partner with pharmaceutical marketing organizations ahead of Phase III trials.</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Our principal product candidates are:</w:t>
      </w:r>
    </w:p>
    <w:p>
      <w:pPr>
        <w:spacing w:after="0" w:line="235" w:lineRule="exact"/>
        <w:rPr>
          <w:sz w:val="20"/>
          <w:szCs w:val="20"/>
          <w:color w:val="auto"/>
        </w:rPr>
      </w:pPr>
    </w:p>
    <w:p>
      <w:pPr>
        <w:ind w:left="1320" w:hanging="878"/>
        <w:spacing w:after="0"/>
        <w:tabs>
          <w:tab w:leader="none" w:pos="1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new Her2/neu breast cancer immunotherapeutic vaccine technology in-licensed from the Mayo Clinic, MN,</w:t>
      </w:r>
    </w:p>
    <w:p>
      <w:pPr>
        <w:spacing w:after="0" w:line="30" w:lineRule="exact"/>
        <w:rPr>
          <w:rFonts w:ascii="Times New Roman" w:cs="Times New Roman" w:eastAsia="Times New Roman" w:hAnsi="Times New Roman"/>
          <w:sz w:val="16"/>
          <w:szCs w:val="16"/>
          <w:color w:val="auto"/>
        </w:rPr>
      </w:pPr>
    </w:p>
    <w:p>
      <w:pPr>
        <w:ind w:left="1320" w:hanging="878"/>
        <w:spacing w:after="0" w:line="257" w:lineRule="auto"/>
        <w:tabs>
          <w:tab w:leader="none" w:pos="1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Folate Alpha Receptor immunotherapeutic vaccine comprised of a set of unique peptide epitopes targeting both breast cancer and ovarian cancer that we have an option to in-license from the Mayo Clinic,</w:t>
      </w:r>
    </w:p>
    <w:p>
      <w:pPr>
        <w:ind w:left="1320" w:hanging="878"/>
        <w:spacing w:after="0"/>
        <w:tabs>
          <w:tab w:leader="none" w:pos="1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Polystart™, our proprietary immunotherapeutic, nucleic acid-based expression technology,</w:t>
      </w:r>
    </w:p>
    <w:p>
      <w:pPr>
        <w:spacing w:after="0" w:line="13" w:lineRule="exact"/>
        <w:rPr>
          <w:rFonts w:ascii="Times New Roman" w:cs="Times New Roman" w:eastAsia="Times New Roman" w:hAnsi="Times New Roman"/>
          <w:sz w:val="16"/>
          <w:szCs w:val="16"/>
          <w:color w:val="auto"/>
        </w:rPr>
      </w:pPr>
    </w:p>
    <w:p>
      <w:pPr>
        <w:ind w:left="1320" w:hanging="878"/>
        <w:spacing w:after="0"/>
        <w:tabs>
          <w:tab w:leader="none" w:pos="1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TAP, a DNA technology expressing Transporter associated with Antigen Processing, and</w:t>
      </w:r>
    </w:p>
    <w:p>
      <w:pPr>
        <w:spacing w:after="0" w:line="13" w:lineRule="exact"/>
        <w:rPr>
          <w:rFonts w:ascii="Times New Roman" w:cs="Times New Roman" w:eastAsia="Times New Roman" w:hAnsi="Times New Roman"/>
          <w:sz w:val="16"/>
          <w:szCs w:val="16"/>
          <w:color w:val="auto"/>
        </w:rPr>
      </w:pPr>
    </w:p>
    <w:p>
      <w:pPr>
        <w:ind w:left="1320" w:hanging="878"/>
        <w:spacing w:after="0" w:line="257" w:lineRule="auto"/>
        <w:tabs>
          <w:tab w:leader="none" w:pos="1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field of infectious diseases, use of our technology platforms to create and improve on therapeutic vaccines for pandemic diseases and national preparedness.</w:t>
      </w:r>
    </w:p>
    <w:p>
      <w:pPr>
        <w:spacing w:after="0"/>
        <w:rPr>
          <w:sz w:val="20"/>
          <w:szCs w:val="20"/>
          <w:color w:val="auto"/>
        </w:rPr>
      </w:pPr>
      <w:r>
        <w:rPr>
          <w:rFonts w:ascii="Times New Roman" w:cs="Times New Roman" w:eastAsia="Times New Roman" w:hAnsi="Times New Roman"/>
          <w:sz w:val="16"/>
          <w:szCs w:val="16"/>
          <w:b w:val="1"/>
          <w:bCs w:val="1"/>
          <w:color w:val="auto"/>
        </w:rPr>
        <w:t>Our Product Candidates</w:t>
      </w:r>
    </w:p>
    <w:p>
      <w:pPr>
        <w:spacing w:after="0" w:line="21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Our current operations are focused on developing four product candidates. Two of these candidates are completing Phase I clinical trials, and we plan to progress them into Phase II clinical trials in 2015. The remaining product candidates are proprietary immunotherapeutic technologies that are in preclinical trials.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Folate Alpha Receptor</w:t>
      </w:r>
    </w:p>
    <w:p>
      <w:pPr>
        <w:spacing w:after="0" w:line="2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 March 2014, we acquired the option to in-license the technology being used in a late stage 24 patient, Phase l clinical program in ovarian cancer (Folate Alpha) being conducted by the Mayo Clinic. We have the exclusive option to in-license the Folate Alpha Receptor upon the completion of Phase I. We may exercise our option to acquire that license prior to the completion of Phase I. This product candidate was generally well tolerated and safe and generated immune responses in the majority of patients in Phase I, and planning for Phase II is well underway</w:t>
      </w:r>
    </w:p>
    <w:p>
      <w:pPr>
        <w:spacing w:after="0" w:line="1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Folate Alpha Receptor is expressed in over 90% of ovarian cancer and in 86% of triple negative breast cancer, for which the only treatment options are surgery and chemotherapy, leaving a very important and urgent clinical need for new therapeutics. In ovarian cancer, time to recurrence is relatively short for this type of cancer and survival prognosis is extremely poor after recurrence. We intend to initiate a Phase II trial in the second or third quarter of 2015 to include the Folate Alpha Receptor epitopes. This trial will likely focus on either triple-negative breast or ovarian cancer. As both of these cancer indications have few treatment options, our plan is to present a Phase II advancement plan with an application for orphan drug status. Orphan drug status is allowed by the FDA in cases where the disease affects fewer than 200,000 people in the USA and makes allowances for a number of commercial benefits including sales of the drug for seven years without competition.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8" w:name="page9"/>
    <w:bookmarkEnd w:id="8"/>
    <w:p>
      <w:pPr>
        <w:jc w:val="both"/>
        <w:spacing w:after="0" w:line="276" w:lineRule="auto"/>
        <w:rPr>
          <w:sz w:val="20"/>
          <w:szCs w:val="20"/>
          <w:color w:val="auto"/>
        </w:rPr>
      </w:pPr>
      <w:r>
        <w:rPr>
          <w:rFonts w:ascii="Times New Roman" w:cs="Times New Roman" w:eastAsia="Times New Roman" w:hAnsi="Times New Roman"/>
          <w:sz w:val="16"/>
          <w:szCs w:val="16"/>
          <w:color w:val="auto"/>
        </w:rPr>
        <w:t>We plan to incorporate the pre-clinical development of Polystart™ as a boost strategy for ovarian cancer and triple negative breast cancer. We believe that the comprehensive scientific underpinnings of our overall approach, to elicit the production of both helper T-cells and killer T-cells, will provide us with competitive product candidates for the treatment of ovarian cancer, Her2neu breast cancer and triple negative breast cancer.</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Her2/NEU</w:t>
      </w:r>
    </w:p>
    <w:p>
      <w:pPr>
        <w:spacing w:after="0" w:line="2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In 2011, we signed a Technology Option Agreement with the Mayo Foundation for Medical Education and Research, Rochester, MN (the “Mayo Clinic”), for the evaluation of Her2/neu peptide epitopes as antigens for a breast cancer vaccine. The agreement grants us an exclusive worldwide option to become the exclusive in-licensee of the technology after completion of Phase I clinical trials. The Mayo Clinic is completing a Phase I study to evaluate the safety and immune response(s) for Her2/neu antigens. This trial is fully enrolled with 22 patients and closed, and patient dosing has been completed. All patients have received the vaccine composition, and interim safety analysis on the first six patients has been completed and shown to be safe. In addition, each of the first six patients treated developed specific T-cell immune responses to the antigens in the vaccine composition proving a solid case for advancement to Phase II in 2015. An additional secondary endpoint incorporated into this Phase I trial will be a two-year follow-on recording time to disease recurrence in the participating breast cancer patients. The assessment of vaccine safety (primary endpoint) was completed in 2014 and evaluation of immunogenicity (secondary endpoint) for this trial is currently scheduled for completion in 2015 with a full set of interim data expected in Q1 of 2015.</w:t>
      </w:r>
    </w:p>
    <w:p>
      <w:pPr>
        <w:spacing w:after="0" w:line="38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As this Phase I Trial progresses, we plan to add a class I peptide, in-licensed from the Mayo Clinic in 2012 to the four class II peptides in the context of a Phase I(b)/II clinical trial. We believe that the combination of class I and class II Her2/neu antigens gives us the leading Her2/neu vaccine platform. Therefore, a key goal in 2015 is to progress the Her2/neu vaccine into the above mentioned Phase 1(b)/II clinical trial.</w:t>
      </w:r>
    </w:p>
    <w:p>
      <w:pPr>
        <w:spacing w:after="0" w:line="17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In the future, we would like to incorporate the pre-clinical development of Polystart™ as a boost strategy for Her2/neu breast cancer. We believe that the comprehensive scientific underpinnings of our overall approach, to elicit the production of both helper T-cells and killer T-cells, will provide us with highly competitive product candidates for the treatment of Her2/neu positive breast cancer.</w:t>
      </w:r>
    </w:p>
    <w:p>
      <w:pPr>
        <w:spacing w:after="0" w:line="17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Our business strategy with respect to the peptide vaccines is to take them through Phase II clinical trials and then partner with pharmaceutical marketing organizations ahead of Phase III trials.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Polystart™</w:t>
      </w:r>
    </w:p>
    <w:p>
      <w:pPr>
        <w:spacing w:after="0" w:line="23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Polystart™ is our proprietary immunotherapeutic, nucleic acid-based expression technology. Our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w:t>
      </w:r>
    </w:p>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In addition, our versatile Polystart™ technology is designed to express either class I killer or class II helper T-cell antigenic epitopes. We believe that our nucleic acid-based systems can also incorporate our TAP technology, although we have not yet taken steps to analyze their combined use.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undertaken preclinical studies with our Polystart™/PAA technology in connection with a vaccine candidate, and we have been encouraged by the results.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Polystart™ technology was invented in-house and is therefore not subject to any licensing fees or downstream royalty payments.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TAP</w:t>
      </w:r>
    </w:p>
    <w:p>
      <w:pPr>
        <w:spacing w:after="0" w:line="23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TAP is our DNA expression technology designed to make cancer cells more immunogenic. In many solid cancer tumors, the TAP (</w:t>
      </w:r>
      <w:r>
        <w:rPr>
          <w:rFonts w:ascii="Times New Roman" w:cs="Times New Roman" w:eastAsia="Times New Roman" w:hAnsi="Times New Roman"/>
          <w:sz w:val="16"/>
          <w:szCs w:val="16"/>
          <w:b w:val="1"/>
          <w:bCs w:val="1"/>
          <w:color w:val="auto"/>
        </w:rPr>
        <w:t>T</w:t>
      </w:r>
      <w:r>
        <w:rPr>
          <w:rFonts w:ascii="Times New Roman" w:cs="Times New Roman" w:eastAsia="Times New Roman" w:hAnsi="Times New Roman"/>
          <w:sz w:val="16"/>
          <w:szCs w:val="16"/>
          <w:color w:val="auto"/>
        </w:rPr>
        <w:t xml:space="preserve">ransporter associated with </w:t>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6"/>
          <w:szCs w:val="16"/>
          <w:color w:val="auto"/>
        </w:rPr>
        <w:t xml:space="preserve">ntigen </w:t>
      </w:r>
      <w:r>
        <w:rPr>
          <w:rFonts w:ascii="Times New Roman" w:cs="Times New Roman" w:eastAsia="Times New Roman" w:hAnsi="Times New Roman"/>
          <w:sz w:val="16"/>
          <w:szCs w:val="16"/>
          <w:b w:val="1"/>
          <w:bCs w:val="1"/>
          <w:color w:val="auto"/>
        </w:rPr>
        <w:t>P</w:t>
      </w:r>
      <w:r>
        <w:rPr>
          <w:rFonts w:ascii="Times New Roman" w:cs="Times New Roman" w:eastAsia="Times New Roman" w:hAnsi="Times New Roman"/>
          <w:sz w:val="16"/>
          <w:szCs w:val="16"/>
          <w:color w:val="auto"/>
        </w:rPr>
        <w:t>resentation) protein system does not function and, therefore, the immune system is not stimulated to attack the cancer. We believe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spacing w:after="0" w:line="18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By restoring TAP expression to TAP-deficient cells, the MHC Class I protein peptide complexes could signal the immune system to attack the cancer. One of our strategic visions is to restore the TAP function within cancerous cells, thus making them immunogenic, or more “visible” to cancer fighting immune cells. We believe that this strategy will provide a commercially viable therapeutic approach that addresses this problem of “non-immunogenicity” of cancer. We expect these studies to begin in 2015.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TAP technology was acquired from the University of British Columbia in full and is therefore not subject to any licensing fees or downstream royalty payments.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principal executive offices are located at 1551 Eastlake Avenue East, Suite 100, Seattle, WA 98102 and our telephone number is (206) 504-7278.</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698" w:right="239" w:bottom="1440" w:gutter="0" w:footer="0" w:header="0"/>
        </w:sectPr>
      </w:pPr>
    </w:p>
    <w:bookmarkStart w:id="10" w:name="page11"/>
    <w:bookmarkEnd w:id="10"/>
    <w:tbl>
      <w:tblPr>
        <w:tblLayout w:type="fixed"/>
        <w:tblInd w:w="1" w:type="dxa"/>
        <w:tblCellMar>
          <w:top w:w="0" w:type="dxa"/>
          <w:left w:w="0" w:type="dxa"/>
          <w:bottom w:w="0" w:type="dxa"/>
          <w:right w:w="0" w:type="dxa"/>
        </w:tblCellMar>
      </w:tblPr>
      <w:tr>
        <w:trPr>
          <w:trHeight w:val="197"/>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Common stock outstanding:</w:t>
            </w:r>
          </w:p>
        </w:tc>
        <w:tc>
          <w:tcPr>
            <w:tcW w:w="73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37,638,810 shares as of June 18, 2015</w:t>
            </w:r>
          </w:p>
        </w:tc>
      </w:tr>
      <w:tr>
        <w:trPr>
          <w:trHeight w:val="197"/>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Common stock offered by selling stockholders:</w:t>
            </w:r>
          </w:p>
        </w:tc>
        <w:tc>
          <w:tcPr>
            <w:tcW w:w="73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93,126,792 shares</w:t>
            </w:r>
          </w:p>
        </w:tc>
      </w:tr>
      <w:tr>
        <w:trPr>
          <w:trHeight w:val="197"/>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Common stock outstanding after the offering:</w:t>
            </w:r>
          </w:p>
        </w:tc>
        <w:tc>
          <w:tcPr>
            <w:tcW w:w="7380" w:type="dxa"/>
            <w:vAlign w:val="bottom"/>
          </w:tcPr>
          <w:p>
            <w:pPr>
              <w:ind w:left="780"/>
              <w:spacing w:after="0" w:line="197" w:lineRule="exact"/>
              <w:rPr>
                <w:sz w:val="20"/>
                <w:szCs w:val="20"/>
                <w:color w:val="auto"/>
              </w:rPr>
            </w:pPr>
            <w:r>
              <w:rPr>
                <w:rFonts w:ascii="Times New Roman" w:cs="Times New Roman" w:eastAsia="Times New Roman" w:hAnsi="Times New Roman"/>
                <w:sz w:val="16"/>
                <w:szCs w:val="16"/>
                <w:color w:val="auto"/>
              </w:rPr>
              <w:t>120,765,602 shares</w:t>
            </w:r>
            <w:r>
              <w:rPr>
                <w:rFonts w:ascii="Times New Roman" w:cs="Times New Roman" w:eastAsia="Times New Roman" w:hAnsi="Times New Roman"/>
                <w:sz w:val="22"/>
                <w:szCs w:val="22"/>
                <w:color w:val="auto"/>
                <w:vertAlign w:val="superscript"/>
              </w:rPr>
              <w:t>(1)</w:t>
            </w:r>
          </w:p>
        </w:tc>
      </w:tr>
      <w:tr>
        <w:trPr>
          <w:trHeight w:val="201"/>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Use of Proceeds:</w:t>
            </w:r>
          </w:p>
        </w:tc>
        <w:tc>
          <w:tcPr>
            <w:tcW w:w="73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We will not receive any proceeds from the sale of the common stock by the selling stockholders. We</w:t>
            </w:r>
          </w:p>
        </w:tc>
      </w:tr>
      <w:tr>
        <w:trPr>
          <w:trHeight w:val="214"/>
        </w:trPr>
        <w:tc>
          <w:tcPr>
            <w:tcW w:w="4040" w:type="dxa"/>
            <w:vAlign w:val="bottom"/>
          </w:tcPr>
          <w:p>
            <w:pPr>
              <w:spacing w:after="0"/>
              <w:rPr>
                <w:sz w:val="18"/>
                <w:szCs w:val="18"/>
                <w:color w:val="auto"/>
              </w:rPr>
            </w:pPr>
          </w:p>
        </w:tc>
        <w:tc>
          <w:tcPr>
            <w:tcW w:w="73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may receive proceeds if the following warrants are exercised:</w:t>
            </w:r>
          </w:p>
        </w:tc>
      </w:tr>
    </w:tbl>
    <w:p>
      <w:pPr>
        <w:spacing w:after="0" w:line="180" w:lineRule="exact"/>
        <w:rPr>
          <w:sz w:val="20"/>
          <w:szCs w:val="20"/>
          <w:color w:val="auto"/>
        </w:rPr>
      </w:pPr>
    </w:p>
    <w:p>
      <w:pPr>
        <w:ind w:left="5261"/>
        <w:spacing w:after="0"/>
        <w:rPr>
          <w:sz w:val="20"/>
          <w:szCs w:val="20"/>
          <w:color w:val="auto"/>
        </w:rPr>
      </w:pPr>
      <w:r>
        <w:rPr>
          <w:rFonts w:ascii="Times New Roman" w:cs="Times New Roman" w:eastAsia="Times New Roman" w:hAnsi="Times New Roman"/>
          <w:sz w:val="16"/>
          <w:szCs w:val="16"/>
          <w:color w:val="auto"/>
        </w:rPr>
        <w:t>(i)up to $2,207,547 if the warrants issued in August 2014 are exercised;</w:t>
      </w:r>
    </w:p>
    <w:p>
      <w:pPr>
        <w:spacing w:after="0" w:line="30" w:lineRule="exact"/>
        <w:rPr>
          <w:sz w:val="20"/>
          <w:szCs w:val="20"/>
          <w:color w:val="auto"/>
        </w:rPr>
      </w:pPr>
    </w:p>
    <w:p>
      <w:pPr>
        <w:ind w:left="5261"/>
        <w:spacing w:after="0"/>
        <w:rPr>
          <w:sz w:val="20"/>
          <w:szCs w:val="20"/>
          <w:color w:val="auto"/>
        </w:rPr>
      </w:pPr>
      <w:r>
        <w:rPr>
          <w:rFonts w:ascii="Times New Roman" w:cs="Times New Roman" w:eastAsia="Times New Roman" w:hAnsi="Times New Roman"/>
          <w:sz w:val="16"/>
          <w:szCs w:val="16"/>
          <w:color w:val="auto"/>
        </w:rPr>
        <w:t>(ii)up to $732,000 if the Series A Warrants are exercised;</w:t>
      </w:r>
    </w:p>
    <w:p>
      <w:pPr>
        <w:spacing w:after="0" w:line="13" w:lineRule="exact"/>
        <w:rPr>
          <w:sz w:val="20"/>
          <w:szCs w:val="20"/>
          <w:color w:val="auto"/>
        </w:rPr>
      </w:pPr>
    </w:p>
    <w:p>
      <w:pPr>
        <w:ind w:left="5261"/>
        <w:spacing w:after="0"/>
        <w:rPr>
          <w:sz w:val="20"/>
          <w:szCs w:val="20"/>
          <w:color w:val="auto"/>
        </w:rPr>
      </w:pPr>
      <w:r>
        <w:rPr>
          <w:rFonts w:ascii="Times New Roman" w:cs="Times New Roman" w:eastAsia="Times New Roman" w:hAnsi="Times New Roman"/>
          <w:sz w:val="16"/>
          <w:szCs w:val="16"/>
          <w:color w:val="auto"/>
        </w:rPr>
        <w:t>(iii)up to $2,928,000 if the Series B Warrants are exercised;</w:t>
      </w:r>
    </w:p>
    <w:p>
      <w:pPr>
        <w:spacing w:after="0" w:line="13" w:lineRule="exact"/>
        <w:rPr>
          <w:sz w:val="20"/>
          <w:szCs w:val="20"/>
          <w:color w:val="auto"/>
        </w:rPr>
      </w:pPr>
    </w:p>
    <w:p>
      <w:pPr>
        <w:ind w:left="5261"/>
        <w:spacing w:after="0"/>
        <w:rPr>
          <w:sz w:val="20"/>
          <w:szCs w:val="20"/>
          <w:color w:val="auto"/>
        </w:rPr>
      </w:pPr>
      <w:r>
        <w:rPr>
          <w:rFonts w:ascii="Times New Roman" w:cs="Times New Roman" w:eastAsia="Times New Roman" w:hAnsi="Times New Roman"/>
          <w:sz w:val="16"/>
          <w:szCs w:val="16"/>
          <w:color w:val="auto"/>
        </w:rPr>
        <w:t>(iv)up to $7,320,000 if the Series C Warrants are exercised;</w:t>
      </w:r>
    </w:p>
    <w:p>
      <w:pPr>
        <w:spacing w:after="0" w:line="13" w:lineRule="exact"/>
        <w:rPr>
          <w:sz w:val="20"/>
          <w:szCs w:val="20"/>
          <w:color w:val="auto"/>
        </w:rPr>
      </w:pPr>
    </w:p>
    <w:p>
      <w:pPr>
        <w:ind w:left="5261"/>
        <w:spacing w:after="0"/>
        <w:rPr>
          <w:sz w:val="20"/>
          <w:szCs w:val="20"/>
          <w:color w:val="auto"/>
        </w:rPr>
      </w:pPr>
      <w:r>
        <w:rPr>
          <w:rFonts w:ascii="Times New Roman" w:cs="Times New Roman" w:eastAsia="Times New Roman" w:hAnsi="Times New Roman"/>
          <w:sz w:val="16"/>
          <w:szCs w:val="16"/>
          <w:color w:val="auto"/>
        </w:rPr>
        <w:t>(v)up to $5,490,000 if the Series D Warrants are exercised;</w:t>
      </w:r>
    </w:p>
    <w:p>
      <w:pPr>
        <w:spacing w:after="0" w:line="13" w:lineRule="exact"/>
        <w:rPr>
          <w:sz w:val="20"/>
          <w:szCs w:val="20"/>
          <w:color w:val="auto"/>
        </w:rPr>
      </w:pPr>
    </w:p>
    <w:p>
      <w:pPr>
        <w:ind w:left="5261"/>
        <w:spacing w:after="0"/>
        <w:rPr>
          <w:sz w:val="20"/>
          <w:szCs w:val="20"/>
          <w:color w:val="auto"/>
        </w:rPr>
      </w:pPr>
      <w:r>
        <w:rPr>
          <w:rFonts w:ascii="Times New Roman" w:cs="Times New Roman" w:eastAsia="Times New Roman" w:hAnsi="Times New Roman"/>
          <w:sz w:val="16"/>
          <w:szCs w:val="16"/>
          <w:color w:val="auto"/>
        </w:rPr>
        <w:t>(vi)up to $9,150,000 if the Series E Warrants are exercised;</w:t>
      </w:r>
    </w:p>
    <w:p>
      <w:pPr>
        <w:spacing w:after="0" w:line="13" w:lineRule="exact"/>
        <w:rPr>
          <w:sz w:val="20"/>
          <w:szCs w:val="20"/>
          <w:color w:val="auto"/>
        </w:rPr>
      </w:pPr>
    </w:p>
    <w:p>
      <w:pPr>
        <w:ind w:left="5261"/>
        <w:spacing w:after="0"/>
        <w:rPr>
          <w:sz w:val="20"/>
          <w:szCs w:val="20"/>
          <w:color w:val="auto"/>
        </w:rPr>
      </w:pPr>
      <w:r>
        <w:rPr>
          <w:rFonts w:ascii="Times New Roman" w:cs="Times New Roman" w:eastAsia="Times New Roman" w:hAnsi="Times New Roman"/>
          <w:sz w:val="16"/>
          <w:szCs w:val="16"/>
          <w:color w:val="auto"/>
        </w:rPr>
        <w:t>(vii)up to $500,000 if the Series A-1 Warrants are exercised;</w:t>
      </w:r>
    </w:p>
    <w:p>
      <w:pPr>
        <w:spacing w:after="0" w:line="13" w:lineRule="exact"/>
        <w:rPr>
          <w:sz w:val="20"/>
          <w:szCs w:val="20"/>
          <w:color w:val="auto"/>
        </w:rPr>
      </w:pPr>
    </w:p>
    <w:p>
      <w:pPr>
        <w:ind w:left="5261"/>
        <w:spacing w:after="0"/>
        <w:rPr>
          <w:sz w:val="20"/>
          <w:szCs w:val="20"/>
          <w:color w:val="auto"/>
        </w:rPr>
      </w:pPr>
      <w:r>
        <w:rPr>
          <w:rFonts w:ascii="Times New Roman" w:cs="Times New Roman" w:eastAsia="Times New Roman" w:hAnsi="Times New Roman"/>
          <w:sz w:val="16"/>
          <w:szCs w:val="16"/>
          <w:color w:val="auto"/>
        </w:rPr>
        <w:t>(viii)up to $2,000,000 if the Series B-1 Warrants are exercised;</w:t>
      </w:r>
    </w:p>
    <w:p>
      <w:pPr>
        <w:spacing w:after="0" w:line="13" w:lineRule="exact"/>
        <w:rPr>
          <w:sz w:val="20"/>
          <w:szCs w:val="20"/>
          <w:color w:val="auto"/>
        </w:rPr>
      </w:pPr>
    </w:p>
    <w:p>
      <w:pPr>
        <w:ind w:left="5261"/>
        <w:spacing w:after="0"/>
        <w:rPr>
          <w:sz w:val="20"/>
          <w:szCs w:val="20"/>
          <w:color w:val="auto"/>
        </w:rPr>
      </w:pPr>
      <w:r>
        <w:rPr>
          <w:rFonts w:ascii="Times New Roman" w:cs="Times New Roman" w:eastAsia="Times New Roman" w:hAnsi="Times New Roman"/>
          <w:sz w:val="16"/>
          <w:szCs w:val="16"/>
          <w:color w:val="auto"/>
        </w:rPr>
        <w:t>(ix)up to $2,500,000 if the Series C-1 Warrants are exercised;</w:t>
      </w:r>
    </w:p>
    <w:p>
      <w:pPr>
        <w:spacing w:after="0" w:line="13" w:lineRule="exact"/>
        <w:rPr>
          <w:sz w:val="20"/>
          <w:szCs w:val="20"/>
          <w:color w:val="auto"/>
        </w:rPr>
      </w:pPr>
    </w:p>
    <w:p>
      <w:pPr>
        <w:ind w:left="5261"/>
        <w:spacing w:after="0"/>
        <w:rPr>
          <w:sz w:val="20"/>
          <w:szCs w:val="20"/>
          <w:color w:val="auto"/>
        </w:rPr>
      </w:pPr>
      <w:r>
        <w:rPr>
          <w:rFonts w:ascii="Times New Roman" w:cs="Times New Roman" w:eastAsia="Times New Roman" w:hAnsi="Times New Roman"/>
          <w:sz w:val="16"/>
          <w:szCs w:val="16"/>
          <w:color w:val="auto"/>
        </w:rPr>
        <w:t>(x)up to $3,750,000 if the Series D-1 Warrants are exercised;</w:t>
      </w:r>
    </w:p>
    <w:p>
      <w:pPr>
        <w:spacing w:after="0" w:line="13" w:lineRule="exact"/>
        <w:rPr>
          <w:sz w:val="20"/>
          <w:szCs w:val="20"/>
          <w:color w:val="auto"/>
        </w:rPr>
      </w:pPr>
    </w:p>
    <w:p>
      <w:pPr>
        <w:ind w:left="5261"/>
        <w:spacing w:after="0"/>
        <w:rPr>
          <w:sz w:val="20"/>
          <w:szCs w:val="20"/>
          <w:color w:val="auto"/>
        </w:rPr>
      </w:pPr>
      <w:r>
        <w:rPr>
          <w:rFonts w:ascii="Times New Roman" w:cs="Times New Roman" w:eastAsia="Times New Roman" w:hAnsi="Times New Roman"/>
          <w:sz w:val="16"/>
          <w:szCs w:val="16"/>
          <w:color w:val="auto"/>
        </w:rPr>
        <w:t>(xi)up to $6,250,000 if the Series E-1 Warrants are exercised;</w:t>
      </w:r>
    </w:p>
    <w:p>
      <w:pPr>
        <w:spacing w:after="0" w:line="193" w:lineRule="exact"/>
        <w:rPr>
          <w:sz w:val="20"/>
          <w:szCs w:val="20"/>
          <w:color w:val="auto"/>
        </w:rPr>
      </w:pPr>
    </w:p>
    <w:tbl>
      <w:tblPr>
        <w:tblLayout w:type="fixed"/>
        <w:tblInd w:w="1" w:type="dxa"/>
        <w:tblCellMar>
          <w:top w:w="0" w:type="dxa"/>
          <w:left w:w="0" w:type="dxa"/>
          <w:bottom w:w="0" w:type="dxa"/>
          <w:right w:w="0" w:type="dxa"/>
        </w:tblCellMar>
      </w:tblPr>
      <w:tr>
        <w:trPr>
          <w:trHeight w:val="197"/>
        </w:trPr>
        <w:tc>
          <w:tcPr>
            <w:tcW w:w="3400" w:type="dxa"/>
            <w:vAlign w:val="bottom"/>
          </w:tcPr>
          <w:p>
            <w:pPr>
              <w:spacing w:after="0"/>
              <w:rPr>
                <w:sz w:val="17"/>
                <w:szCs w:val="17"/>
                <w:color w:val="auto"/>
              </w:rPr>
            </w:pPr>
          </w:p>
        </w:tc>
        <w:tc>
          <w:tcPr>
            <w:tcW w:w="80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(to the extent the registration statement of which this prospectus is a part is then effective and, if</w:t>
            </w:r>
          </w:p>
        </w:tc>
        <w:tc>
          <w:tcPr>
            <w:tcW w:w="0" w:type="dxa"/>
            <w:vAlign w:val="bottom"/>
          </w:tcPr>
          <w:p>
            <w:pPr>
              <w:spacing w:after="0"/>
              <w:rPr>
                <w:sz w:val="1"/>
                <w:szCs w:val="1"/>
                <w:color w:val="auto"/>
              </w:rPr>
            </w:pPr>
          </w:p>
        </w:tc>
      </w:tr>
      <w:tr>
        <w:trPr>
          <w:trHeight w:val="197"/>
        </w:trPr>
        <w:tc>
          <w:tcPr>
            <w:tcW w:w="3400" w:type="dxa"/>
            <w:vAlign w:val="bottom"/>
          </w:tcPr>
          <w:p>
            <w:pPr>
              <w:spacing w:after="0"/>
              <w:rPr>
                <w:sz w:val="17"/>
                <w:szCs w:val="17"/>
                <w:color w:val="auto"/>
              </w:rPr>
            </w:pPr>
          </w:p>
        </w:tc>
        <w:tc>
          <w:tcPr>
            <w:tcW w:w="80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applicable, the “cashless exercise” provision is not utilized by the holder). Any proceeds will be</w:t>
            </w:r>
          </w:p>
        </w:tc>
        <w:tc>
          <w:tcPr>
            <w:tcW w:w="0" w:type="dxa"/>
            <w:vAlign w:val="bottom"/>
          </w:tcPr>
          <w:p>
            <w:pPr>
              <w:spacing w:after="0"/>
              <w:rPr>
                <w:sz w:val="1"/>
                <w:szCs w:val="1"/>
                <w:color w:val="auto"/>
              </w:rPr>
            </w:pPr>
          </w:p>
        </w:tc>
      </w:tr>
      <w:tr>
        <w:trPr>
          <w:trHeight w:val="197"/>
        </w:trPr>
        <w:tc>
          <w:tcPr>
            <w:tcW w:w="3400" w:type="dxa"/>
            <w:vAlign w:val="bottom"/>
          </w:tcPr>
          <w:p>
            <w:pPr>
              <w:spacing w:after="0"/>
              <w:rPr>
                <w:sz w:val="17"/>
                <w:szCs w:val="17"/>
                <w:color w:val="auto"/>
              </w:rPr>
            </w:pPr>
          </w:p>
        </w:tc>
        <w:tc>
          <w:tcPr>
            <w:tcW w:w="80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used for general corporate and working capital or for other purposes that the Board of Directors, in</w:t>
            </w:r>
          </w:p>
        </w:tc>
        <w:tc>
          <w:tcPr>
            <w:tcW w:w="0" w:type="dxa"/>
            <w:vAlign w:val="bottom"/>
          </w:tcPr>
          <w:p>
            <w:pPr>
              <w:spacing w:after="0"/>
              <w:rPr>
                <w:sz w:val="1"/>
                <w:szCs w:val="1"/>
                <w:color w:val="auto"/>
              </w:rPr>
            </w:pPr>
          </w:p>
        </w:tc>
      </w:tr>
      <w:tr>
        <w:trPr>
          <w:trHeight w:val="197"/>
        </w:trPr>
        <w:tc>
          <w:tcPr>
            <w:tcW w:w="3400" w:type="dxa"/>
            <w:vAlign w:val="bottom"/>
          </w:tcPr>
          <w:p>
            <w:pPr>
              <w:spacing w:after="0"/>
              <w:rPr>
                <w:sz w:val="17"/>
                <w:szCs w:val="17"/>
                <w:color w:val="auto"/>
              </w:rPr>
            </w:pPr>
          </w:p>
        </w:tc>
        <w:tc>
          <w:tcPr>
            <w:tcW w:w="80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their good faith, deems to be in the best interest of the Company. No assurances can be given that</w:t>
            </w:r>
          </w:p>
        </w:tc>
        <w:tc>
          <w:tcPr>
            <w:tcW w:w="0" w:type="dxa"/>
            <w:vAlign w:val="bottom"/>
          </w:tcPr>
          <w:p>
            <w:pPr>
              <w:spacing w:after="0"/>
              <w:rPr>
                <w:sz w:val="1"/>
                <w:szCs w:val="1"/>
                <w:color w:val="auto"/>
              </w:rPr>
            </w:pPr>
          </w:p>
        </w:tc>
      </w:tr>
      <w:tr>
        <w:trPr>
          <w:trHeight w:val="197"/>
        </w:trPr>
        <w:tc>
          <w:tcPr>
            <w:tcW w:w="34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Quotation of common stock:</w:t>
            </w:r>
          </w:p>
        </w:tc>
        <w:tc>
          <w:tcPr>
            <w:tcW w:w="80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any of such warrants will be exercised. See “Use of Proceeds.”</w:t>
            </w:r>
          </w:p>
        </w:tc>
        <w:tc>
          <w:tcPr>
            <w:tcW w:w="0" w:type="dxa"/>
            <w:vAlign w:val="bottom"/>
          </w:tcPr>
          <w:p>
            <w:pPr>
              <w:spacing w:after="0"/>
              <w:rPr>
                <w:sz w:val="1"/>
                <w:szCs w:val="1"/>
                <w:color w:val="auto"/>
              </w:rPr>
            </w:pPr>
          </w:p>
        </w:tc>
      </w:tr>
      <w:tr>
        <w:trPr>
          <w:trHeight w:val="193"/>
        </w:trPr>
        <w:tc>
          <w:tcPr>
            <w:tcW w:w="3400" w:type="dxa"/>
            <w:vAlign w:val="bottom"/>
            <w:vMerge w:val="continue"/>
          </w:tcPr>
          <w:p>
            <w:pPr>
              <w:spacing w:after="0"/>
              <w:rPr>
                <w:sz w:val="16"/>
                <w:szCs w:val="16"/>
                <w:color w:val="auto"/>
              </w:rPr>
            </w:pPr>
          </w:p>
        </w:tc>
        <w:tc>
          <w:tcPr>
            <w:tcW w:w="80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Our common stock is listed for quotation on the OTCQB market under the symbol “TPIV.”</w:t>
            </w:r>
          </w:p>
        </w:tc>
        <w:tc>
          <w:tcPr>
            <w:tcW w:w="0" w:type="dxa"/>
            <w:vAlign w:val="bottom"/>
          </w:tcPr>
          <w:p>
            <w:pPr>
              <w:spacing w:after="0"/>
              <w:rPr>
                <w:sz w:val="1"/>
                <w:szCs w:val="1"/>
                <w:color w:val="auto"/>
              </w:rPr>
            </w:pPr>
          </w:p>
        </w:tc>
      </w:tr>
      <w:tr>
        <w:trPr>
          <w:trHeight w:val="201"/>
        </w:trPr>
        <w:tc>
          <w:tcPr>
            <w:tcW w:w="3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Dividend policy:</w:t>
            </w:r>
          </w:p>
        </w:tc>
        <w:tc>
          <w:tcPr>
            <w:tcW w:w="80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We currently intend to retain any future earnings to fund the development and growth of our</w:t>
            </w:r>
          </w:p>
        </w:tc>
        <w:tc>
          <w:tcPr>
            <w:tcW w:w="0" w:type="dxa"/>
            <w:vAlign w:val="bottom"/>
          </w:tcPr>
          <w:p>
            <w:pPr>
              <w:spacing w:after="0"/>
              <w:rPr>
                <w:sz w:val="1"/>
                <w:szCs w:val="1"/>
                <w:color w:val="auto"/>
              </w:rPr>
            </w:pPr>
          </w:p>
        </w:tc>
      </w:tr>
      <w:tr>
        <w:trPr>
          <w:trHeight w:val="197"/>
        </w:trPr>
        <w:tc>
          <w:tcPr>
            <w:tcW w:w="34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Risk factors:</w:t>
            </w:r>
          </w:p>
        </w:tc>
        <w:tc>
          <w:tcPr>
            <w:tcW w:w="80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business. Therefore, we do not currently anticipate paying cash dividends on our common stock.</w:t>
            </w:r>
          </w:p>
        </w:tc>
        <w:tc>
          <w:tcPr>
            <w:tcW w:w="0" w:type="dxa"/>
            <w:vAlign w:val="bottom"/>
          </w:tcPr>
          <w:p>
            <w:pPr>
              <w:spacing w:after="0"/>
              <w:rPr>
                <w:sz w:val="1"/>
                <w:szCs w:val="1"/>
                <w:color w:val="auto"/>
              </w:rPr>
            </w:pPr>
          </w:p>
        </w:tc>
      </w:tr>
      <w:tr>
        <w:trPr>
          <w:trHeight w:val="197"/>
        </w:trPr>
        <w:tc>
          <w:tcPr>
            <w:tcW w:w="3400" w:type="dxa"/>
            <w:vAlign w:val="bottom"/>
            <w:vMerge w:val="continue"/>
          </w:tcPr>
          <w:p>
            <w:pPr>
              <w:spacing w:after="0"/>
              <w:rPr>
                <w:sz w:val="17"/>
                <w:szCs w:val="17"/>
                <w:color w:val="auto"/>
              </w:rPr>
            </w:pPr>
          </w:p>
        </w:tc>
        <w:tc>
          <w:tcPr>
            <w:tcW w:w="80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An investment in our company is highly speculative and involves a significant degree of risk. See</w:t>
            </w:r>
          </w:p>
        </w:tc>
        <w:tc>
          <w:tcPr>
            <w:tcW w:w="0" w:type="dxa"/>
            <w:vAlign w:val="bottom"/>
          </w:tcPr>
          <w:p>
            <w:pPr>
              <w:spacing w:after="0"/>
              <w:rPr>
                <w:sz w:val="1"/>
                <w:szCs w:val="1"/>
                <w:color w:val="auto"/>
              </w:rPr>
            </w:pPr>
          </w:p>
        </w:tc>
      </w:tr>
      <w:tr>
        <w:trPr>
          <w:trHeight w:val="197"/>
        </w:trPr>
        <w:tc>
          <w:tcPr>
            <w:tcW w:w="3400" w:type="dxa"/>
            <w:vAlign w:val="bottom"/>
          </w:tcPr>
          <w:p>
            <w:pPr>
              <w:spacing w:after="0"/>
              <w:rPr>
                <w:sz w:val="17"/>
                <w:szCs w:val="17"/>
                <w:color w:val="auto"/>
              </w:rPr>
            </w:pPr>
          </w:p>
        </w:tc>
        <w:tc>
          <w:tcPr>
            <w:tcW w:w="80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“Risk Factors” and other information included in this prospectus for a discussion of factors you</w:t>
            </w:r>
          </w:p>
        </w:tc>
        <w:tc>
          <w:tcPr>
            <w:tcW w:w="0" w:type="dxa"/>
            <w:vAlign w:val="bottom"/>
          </w:tcPr>
          <w:p>
            <w:pPr>
              <w:spacing w:after="0"/>
              <w:rPr>
                <w:sz w:val="1"/>
                <w:szCs w:val="1"/>
                <w:color w:val="auto"/>
              </w:rPr>
            </w:pPr>
          </w:p>
        </w:tc>
      </w:tr>
      <w:tr>
        <w:trPr>
          <w:trHeight w:val="214"/>
        </w:trPr>
        <w:tc>
          <w:tcPr>
            <w:tcW w:w="34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w:t>
            </w:r>
          </w:p>
        </w:tc>
        <w:tc>
          <w:tcPr>
            <w:tcW w:w="80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should carefully consider before deciding to invest in shares of our common stock.</w:t>
            </w:r>
          </w:p>
        </w:tc>
        <w:tc>
          <w:tcPr>
            <w:tcW w:w="0" w:type="dxa"/>
            <w:vAlign w:val="bottom"/>
          </w:tcPr>
          <w:p>
            <w:pPr>
              <w:spacing w:after="0"/>
              <w:rPr>
                <w:sz w:val="1"/>
                <w:szCs w:val="1"/>
                <w:color w:val="auto"/>
              </w:rPr>
            </w:pPr>
          </w:p>
        </w:tc>
      </w:tr>
      <w:tr>
        <w:trPr>
          <w:trHeight w:val="223"/>
        </w:trPr>
        <w:tc>
          <w:tcPr>
            <w:tcW w:w="3400" w:type="dxa"/>
            <w:vAlign w:val="bottom"/>
            <w:vMerge w:val="continue"/>
          </w:tcPr>
          <w:p>
            <w:pPr>
              <w:spacing w:after="0"/>
              <w:rPr>
                <w:sz w:val="19"/>
                <w:szCs w:val="19"/>
                <w:color w:val="auto"/>
              </w:rPr>
            </w:pPr>
          </w:p>
        </w:tc>
        <w:tc>
          <w:tcPr>
            <w:tcW w:w="8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41" w:hanging="641"/>
        <w:spacing w:after="0"/>
        <w:tabs>
          <w:tab w:leader="none" w:pos="64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exercise of all warrants being resold pursuant to this prospectus.</w:t>
      </w:r>
    </w:p>
    <w:p>
      <w:pPr>
        <w:spacing w:after="0" w:line="200" w:lineRule="exact"/>
        <w:rPr>
          <w:rFonts w:ascii="Times New Roman" w:cs="Times New Roman" w:eastAsia="Times New Roman" w:hAnsi="Times New Roman"/>
          <w:sz w:val="16"/>
          <w:szCs w:val="16"/>
          <w:color w:val="auto"/>
        </w:rPr>
      </w:pPr>
    </w:p>
    <w:p>
      <w:pPr>
        <w:spacing w:after="0" w:line="349" w:lineRule="exact"/>
        <w:rPr>
          <w:rFonts w:ascii="Times New Roman" w:cs="Times New Roman" w:eastAsia="Times New Roman" w:hAnsi="Times New Roman"/>
          <w:sz w:val="16"/>
          <w:szCs w:val="16"/>
          <w:color w:val="auto"/>
        </w:rPr>
      </w:pPr>
    </w:p>
    <w:p>
      <w:pPr>
        <w:ind w:left="568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63765"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476"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2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Investing in our securities involves a high degree of risk. You should carefully consider and evaluate all of the information included and incorporated by reference or deemed to be incorporated by reference in this prospectus. Our business, results of operations or financial condition could be adversely affected by any of these risks or by additional risks and uncertainties not currently known to us or that we currently consider immaterial.</w:t>
      </w:r>
    </w:p>
    <w:p>
      <w:pPr>
        <w:spacing w:after="0" w:line="15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6"/>
          <w:szCs w:val="16"/>
          <w:b w:val="1"/>
          <w:bCs w:val="1"/>
          <w:color w:val="auto"/>
        </w:rPr>
        <w:t>Risks Related to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are a development stage company with a history of operating losses.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products. We anticipate that our ongoing operational costs will increase significantly as we continue conducting our clinical development program. Our deficit will continue to grow during our drug development period. We have no sources of revenue to provide incoming cash flows to sustain our future operations. As outlined above, our ability to pursue our planned business activities depends upon our successful efforts to raise additional equity financing</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We have sustained losses from operations in each fiscal year since our inception, and we expect losses to continue for the indefinite future due to the substantial investment in research and development. As of March 31, 2015, we had an accumulated deficit of $87,291,000 since inception. We expect to spend substantial additional sums on the continued administration and research and development of licensed and proprietary products and technologies with no certainty that our approach and associated technologies will become commercially viable or profitable as a result of these expenditures. If we fail to raise a significant amount of capital, we may need to significantly curtail operations or cease operations in the near future. If any of our product candidates fails in clinical trials or does not gain regulatory approval, we may never generate revenue. Even if we generate revenue in the future, we may not be able to become profitable or sustain profitability in subsequent periods.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have not yet sold any products or received regulatory approval to sell our products.</w:t>
      </w:r>
    </w:p>
    <w:p>
      <w:pPr>
        <w:spacing w:after="0" w:line="23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We have no approved products or products pending approval. As a result, we have not derived any revenue from the sales of products and have not yet demonstrated ability to obtain regulatory approval, formulate and manufacture commercial scale products, or conduct sales and marketing activities necessary for successful product commercialization. Without revenue, we can only finance our company through debt and equity financings.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may not be able to develop products successfully or develop them on a timely basis.</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immunotherapy product candidates are at various stages of research and development. Further development and extensive testing will be required to determine their technical feasibility and commercial viability. We will need to complete significant additional clinical trials demonstrating that our product candidates are safe and effective to the satisfaction of the FDA and other non-U.S. regulatory authorities. The drug approval process is time-consuming, which involves substantial expenditures of resources, and depends upon a number of factors, including the severity of the illness in question, the availability of alternative treatments, and the risks and benefits demonstrated in the clinical trials. Our success depends on our ability to achieve scientific and technological advances and to translate such advances into licensable, FDA-approvable, commercially competitive products on a timely basis. Failure can occur at any stage of the process. If such programs are not successful, we may be unable to develop revenue-producing products. As we enter a more extensive clinical program for our product candidates, the data generated in these studies may not be as compelling as the earlier results.</w:t>
      </w:r>
    </w:p>
    <w:p>
      <w:pPr>
        <w:spacing w:after="0" w:line="3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Immunotherapies and vaccines that we may develop are not likely to be commercially available for three or more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 For example, the FDA or non-U.S. regulatory authorities may disagree</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2" w:name="page13"/>
    <w:bookmarkEnd w:id="12"/>
    <w:p>
      <w:pPr>
        <w:jc w:val="both"/>
        <w:spacing w:after="0" w:line="262" w:lineRule="auto"/>
        <w:rPr>
          <w:sz w:val="20"/>
          <w:szCs w:val="20"/>
          <w:color w:val="auto"/>
        </w:rPr>
      </w:pPr>
      <w:r>
        <w:rPr>
          <w:rFonts w:ascii="Times New Roman" w:cs="Times New Roman" w:eastAsia="Times New Roman" w:hAnsi="Times New Roman"/>
          <w:sz w:val="16"/>
          <w:szCs w:val="16"/>
          <w:color w:val="auto"/>
        </w:rPr>
        <w:t>with the design or implementation of our clinical trials or study endpoints; or we may be unable to demonstrate that a product candidate’s clinical and other benefits outweigh its safety risks. In addition, the FDA or non-U.S. regulatory authorities may disagree with our interpretation of data from preclinical studies or clinical trials or the data collected from clinical trials of our product candidates may not be sufficient to support the submission of a new drug application (“NDA”) or other submission or to obtain regulatory approval in the United States or elsewhere. The FDA or non-U.S. regulatory authorities may fail to approve the manufacturing processes or facilities of third-party manufacturers with which we contract for clinical and commercial supplies; and the approval policies or regulations of the FDA or non-U.S. regulatory authorities may significantly change in a manner rendering our clinical data insufficient for approval. In addition, approval policies, regulations, or the type and amount of clinical data necessary to gain approval may change during the course of a product candidate’s clinical development and may vary among jurisdictions. The proposed development schedules for our immunotherapy product candidates may be affected by a variety of other factors, including technological difficulties, clinical trial failures, regulatory hurdles, competitive products, intellectual property challenges and/or changes in governmental regulation, many of which will not be within our control.</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Any delay in the development, approval, introduction or marketing of our products could result either in such products being marketed at a time when their cost and performance characteristics would not be competitive in the marketplace or in the shortening of their commercial lives. In light of the long-term nature of our projects, the unproven technology involved and the other factors described elsewhere in this section, we might not be able to successfully complete the development or marketing of any new products, and as a result, our business, prospects, financial condition and results of operations could be materially and adversely affected. We may be required to reduce our staff, discontinue certain research or development programs of our future products and cease to operate.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may not achieve commercial success even if our product candidates are approved for sale.</w:t>
      </w:r>
    </w:p>
    <w:p>
      <w:pPr>
        <w:spacing w:after="0" w:line="23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Even if we obtain the required regulatory approvals to market our product candidates, there are many factors which may prevent us from ever successfully selling the products in commercial quantities. Some factors are beyond our control, such as:</w:t>
      </w:r>
    </w:p>
    <w:p>
      <w:pPr>
        <w:spacing w:after="0" w:line="137" w:lineRule="exact"/>
        <w:rPr>
          <w:sz w:val="20"/>
          <w:szCs w:val="20"/>
          <w:color w:val="auto"/>
        </w:rPr>
      </w:pPr>
    </w:p>
    <w:p>
      <w:pPr>
        <w:ind w:left="1000" w:hanging="706"/>
        <w:spacing w:after="0"/>
        <w:tabs>
          <w:tab w:leader="none" w:pos="10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acceptance of the formulation of immunotherapies by health care professionals and patients;</w:t>
      </w:r>
    </w:p>
    <w:p>
      <w:pPr>
        <w:spacing w:after="0" w:line="210" w:lineRule="exact"/>
        <w:rPr>
          <w:rFonts w:ascii="Times New Roman" w:cs="Times New Roman" w:eastAsia="Times New Roman" w:hAnsi="Times New Roman"/>
          <w:sz w:val="16"/>
          <w:szCs w:val="16"/>
          <w:color w:val="auto"/>
        </w:rPr>
      </w:pPr>
    </w:p>
    <w:p>
      <w:pPr>
        <w:ind w:left="1000" w:hanging="706"/>
        <w:spacing w:after="0"/>
        <w:tabs>
          <w:tab w:leader="none" w:pos="10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of third-parties that we may enter into collaboration agreements with for the manufacture, sales, marketing and distribution of our products; and</w:t>
      </w:r>
    </w:p>
    <w:p>
      <w:pPr>
        <w:spacing w:after="0" w:line="210" w:lineRule="exact"/>
        <w:rPr>
          <w:rFonts w:ascii="Times New Roman" w:cs="Times New Roman" w:eastAsia="Times New Roman" w:hAnsi="Times New Roman"/>
          <w:sz w:val="16"/>
          <w:szCs w:val="16"/>
          <w:color w:val="auto"/>
        </w:rPr>
      </w:pPr>
    </w:p>
    <w:p>
      <w:pPr>
        <w:ind w:left="1000" w:hanging="706"/>
        <w:spacing w:after="0"/>
        <w:tabs>
          <w:tab w:leader="none" w:pos="10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effectiveness and relative cost of alternative treatments which may be developed by competitors.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may face legal claims; Litigation is expensive and we may not be able to afford the costs.</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We may face legal claims involving stockholders, consumers, competitors, entities from whom we license technology, entities with whom we collaborate, persons claiming that we are infringing on their intellectual property and others. As described in the discussion entitled “Legal Proceedings” in this prospectus, we are engaged in one legal proceeding, in which we could suffer significant financial losses. Legal proceedings are inherently uncertain, and adverse rulings could occur, including monetary damages, or an injunction stopping us from engaging in business practices, or requiring other remedies, such as compulsory licensing of patents.</w:t>
      </w:r>
    </w:p>
    <w:p>
      <w:pPr>
        <w:spacing w:after="0" w:line="1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 suit for infringement or contractual breaches, even if frivolous, will require considerable time commitments on the part of management, its attorneys and consultants. Defending these types of proceedings or legal actions involve considerable expense and could negatively affect our financial results.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t>Our research and development programs are subject to uncertainty.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Factors affecting our research and development programs include, but are not limited to:</w:t>
      </w:r>
    </w:p>
    <w:p>
      <w:pPr>
        <w:spacing w:after="0" w:line="210" w:lineRule="exact"/>
        <w:rPr>
          <w:sz w:val="20"/>
          <w:szCs w:val="20"/>
          <w:color w:val="auto"/>
        </w:rPr>
      </w:pPr>
    </w:p>
    <w:p>
      <w:pPr>
        <w:ind w:left="1040" w:hanging="746"/>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from companies that are substantially and financially stronger than we are;</w:t>
      </w:r>
    </w:p>
    <w:p>
      <w:pPr>
        <w:spacing w:after="0" w:line="210" w:lineRule="exact"/>
        <w:rPr>
          <w:rFonts w:ascii="Times New Roman" w:cs="Times New Roman" w:eastAsia="Times New Roman" w:hAnsi="Times New Roman"/>
          <w:sz w:val="16"/>
          <w:szCs w:val="16"/>
          <w:color w:val="auto"/>
        </w:rPr>
      </w:pPr>
    </w:p>
    <w:p>
      <w:pPr>
        <w:ind w:left="1040" w:hanging="746"/>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need for acceptance of our Immunotherapies;</w:t>
      </w:r>
    </w:p>
    <w:p>
      <w:pPr>
        <w:spacing w:after="0" w:line="210" w:lineRule="exact"/>
        <w:rPr>
          <w:rFonts w:ascii="Times New Roman" w:cs="Times New Roman" w:eastAsia="Times New Roman" w:hAnsi="Times New Roman"/>
          <w:sz w:val="16"/>
          <w:szCs w:val="16"/>
          <w:color w:val="auto"/>
        </w:rPr>
      </w:pPr>
    </w:p>
    <w:p>
      <w:pPr>
        <w:ind w:left="1040" w:hanging="746"/>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anticipate and adapt to a competitive market and rapid technological developments;</w:t>
      </w:r>
    </w:p>
    <w:p>
      <w:pPr>
        <w:spacing w:after="0" w:line="210" w:lineRule="exact"/>
        <w:rPr>
          <w:rFonts w:ascii="Times New Roman" w:cs="Times New Roman" w:eastAsia="Times New Roman" w:hAnsi="Times New Roman"/>
          <w:sz w:val="16"/>
          <w:szCs w:val="16"/>
          <w:color w:val="auto"/>
        </w:rPr>
      </w:pPr>
    </w:p>
    <w:p>
      <w:pPr>
        <w:ind w:left="1040" w:hanging="746"/>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and timing of operating costs and capital expenditures relating to expansion of our business, operations and infrastructure;</w:t>
      </w:r>
    </w:p>
    <w:p>
      <w:pPr>
        <w:spacing w:after="0" w:line="210" w:lineRule="exact"/>
        <w:rPr>
          <w:rFonts w:ascii="Times New Roman" w:cs="Times New Roman" w:eastAsia="Times New Roman" w:hAnsi="Times New Roman"/>
          <w:sz w:val="16"/>
          <w:szCs w:val="16"/>
          <w:color w:val="auto"/>
        </w:rPr>
      </w:pPr>
    </w:p>
    <w:p>
      <w:pPr>
        <w:ind w:left="740" w:hanging="446"/>
        <w:spacing w:after="0" w:line="296" w:lineRule="auto"/>
        <w:tabs>
          <w:tab w:leader="none" w:pos="109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need to rely on multiple levels of outside funding due to the length of drug development cycles and governmental approved protocols associated with the pharmaceutical industry; and</w:t>
      </w:r>
    </w:p>
    <w:p>
      <w:pPr>
        <w:spacing w:after="0" w:line="137" w:lineRule="exact"/>
        <w:rPr>
          <w:rFonts w:ascii="Times New Roman" w:cs="Times New Roman" w:eastAsia="Times New Roman" w:hAnsi="Times New Roman"/>
          <w:sz w:val="16"/>
          <w:szCs w:val="16"/>
          <w:color w:val="auto"/>
        </w:rPr>
      </w:pPr>
    </w:p>
    <w:p>
      <w:pPr>
        <w:ind w:left="1040" w:hanging="746"/>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dependence upon key personnel including key independent consultants and advisors.</w:t>
      </w:r>
    </w:p>
    <w:p>
      <w:pPr>
        <w:spacing w:after="0" w:line="23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Our research and development expenses may not be consistent from time to time. We may be required to accelerate or delay incurring certain expenses depending on the results of our studies and the availability of adequate funding.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Certain of our technologies are in-licensed from third parties, and the protection of those technologies is not entirely within our control.</w:t>
      </w:r>
    </w:p>
    <w:p>
      <w:pPr>
        <w:spacing w:after="0" w:line="2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We license technologies from a third party, the Mayo Clinic, for: (i) the Her2/neu peptide epitopes, (ii) a novel set of Class II HER2/neu antigens discovered in breast cancer patients and (iii) a novel smallpox peptide antigens. In addition, we have an option, which we intend to exercise, to license the Folate Alpha Receptor technology from the Mayo Clinic. As a result of these in-licenses, we could lose the right to develop each of the technologies if:</w:t>
      </w:r>
    </w:p>
    <w:p>
      <w:pPr>
        <w:spacing w:after="0" w:line="178" w:lineRule="exact"/>
        <w:rPr>
          <w:sz w:val="20"/>
          <w:szCs w:val="20"/>
          <w:color w:val="auto"/>
        </w:rPr>
      </w:pPr>
    </w:p>
    <w:p>
      <w:pPr>
        <w:ind w:left="740" w:hanging="446"/>
        <w:spacing w:after="0" w:line="296" w:lineRule="auto"/>
        <w:tabs>
          <w:tab w:leader="none" w:pos="1004"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owners of the patent rights underlying the technologies that we license do not properly maintain or enforce the patents and intellectual property underlying those properties,</w:t>
      </w:r>
    </w:p>
    <w:p>
      <w:pPr>
        <w:spacing w:after="0" w:line="137" w:lineRule="exact"/>
        <w:rPr>
          <w:rFonts w:ascii="Times New Roman" w:cs="Times New Roman" w:eastAsia="Times New Roman" w:hAnsi="Times New Roman"/>
          <w:sz w:val="16"/>
          <w:szCs w:val="16"/>
          <w:color w:val="auto"/>
        </w:rPr>
      </w:pPr>
    </w:p>
    <w:p>
      <w:pPr>
        <w:ind w:left="1000" w:hanging="706"/>
        <w:spacing w:after="0"/>
        <w:tabs>
          <w:tab w:leader="none" w:pos="10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Mayo Clinic seeks to terminate our license in contravention of the license agreements,</w:t>
      </w:r>
    </w:p>
    <w:p>
      <w:pPr>
        <w:spacing w:after="0" w:line="210" w:lineRule="exact"/>
        <w:rPr>
          <w:rFonts w:ascii="Times New Roman" w:cs="Times New Roman" w:eastAsia="Times New Roman" w:hAnsi="Times New Roman"/>
          <w:sz w:val="16"/>
          <w:szCs w:val="16"/>
          <w:color w:val="auto"/>
        </w:rPr>
      </w:pPr>
    </w:p>
    <w:p>
      <w:pPr>
        <w:ind w:left="1000" w:hanging="706"/>
        <w:spacing w:after="0"/>
        <w:tabs>
          <w:tab w:leader="none" w:pos="10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fail to make all payments due and owing under any of the licenses or,</w:t>
      </w:r>
    </w:p>
    <w:p>
      <w:pPr>
        <w:spacing w:after="0" w:line="210" w:lineRule="exact"/>
        <w:rPr>
          <w:rFonts w:ascii="Times New Roman" w:cs="Times New Roman" w:eastAsia="Times New Roman" w:hAnsi="Times New Roman"/>
          <w:sz w:val="16"/>
          <w:szCs w:val="16"/>
          <w:color w:val="auto"/>
        </w:rPr>
      </w:pPr>
    </w:p>
    <w:p>
      <w:pPr>
        <w:ind w:left="740" w:hanging="446"/>
        <w:spacing w:after="0" w:line="296" w:lineRule="auto"/>
        <w:tabs>
          <w:tab w:leader="none" w:pos="106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fail to obtain on commercially reasonable terms, if at all, in-licenses from the Mayo Clinic or other for other rights that are necessary to develop the technology that we have already in-licensed.</w:t>
      </w:r>
    </w:p>
    <w:p>
      <w:pPr>
        <w:spacing w:after="0" w:line="16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If any of the above occurs, we could lose the right to use the in-licensed intellectual property, which would adversely affect our ability to commercialize our technologies, products or services. The loss of any current or future licenses from Mayo Clinic or the exclusivity rights provided therein could materially harm our financial condition and operating results.</w:t>
      </w:r>
    </w:p>
    <w:p>
      <w:pPr>
        <w:spacing w:after="0" w:line="17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color w:val="auto"/>
        </w:rPr>
        <w:t>We have an option to acquire an exclusive in-license technology from a third party, and if that party does not protect its license, we could lose the opportunity to develop that technology.</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In 2014, Ayer Special Situations Funds I, LP (“Ayer”) obtained an exclusive in-license from the Mayo Clinic to the Folate Alpha Receptor technology, and we obtained an option to acquire that exclusive in-license from Ayer. If Ayer does not maintain the in-license technology or, in contradiction of the terms of our agreement with Ayer, transfers it another party or relinquishes the in-license, our competitive position and business prospects could be harmed. Ayer also may seek to terminate our option to acquire the in-license, which could cause us to lose the right to use the right to develop intellectual property and adversely affect our ability to commercialize our technologies, products or services.</w:t>
      </w:r>
    </w:p>
    <w:p>
      <w:pPr>
        <w:spacing w:after="0" w:line="18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color w:val="auto"/>
        </w:rPr>
        <w:t>We rely upon patents to protect our technology. We may be unable to protect our intellectual property rights, and we may be liable for infringing the intellectual property rights of others.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4" w:name="page15"/>
    <w:bookmarkEnd w:id="14"/>
    <w:p>
      <w:pPr>
        <w:jc w:val="both"/>
        <w:spacing w:after="0" w:line="296" w:lineRule="auto"/>
        <w:rPr>
          <w:sz w:val="20"/>
          <w:szCs w:val="20"/>
          <w:color w:val="auto"/>
        </w:rPr>
      </w:pPr>
      <w:r>
        <w:rPr>
          <w:rFonts w:ascii="Times New Roman" w:cs="Times New Roman" w:eastAsia="Times New Roman" w:hAnsi="Times New Roman"/>
          <w:sz w:val="16"/>
          <w:szCs w:val="16"/>
          <w:color w:val="auto"/>
        </w:rPr>
        <w:t>Our ability to compete effectively depends on our ability to maintain the proprietary nature of our technologies, including Polystart™, and the proprietary technology of others with whom we have entered into collaboration and licensing agreements.</w:t>
      </w:r>
    </w:p>
    <w:p>
      <w:pPr>
        <w:spacing w:after="0" w:line="1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1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The patent positions of biotechnology and pharmaceutical companies, including our patent position,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unenforceable, lack sufficient written description or enablement, or that the claims of the issued patents should be limited or narrowly construed. Patents also will not protect our product candidates if competitors devise ways of making or using these product candidates without infringing our patents.</w:t>
      </w:r>
    </w:p>
    <w:p>
      <w:pPr>
        <w:spacing w:after="0" w:line="36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13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may be unable to adequately prevent disclosure of trade secrets and other proprietary information.</w:t>
      </w: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15" w:name="page16"/>
    <w:bookmarkEnd w:id="15"/>
    <w:p>
      <w:pPr>
        <w:jc w:val="both"/>
        <w:spacing w:after="0" w:line="301" w:lineRule="auto"/>
        <w:rPr>
          <w:sz w:val="20"/>
          <w:szCs w:val="20"/>
          <w:color w:val="auto"/>
        </w:rPr>
      </w:pPr>
      <w:r>
        <w:rPr>
          <w:rFonts w:ascii="Times New Roman" w:cs="Times New Roman" w:eastAsia="Times New Roman" w:hAnsi="Times New Roman"/>
          <w:sz w:val="16"/>
          <w:szCs w:val="16"/>
          <w:b w:val="1"/>
          <w:b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If we are unable to maintain and/or obtain licenses needed for the development of our product candidates in the future, we may have to develop alternatives to avoid infringing on the patents of others, potentially causing increased costs and delays in drug development and introduction or precluding the development, manufacture, or sale of planned products.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6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Additionally, the patents underlying the licenses might not be valid and enforceable. To the extent any products developed by us are based on licensed technology, royalty payments on the licenses will reduce our gross profit from such product sales and may render the sales of such products uneconomical. In addition, the loss of any current or future licenses or the exclusivity rights provided therein could materially harm our business financial condition and our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may not obtain or maintain the benefits associated with orphan drug designation, including market exclusivity.</w:t>
      </w:r>
    </w:p>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We plan to present Phase II advancement plans in late 2014 for the Folate Alpha Receptor technology in the form of an application for orphan drug status. If we are not granted orphan drug designation, the Phase II trial will be significantly longer and costlier than we currently anticipate. Even if granted, we may not receive the benefits associated with orphan drug designation. This may result from a failure to maintain orphan drug status, or result from a competing product reaching the market that has an orphan designation for the same disease indication. Under U.S. regulations for orphan drugs, if such a competing product reaches the market before ours does, the competing product could potentially obtain a scope of market exclusivity that limits or precludes our product from being sold in the United States for seven years. Even if we obtain exclusivity, the FDA could subsequently approve a drug for the same condition if the FDA concludes that the later drug is clinically superior in that it is shown to be safer, more effective or makes a major contribution to patient care. A competitor also may receive approval of different products for the same indication for which our orphan product has exclusivity, or obtain approval for the same product but for a different indication for which the orphan product has exclusivity.</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 addition, if and when we request orphan drug designation in Europe, the European exclusivity period is ten years but can be reduced to six years if the drug no longer meets the criteria for orphan drug designation or if the drug is sufficiently profitable so that market exclusivity is no longer justified. Orphan drug exclusivity may be lost if the FDA or EMEA determines that the request for designation was materially defective or if the manufacturer is unable to assure sufficient quantity of the drug to meet the needs of patients with the rare disease or condition.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have no manufacturing, sales, marketing or distribution capability and we must rely upon third parties for such.</w:t>
      </w:r>
    </w:p>
    <w:p>
      <w:pPr>
        <w:spacing w:after="0" w:line="21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We do not intend to create facilities to manufacture our products and therefore will depend upon third parties to do so. We currently have no agreements with any commercial manufacturers.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If we are unable to establish or manage strategic collaborations in the future, our revenue and drug development may be limited.</w:t>
      </w:r>
    </w:p>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Our strategy includes eventual substantial reliance upon strategic collaborations for marketing and commercialization of our cancer vaccines, and we may rely even more on strategic collaborations for research, development, marketing and commercialization of our other Immunotherapies. If we are unsuccessful in securing such strategic collaborations we may be unable to commercialize our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color w:val="auto"/>
        </w:rPr>
        <w:t>Management of our relationships with our collaborators will require:</w:t>
      </w:r>
    </w:p>
    <w:p>
      <w:pPr>
        <w:spacing w:after="0" w:line="210" w:lineRule="exact"/>
        <w:rPr>
          <w:sz w:val="20"/>
          <w:szCs w:val="20"/>
          <w:color w:val="auto"/>
        </w:rPr>
      </w:pPr>
    </w:p>
    <w:p>
      <w:pPr>
        <w:ind w:left="1040" w:hanging="746"/>
        <w:spacing w:after="0"/>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time and effort from our management team;</w:t>
      </w:r>
    </w:p>
    <w:p>
      <w:pPr>
        <w:spacing w:after="0" w:line="210" w:lineRule="exact"/>
        <w:rPr>
          <w:rFonts w:ascii="Times New Roman" w:cs="Times New Roman" w:eastAsia="Times New Roman" w:hAnsi="Times New Roman"/>
          <w:sz w:val="16"/>
          <w:szCs w:val="16"/>
          <w:color w:val="auto"/>
        </w:rPr>
      </w:pPr>
    </w:p>
    <w:p>
      <w:pPr>
        <w:ind w:left="1040" w:hanging="746"/>
        <w:spacing w:after="0"/>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coordination of our research and development programs with the research and development priorities of our collaborators; and</w:t>
      </w:r>
    </w:p>
    <w:p>
      <w:pPr>
        <w:spacing w:after="0" w:line="210" w:lineRule="exact"/>
        <w:rPr>
          <w:rFonts w:ascii="Times New Roman" w:cs="Times New Roman" w:eastAsia="Times New Roman" w:hAnsi="Times New Roman"/>
          <w:sz w:val="16"/>
          <w:szCs w:val="16"/>
          <w:color w:val="auto"/>
        </w:rPr>
      </w:pPr>
    </w:p>
    <w:p>
      <w:pPr>
        <w:ind w:left="1040" w:hanging="746"/>
        <w:spacing w:after="0"/>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allocation of our resources to multiple projects.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our research and development programs or the commercialization, marketing or distribution of our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 or royalty payments to our collaborators or to observe other obligations in our agreements with them, our collaborators may have the right to terminate those agreements.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need to attract and retain highly skilled personnel; we may be unable to effectively manage growth with our limited resources.</w:t>
      </w: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As of June 18, 2015, we had one full-time employee and a number of management and scientific consultants. Our ability to attract and retain highly skilled personnel is critical to our operations and expansion. We face competition for these types of personnel from other technology companies and more established organizations, many of which have significantly larger operations and greater financial, technical, human and other resources than we have.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other products, and unable to adequately address our management needs.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depend upon our senior management and key consultants and their loss or unavailability could put us at a competitive disadvantage.</w:t>
      </w:r>
    </w:p>
    <w:p>
      <w:pPr>
        <w:spacing w:after="0" w:line="2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We depend upon the efforts and abilities of our senior executives, as well as the services of several key consultants, including Dr. Glynn Wilson and Dr. Robert Florkiewicz. The loss or unavailability of the services of either of these individuals for any significant period of time could have a material adverse effect on our business, prospects, financial condition and results of operations.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Risks Related to our Industry</w:t>
      </w:r>
    </w:p>
    <w:p>
      <w:pPr>
        <w:spacing w:after="0" w:line="23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color w:val="auto"/>
        </w:rPr>
        <w:t>The biotechnology and immunotherapy industries are characterized by rapid technological developments and a high degree of competition. We may be unable to compete with more substantial enterprises.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and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17" w:name="page18"/>
    <w:bookmarkEnd w:id="17"/>
    <w:p>
      <w:pPr>
        <w:jc w:val="both"/>
        <w:spacing w:after="0" w:line="264" w:lineRule="auto"/>
        <w:rPr>
          <w:sz w:val="20"/>
          <w:szCs w:val="20"/>
          <w:color w:val="auto"/>
        </w:rPr>
      </w:pPr>
      <w:r>
        <w:rPr>
          <w:rFonts w:ascii="Times New Roman" w:cs="Times New Roman" w:eastAsia="Times New Roman" w:hAnsi="Times New Roman"/>
          <w:sz w:val="16"/>
          <w:szCs w:val="16"/>
          <w:color w:val="auto"/>
        </w:rPr>
        <w:t>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biotechnology and biopharmaceutical industries are highly competitive, and this competition comes from both biotechnology firms and from major pharmaceutical companies. Many of these companies have substantially greater financial, marketing, and human resources than we do. We also experience competition in the development of our Immunotherapies from universities, other research institutions and others in acquiring technology from such universities and institutions.</w:t>
      </w:r>
    </w:p>
    <w:p>
      <w:pPr>
        <w:spacing w:after="0" w:line="1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In addition, certain of our Immunotherapies may be subject to competition from investigational new drugs and/or products developed using other technologies, some of which have completed numerous clinical trials.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are subject to numerous risks inherent in conducting clinical trials.</w:t>
      </w:r>
    </w:p>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We outsource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or prevent the initiation of the Phase II, clinical trials, planned for late 2014.</w:t>
      </w:r>
    </w:p>
    <w:p>
      <w:pPr>
        <w:spacing w:after="0" w:line="1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We or our regulators may suspend or terminate our clinical trials for a variety of reasons. We may voluntarily suspend or terminate our clinical trials at any time if we believe they present an unacceptable risk to the patients enrolled in our clinical trials or do not demonstrate clinical benefit.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w:t>
      </w:r>
    </w:p>
    <w:p>
      <w:pPr>
        <w:spacing w:after="0" w:line="1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lengthy approval process as well as the unpredictability of future clinical trial results may result in our failing to obtain regulatory approval for our product candidates, which would materially harm our business, results of operations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successful development of immunotherapies is highly uncertain.</w:t>
      </w:r>
    </w:p>
    <w:p>
      <w:pPr>
        <w:spacing w:after="0" w:line="21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Successful development of biopharmaceuticals is highly uncertain and depends on numerous factors, many of which are beyond our control. Immunotherapies that appear promising in the early phases of development may fail to reach the market for several reasons including:</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18" w:name="page19"/>
    <w:bookmarkEnd w:id="18"/>
    <w:p>
      <w:pPr>
        <w:ind w:left="740" w:hanging="446"/>
        <w:spacing w:after="0" w:line="296" w:lineRule="auto"/>
        <w:tabs>
          <w:tab w:leader="none" w:pos="107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preclinical study results that may show the immunotherapy to be less effective than desired (e.g., the study failed to meet its primary objectives) or to have harmful or problematic side effects;</w:t>
      </w:r>
    </w:p>
    <w:p>
      <w:pPr>
        <w:spacing w:after="0" w:line="137" w:lineRule="exact"/>
        <w:rPr>
          <w:rFonts w:ascii="Times New Roman" w:cs="Times New Roman" w:eastAsia="Times New Roman" w:hAnsi="Times New Roman"/>
          <w:sz w:val="16"/>
          <w:szCs w:val="16"/>
          <w:color w:val="auto"/>
        </w:rPr>
      </w:pPr>
    </w:p>
    <w:p>
      <w:pPr>
        <w:ind w:left="740" w:hanging="446"/>
        <w:spacing w:after="0" w:line="296" w:lineRule="auto"/>
        <w:tabs>
          <w:tab w:leader="none" w:pos="106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study results that may show the immunotherapy to be less effective than expected (e.g., the study failed to meet its primary endpoint) or to have unacceptable side effects;</w:t>
      </w:r>
    </w:p>
    <w:p>
      <w:pPr>
        <w:spacing w:after="0" w:line="137" w:lineRule="exact"/>
        <w:rPr>
          <w:rFonts w:ascii="Times New Roman" w:cs="Times New Roman" w:eastAsia="Times New Roman" w:hAnsi="Times New Roman"/>
          <w:sz w:val="16"/>
          <w:szCs w:val="16"/>
          <w:color w:val="auto"/>
        </w:rPr>
      </w:pPr>
    </w:p>
    <w:p>
      <w:pPr>
        <w:jc w:val="both"/>
        <w:ind w:left="740" w:hanging="446"/>
        <w:spacing w:after="0" w:line="276" w:lineRule="auto"/>
        <w:tabs>
          <w:tab w:leader="none" w:pos="110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receive the necessary regulatory approvals or a delay in receiving such approvals. Among other things, such delays may be caused by slow enrollment in clinical studies, length of time to achieve study endpoints, additional time requirements for data analysis, or Biologics License Application preparation, discussions with the FDA, an FDA request for additional preclinical or clinical data, or unexpected safety or manufacturing issues;</w:t>
      </w:r>
    </w:p>
    <w:p>
      <w:pPr>
        <w:spacing w:after="0" w:line="153" w:lineRule="exact"/>
        <w:rPr>
          <w:rFonts w:ascii="Times New Roman" w:cs="Times New Roman" w:eastAsia="Times New Roman" w:hAnsi="Times New Roman"/>
          <w:sz w:val="16"/>
          <w:szCs w:val="16"/>
          <w:color w:val="auto"/>
        </w:rPr>
      </w:pPr>
    </w:p>
    <w:p>
      <w:pPr>
        <w:ind w:left="1000" w:hanging="706"/>
        <w:spacing w:after="0"/>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manufacturing costs, formulation issues, pricing or reimbursement issues, or other factors that make the immunotherapy uneconomical; and</w:t>
      </w:r>
    </w:p>
    <w:p>
      <w:pPr>
        <w:spacing w:after="0" w:line="210" w:lineRule="exact"/>
        <w:rPr>
          <w:rFonts w:ascii="Times New Roman" w:cs="Times New Roman" w:eastAsia="Times New Roman" w:hAnsi="Times New Roman"/>
          <w:sz w:val="16"/>
          <w:szCs w:val="16"/>
          <w:color w:val="auto"/>
        </w:rPr>
      </w:pPr>
    </w:p>
    <w:p>
      <w:pPr>
        <w:ind w:left="1000" w:hanging="706"/>
        <w:spacing w:after="0"/>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proprietary rights of others and their competing products and technologies that may prevent the immunotherapy from being commercialized.</w:t>
      </w:r>
    </w:p>
    <w:p>
      <w:pPr>
        <w:spacing w:after="0" w:line="21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Success in preclinical and early clinical studies does not ensure that large-scale clinical studies will be successful. Clinical results are frequently susceptible to varying interpretations that may delay, limit or prevent regulatory approvals. The length of time necessary to complete clinical studies and to submit an application for marketing approval for a final decision by a regulatory authority varies significantly from one immunotherapy to the next, and may be difficult to predict.</w:t>
      </w:r>
    </w:p>
    <w:p>
      <w:pPr>
        <w:spacing w:after="0" w:line="1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Even if we are successful in getting market approval, commercial success of any of our product candidates will also depend in large part on the availability of coverage and adequate reimbursement from third-party payers, including government payers such as the Medicare and Medicaid programs and managed care organizations, which may be affected by existing and future health care reform measures designed to reduce the cost of health care. Third-party payers could require us to conduct additional studies, including post-marketing studies related to the cost effectiveness of a product, to qualify for reimbursement, which could be costly and divert our resources. If government and other health care payers were not to provide adequate coverage and reimbursement levels for one any of our products once approved, market acceptance and commercial success would be reduced.</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In addition, if one of our products is approved for marketing, we will be subject to significant regulatory obligations regarding the submission of safety and other post-marketing information and reports and registration, and will need to continue to comply (or ensure that our third party providers) comply with Good Manufacturing Practices (“GMPs”) and Good Clinical Practices (‘GCPs’), for any clinical trials that we conduct post-approval. In addition, there is always the risk that we or a regulatory authority might identify previously unknown problems with a product post-approval, such as adverse events of unanticipated severity or frequency. Compliance with these requirements is costly, and any failure to comply or other issues with our product candidates post-market approval could have a material adverse effect on our business, financial condition and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must comply with significant government regulations.</w:t>
      </w:r>
    </w:p>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research and development, manufacture and marketing of human therapeutic and diagnostic products are subject to regulation, primarily by the FDA in the United States and by comparable authorities in other countries. These national agencies and other federal, state, local and foreign entities regulate, among other things, research and development activities (including testing in animals and in humans) and the testing, manufacturing, handling, labeling, storage, record keeping, approval, advertising and promotion of the products that we are developing. If we obtain approval for any of our product candidates, our operations will be directly or indirectly through our customers, subject to various federal and state fraud and abuse laws, including, without limitation, the federal Anti-Kickback Statue and the federal False Claims Act, and privacy laws. Noncompliance with applicable laws and requirements can result in various adverse consequences, including delay in approving or refusal to approve product licenses or other applications, suspension or termination of clinical investigations, revocation of approvals previously granted, fines, criminal prosecution, civil and criminal penalties, recall or seizure of products, exclusion from having our products reimbursed by federal health care programs, the curtailment or restructuring of our operations, injunctions against shipping products and total or partial suspension of production and/or refusal to allow a company to enter into governmental supply contracts.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9" w:name="page20"/>
    <w:bookmarkEnd w:id="19"/>
    <w:p>
      <w:pPr>
        <w:jc w:val="both"/>
        <w:spacing w:after="0" w:line="262" w:lineRule="auto"/>
        <w:rPr>
          <w:sz w:val="20"/>
          <w:szCs w:val="20"/>
          <w:color w:val="auto"/>
        </w:rPr>
      </w:pPr>
      <w:r>
        <w:rPr>
          <w:rFonts w:ascii="Times New Roman" w:cs="Times New Roman" w:eastAsia="Times New Roman" w:hAnsi="Times New Roman"/>
          <w:sz w:val="16"/>
          <w:szCs w:val="16"/>
          <w:color w:val="auto"/>
        </w:rPr>
        <w:t>The process of obtaining requisite FDA approval has historically been costly and time-consuming. Current FDA requirements for a new human biological product to be marketed in the United States include: (1) the successful conclusion of preclinical laboratory and animal tests, if appropriate, to gain preliminary information on the product’s safety; (2) filing with the FDA of an IND to conduct human clinical trials for drugs or biologics; (3) the successful completion of adequate and well-controlled human clinical trials to establish the safety and efficacy of the investigational new drug for its recommended use; and (4) filing by a company and acceptance and approval by the FDA of a Biologic License Application, or BLA, for a biological investigational new drug, to allow commercial distribution of a biologic product. The FDA also requires that any drug or formulation to be tested in humans be manufactured in accordance with its Good Manufacturing Practices, or GMP, regulations. This has been extended to include any drug that will be tested for safety in animals in support of human testing. The GMPs set certain minimum requirements for procedures, record-keeping and the physical characteristics of the laboratories used in the production of these drugs. A delay in one or more of the procedural steps outlined above could be harmful to us in terms of getting our Immunotherapies through clinical testing and to market.</w:t>
      </w:r>
    </w:p>
    <w:p>
      <w:pPr>
        <w:spacing w:after="0" w:line="18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color w:val="auto"/>
        </w:rPr>
        <w:t>Litigation regarding patents, patent applications and other proprietary rights may be expensive and time consuming. If we are involved in such litigation, it could cause delays in bringing product candidates to market and harm our ability to operate.</w:t>
      </w:r>
    </w:p>
    <w:p>
      <w:pPr>
        <w:spacing w:after="0" w:line="13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Our success depends in part on our ability to operate without infringing the proprietary rights of third parties. The pharmaceutical industry is characterized by extensive litigation regarding patents and other intellectual property rights. Other parties may obtain patents in the future and allege that the products or use of our technologies infringe these patent claims or that we are employing their proprietary technology without authorization.</w:t>
      </w:r>
    </w:p>
    <w:p>
      <w:pPr>
        <w:spacing w:after="0" w:line="15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In addition, third parties may challenge or infringe upon our existing or future patents. Proceedings involving our patents or patent applications or those of others could result in adverse decisions regarding:</w:t>
      </w:r>
    </w:p>
    <w:p>
      <w:pPr>
        <w:spacing w:after="0" w:line="137" w:lineRule="exact"/>
        <w:rPr>
          <w:sz w:val="20"/>
          <w:szCs w:val="20"/>
          <w:color w:val="auto"/>
        </w:rPr>
      </w:pPr>
    </w:p>
    <w:p>
      <w:pPr>
        <w:ind w:left="1000" w:hanging="706"/>
        <w:spacing w:after="0"/>
        <w:tabs>
          <w:tab w:leader="none" w:pos="10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patentability of our inventions relating to our product candidates; and/or</w:t>
      </w:r>
    </w:p>
    <w:p>
      <w:pPr>
        <w:spacing w:after="0" w:line="210" w:lineRule="exact"/>
        <w:rPr>
          <w:rFonts w:ascii="Times New Roman" w:cs="Times New Roman" w:eastAsia="Times New Roman" w:hAnsi="Times New Roman"/>
          <w:sz w:val="16"/>
          <w:szCs w:val="16"/>
          <w:color w:val="auto"/>
        </w:rPr>
      </w:pPr>
    </w:p>
    <w:p>
      <w:pPr>
        <w:ind w:left="1000" w:hanging="706"/>
        <w:spacing w:after="0"/>
        <w:tabs>
          <w:tab w:leader="none" w:pos="10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enforceability, validity or scope of protection offered by our patents relating to our product candidates.</w:t>
      </w:r>
    </w:p>
    <w:p>
      <w:pPr>
        <w:spacing w:after="0" w:line="2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w:t>
      </w:r>
    </w:p>
    <w:p>
      <w:pPr>
        <w:spacing w:after="0" w:line="361" w:lineRule="exact"/>
        <w:rPr>
          <w:sz w:val="20"/>
          <w:szCs w:val="20"/>
          <w:color w:val="auto"/>
        </w:rPr>
      </w:pPr>
    </w:p>
    <w:p>
      <w:pPr>
        <w:ind w:left="1000" w:hanging="706"/>
        <w:spacing w:after="0"/>
        <w:tabs>
          <w:tab w:leader="none" w:pos="10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substantial monetary damages;</w:t>
      </w:r>
    </w:p>
    <w:p>
      <w:pPr>
        <w:spacing w:after="0" w:line="210" w:lineRule="exact"/>
        <w:rPr>
          <w:rFonts w:ascii="Times New Roman" w:cs="Times New Roman" w:eastAsia="Times New Roman" w:hAnsi="Times New Roman"/>
          <w:sz w:val="16"/>
          <w:szCs w:val="16"/>
          <w:color w:val="auto"/>
        </w:rPr>
      </w:pPr>
    </w:p>
    <w:p>
      <w:pPr>
        <w:ind w:left="1000" w:hanging="706"/>
        <w:spacing w:after="0"/>
        <w:tabs>
          <w:tab w:leader="none" w:pos="10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encounter significant delays in bringing our product candidates to market; and/or</w:t>
      </w:r>
    </w:p>
    <w:p>
      <w:pPr>
        <w:spacing w:after="0" w:line="210" w:lineRule="exact"/>
        <w:rPr>
          <w:rFonts w:ascii="Times New Roman" w:cs="Times New Roman" w:eastAsia="Times New Roman" w:hAnsi="Times New Roman"/>
          <w:sz w:val="16"/>
          <w:szCs w:val="16"/>
          <w:color w:val="auto"/>
        </w:rPr>
      </w:pPr>
    </w:p>
    <w:p>
      <w:pPr>
        <w:ind w:left="1000" w:hanging="706"/>
        <w:spacing w:after="0"/>
        <w:tabs>
          <w:tab w:leader="none" w:pos="10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precluded from participating in the manufacture, use or sale of our product candidates or methods of treatment requiring licenses.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may incur substantial liabilities from any product liability claims if our insurance coverage for those claims is inadequate.</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We face an inherent risk of product liability exposure related to the testing of our Immunotherapies in human clinical trials, and will face an even greater risk if the approved products are sold commercially. An individual may bring a liability claim against us if one of the Immunotherapies causes, or merely appears to have caused, an injury. If we cannot successfully defend ourselves against the product liability claims, we will incur substantial liabilities. Regardless of merit or eventual outcome, liability claims may result in:</w:t>
      </w:r>
    </w:p>
    <w:p>
      <w:pPr>
        <w:spacing w:after="0" w:line="157" w:lineRule="exact"/>
        <w:rPr>
          <w:sz w:val="20"/>
          <w:szCs w:val="20"/>
          <w:color w:val="auto"/>
        </w:rPr>
      </w:pPr>
    </w:p>
    <w:p>
      <w:pPr>
        <w:ind w:left="1000" w:hanging="706"/>
        <w:spacing w:after="0"/>
        <w:tabs>
          <w:tab w:leader="none" w:pos="10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decreased demand for our Immunotherapies;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20" w:name="page21"/>
    <w:bookmarkEnd w:id="20"/>
    <w:p>
      <w:pPr>
        <w:ind w:left="1000" w:hanging="706"/>
        <w:spacing w:after="0"/>
        <w:tabs>
          <w:tab w:leader="none" w:pos="10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damage to our reputation;</w:t>
      </w:r>
    </w:p>
    <w:p>
      <w:pPr>
        <w:spacing w:after="0" w:line="210" w:lineRule="exact"/>
        <w:rPr>
          <w:rFonts w:ascii="Times New Roman" w:cs="Times New Roman" w:eastAsia="Times New Roman" w:hAnsi="Times New Roman"/>
          <w:sz w:val="16"/>
          <w:szCs w:val="16"/>
          <w:color w:val="auto"/>
        </w:rPr>
      </w:pPr>
    </w:p>
    <w:p>
      <w:pPr>
        <w:ind w:left="1000" w:hanging="706"/>
        <w:spacing w:after="0"/>
        <w:tabs>
          <w:tab w:leader="none" w:pos="10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withdrawal of clinical trial participants;</w:t>
      </w:r>
    </w:p>
    <w:p>
      <w:pPr>
        <w:spacing w:after="0" w:line="210" w:lineRule="exact"/>
        <w:rPr>
          <w:rFonts w:ascii="Times New Roman" w:cs="Times New Roman" w:eastAsia="Times New Roman" w:hAnsi="Times New Roman"/>
          <w:sz w:val="16"/>
          <w:szCs w:val="16"/>
          <w:color w:val="auto"/>
        </w:rPr>
      </w:pPr>
    </w:p>
    <w:p>
      <w:pPr>
        <w:ind w:left="1000" w:hanging="706"/>
        <w:spacing w:after="0"/>
        <w:tabs>
          <w:tab w:leader="none" w:pos="10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related litigation;</w:t>
      </w:r>
    </w:p>
    <w:p>
      <w:pPr>
        <w:spacing w:after="0" w:line="210" w:lineRule="exact"/>
        <w:rPr>
          <w:rFonts w:ascii="Times New Roman" w:cs="Times New Roman" w:eastAsia="Times New Roman" w:hAnsi="Times New Roman"/>
          <w:sz w:val="16"/>
          <w:szCs w:val="16"/>
          <w:color w:val="auto"/>
        </w:rPr>
      </w:pPr>
    </w:p>
    <w:p>
      <w:pPr>
        <w:ind w:left="1000" w:hanging="706"/>
        <w:spacing w:after="0"/>
        <w:tabs>
          <w:tab w:leader="none" w:pos="10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monetary awards to patients or other claimants;</w:t>
      </w:r>
    </w:p>
    <w:p>
      <w:pPr>
        <w:spacing w:after="0" w:line="210" w:lineRule="exact"/>
        <w:rPr>
          <w:rFonts w:ascii="Times New Roman" w:cs="Times New Roman" w:eastAsia="Times New Roman" w:hAnsi="Times New Roman"/>
          <w:sz w:val="16"/>
          <w:szCs w:val="16"/>
          <w:color w:val="auto"/>
        </w:rPr>
      </w:pPr>
    </w:p>
    <w:p>
      <w:pPr>
        <w:ind w:left="1000" w:hanging="706"/>
        <w:spacing w:after="0"/>
        <w:tabs>
          <w:tab w:leader="none" w:pos="10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revenues;</w:t>
      </w:r>
    </w:p>
    <w:p>
      <w:pPr>
        <w:spacing w:after="0" w:line="210" w:lineRule="exact"/>
        <w:rPr>
          <w:rFonts w:ascii="Times New Roman" w:cs="Times New Roman" w:eastAsia="Times New Roman" w:hAnsi="Times New Roman"/>
          <w:sz w:val="16"/>
          <w:szCs w:val="16"/>
          <w:color w:val="auto"/>
        </w:rPr>
      </w:pPr>
    </w:p>
    <w:p>
      <w:pPr>
        <w:ind w:left="1000" w:hanging="706"/>
        <w:spacing w:after="0"/>
        <w:tabs>
          <w:tab w:leader="none" w:pos="10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commercialize Immunotherapies; and</w:t>
      </w:r>
    </w:p>
    <w:p>
      <w:pPr>
        <w:spacing w:after="0" w:line="210" w:lineRule="exact"/>
        <w:rPr>
          <w:rFonts w:ascii="Times New Roman" w:cs="Times New Roman" w:eastAsia="Times New Roman" w:hAnsi="Times New Roman"/>
          <w:sz w:val="16"/>
          <w:szCs w:val="16"/>
          <w:color w:val="auto"/>
        </w:rPr>
      </w:pPr>
    </w:p>
    <w:p>
      <w:pPr>
        <w:ind w:left="1000" w:hanging="706"/>
        <w:spacing w:after="0"/>
        <w:tabs>
          <w:tab w:leader="none" w:pos="10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difficulty in raising required additional funds in the private and public capital markets.</w:t>
      </w:r>
    </w:p>
    <w:p>
      <w:pPr>
        <w:spacing w:after="0" w:line="2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We do not have product liability insurance because we are not selling our products yet. We intend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we may not be able to maintain insurance coverage at a reasonable cost and we may not be able to obtain insurance coverage that will be adequate to satisfy any liability that may arise.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Risks Related to our Securities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price of our common stock may be volatile.</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trading price of our common stock may fluctuate substantially. The price of our common stock that will prevail in the market may be higher or lower than the price at which our shares of common stock being registered by the registration statement of which this prospectus forms a part are resold, depending on many factors, some of which are beyond our control and may not be related to our operating performance. These fluctuations could cause you to lose part or all of your investment in our common stock. Those factors that could cause fluctuations include, but not limited to, the following:</w:t>
      </w:r>
    </w:p>
    <w:p>
      <w:pPr>
        <w:spacing w:after="0" w:line="182" w:lineRule="exact"/>
        <w:rPr>
          <w:sz w:val="20"/>
          <w:szCs w:val="20"/>
          <w:color w:val="auto"/>
        </w:rPr>
      </w:pPr>
    </w:p>
    <w:p>
      <w:pPr>
        <w:ind w:left="740" w:hanging="446"/>
        <w:spacing w:after="0"/>
        <w:tabs>
          <w:tab w:leader="none" w:pos="7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price and volume of fluctuations in the overall stock market from time to time;</w:t>
      </w:r>
    </w:p>
    <w:p>
      <w:pPr>
        <w:spacing w:after="0" w:line="234" w:lineRule="exact"/>
        <w:rPr>
          <w:rFonts w:ascii="Times New Roman" w:cs="Times New Roman" w:eastAsia="Times New Roman" w:hAnsi="Times New Roman"/>
          <w:sz w:val="16"/>
          <w:szCs w:val="16"/>
          <w:color w:val="auto"/>
        </w:rPr>
      </w:pPr>
    </w:p>
    <w:p>
      <w:pPr>
        <w:ind w:left="740" w:hanging="446"/>
        <w:spacing w:after="0"/>
        <w:tabs>
          <w:tab w:leader="none" w:pos="7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stock market prices and trading volumes of similar companies;</w:t>
      </w:r>
    </w:p>
    <w:p>
      <w:pPr>
        <w:spacing w:after="0" w:line="234" w:lineRule="exact"/>
        <w:rPr>
          <w:rFonts w:ascii="Times New Roman" w:cs="Times New Roman" w:eastAsia="Times New Roman" w:hAnsi="Times New Roman"/>
          <w:sz w:val="16"/>
          <w:szCs w:val="16"/>
          <w:color w:val="auto"/>
        </w:rPr>
      </w:pPr>
    </w:p>
    <w:p>
      <w:pPr>
        <w:ind w:left="740" w:hanging="446"/>
        <w:spacing w:after="0"/>
        <w:tabs>
          <w:tab w:leader="none" w:pos="7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changes in our net loss or fluctuations in our operating results or in the expectations of securities analysts;</w:t>
      </w:r>
    </w:p>
    <w:p>
      <w:pPr>
        <w:spacing w:after="0" w:line="234" w:lineRule="exact"/>
        <w:rPr>
          <w:rFonts w:ascii="Times New Roman" w:cs="Times New Roman" w:eastAsia="Times New Roman" w:hAnsi="Times New Roman"/>
          <w:sz w:val="16"/>
          <w:szCs w:val="16"/>
          <w:color w:val="auto"/>
        </w:rPr>
      </w:pPr>
    </w:p>
    <w:p>
      <w:pPr>
        <w:ind w:left="740" w:hanging="446"/>
        <w:spacing w:after="0"/>
        <w:tabs>
          <w:tab w:leader="none" w:pos="7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new equity securities pursuant to a future offering, including issuances of preferred stock;</w:t>
      </w:r>
    </w:p>
    <w:p>
      <w:pPr>
        <w:spacing w:after="0" w:line="234" w:lineRule="exact"/>
        <w:rPr>
          <w:rFonts w:ascii="Times New Roman" w:cs="Times New Roman" w:eastAsia="Times New Roman" w:hAnsi="Times New Roman"/>
          <w:sz w:val="16"/>
          <w:szCs w:val="16"/>
          <w:color w:val="auto"/>
        </w:rPr>
      </w:pPr>
    </w:p>
    <w:p>
      <w:pPr>
        <w:ind w:left="740" w:hanging="446"/>
        <w:spacing w:after="0"/>
        <w:tabs>
          <w:tab w:leader="none" w:pos="7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conditions and trends;</w:t>
      </w:r>
    </w:p>
    <w:p>
      <w:pPr>
        <w:spacing w:after="0" w:line="234" w:lineRule="exact"/>
        <w:rPr>
          <w:rFonts w:ascii="Times New Roman" w:cs="Times New Roman" w:eastAsia="Times New Roman" w:hAnsi="Times New Roman"/>
          <w:sz w:val="16"/>
          <w:szCs w:val="16"/>
          <w:color w:val="auto"/>
        </w:rPr>
      </w:pPr>
    </w:p>
    <w:p>
      <w:pPr>
        <w:ind w:left="740" w:hanging="446"/>
        <w:spacing w:after="0"/>
        <w:tabs>
          <w:tab w:leader="none" w:pos="7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positive and negative events relating to healthcare and the overall pharmaceutical and biotech sector;</w:t>
      </w:r>
    </w:p>
    <w:p>
      <w:pPr>
        <w:spacing w:after="0" w:line="234" w:lineRule="exact"/>
        <w:rPr>
          <w:rFonts w:ascii="Times New Roman" w:cs="Times New Roman" w:eastAsia="Times New Roman" w:hAnsi="Times New Roman"/>
          <w:sz w:val="16"/>
          <w:szCs w:val="16"/>
          <w:color w:val="auto"/>
        </w:rPr>
      </w:pPr>
    </w:p>
    <w:p>
      <w:pPr>
        <w:ind w:left="740" w:hanging="446"/>
        <w:spacing w:after="0"/>
        <w:tabs>
          <w:tab w:leader="none" w:pos="7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major catastrophic events;</w:t>
      </w:r>
    </w:p>
    <w:p>
      <w:pPr>
        <w:spacing w:after="0" w:line="234" w:lineRule="exact"/>
        <w:rPr>
          <w:rFonts w:ascii="Times New Roman" w:cs="Times New Roman" w:eastAsia="Times New Roman" w:hAnsi="Times New Roman"/>
          <w:sz w:val="16"/>
          <w:szCs w:val="16"/>
          <w:color w:val="auto"/>
        </w:rPr>
      </w:pPr>
    </w:p>
    <w:p>
      <w:pPr>
        <w:ind w:left="740" w:hanging="446"/>
        <w:spacing w:after="0"/>
        <w:tabs>
          <w:tab w:leader="none" w:pos="7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large blocks of our stock;</w:t>
      </w:r>
    </w:p>
    <w:p>
      <w:pPr>
        <w:spacing w:after="0" w:line="234" w:lineRule="exact"/>
        <w:rPr>
          <w:rFonts w:ascii="Times New Roman" w:cs="Times New Roman" w:eastAsia="Times New Roman" w:hAnsi="Times New Roman"/>
          <w:sz w:val="16"/>
          <w:szCs w:val="16"/>
          <w:color w:val="auto"/>
        </w:rPr>
      </w:pPr>
    </w:p>
    <w:p>
      <w:pPr>
        <w:ind w:left="740" w:hanging="446"/>
        <w:spacing w:after="0"/>
        <w:tabs>
          <w:tab w:leader="none" w:pos="7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dilution caused by the anti-dilutive clauses in our financial agreements;</w:t>
      </w:r>
    </w:p>
    <w:p>
      <w:pPr>
        <w:spacing w:after="0" w:line="234" w:lineRule="exact"/>
        <w:rPr>
          <w:rFonts w:ascii="Times New Roman" w:cs="Times New Roman" w:eastAsia="Times New Roman" w:hAnsi="Times New Roman"/>
          <w:sz w:val="16"/>
          <w:szCs w:val="16"/>
          <w:color w:val="auto"/>
        </w:rPr>
      </w:pPr>
    </w:p>
    <w:p>
      <w:pPr>
        <w:ind w:left="740" w:hanging="446"/>
        <w:spacing w:after="0"/>
        <w:tabs>
          <w:tab w:leader="none" w:pos="7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departures of key personnel;</w:t>
      </w:r>
    </w:p>
    <w:p>
      <w:pPr>
        <w:spacing w:after="0" w:line="234" w:lineRule="exact"/>
        <w:rPr>
          <w:rFonts w:ascii="Times New Roman" w:cs="Times New Roman" w:eastAsia="Times New Roman" w:hAnsi="Times New Roman"/>
          <w:sz w:val="16"/>
          <w:szCs w:val="16"/>
          <w:color w:val="auto"/>
        </w:rPr>
      </w:pPr>
    </w:p>
    <w:p>
      <w:pPr>
        <w:ind w:left="740" w:hanging="446"/>
        <w:spacing w:after="0"/>
        <w:tabs>
          <w:tab w:leader="none" w:pos="7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regulatory status of our Immunotherapies, including results of our clinical trials;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21" w:name="page22"/>
    <w:bookmarkEnd w:id="21"/>
    <w:p>
      <w:pPr>
        <w:ind w:left="740" w:hanging="446"/>
        <w:spacing w:after="0"/>
        <w:tabs>
          <w:tab w:leader="none" w:pos="7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events affecting Mayo Clinic, Mayo Foundation for Medical Education and Research or any future collaborators;</w:t>
      </w:r>
    </w:p>
    <w:p>
      <w:pPr>
        <w:spacing w:after="0" w:line="234" w:lineRule="exact"/>
        <w:rPr>
          <w:rFonts w:ascii="Times New Roman" w:cs="Times New Roman" w:eastAsia="Times New Roman" w:hAnsi="Times New Roman"/>
          <w:sz w:val="16"/>
          <w:szCs w:val="16"/>
          <w:color w:val="auto"/>
        </w:rPr>
      </w:pPr>
    </w:p>
    <w:p>
      <w:pPr>
        <w:ind w:left="740" w:hanging="446"/>
        <w:spacing w:after="0"/>
        <w:tabs>
          <w:tab w:leader="none" w:pos="7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new products or technologies, commercial relationships or other events by us or our competitors;</w:t>
      </w:r>
    </w:p>
    <w:p>
      <w:pPr>
        <w:spacing w:after="0" w:line="234" w:lineRule="exact"/>
        <w:rPr>
          <w:rFonts w:ascii="Times New Roman" w:cs="Times New Roman" w:eastAsia="Times New Roman" w:hAnsi="Times New Roman"/>
          <w:sz w:val="16"/>
          <w:szCs w:val="16"/>
          <w:color w:val="auto"/>
        </w:rPr>
      </w:pPr>
    </w:p>
    <w:p>
      <w:pPr>
        <w:ind w:left="740" w:hanging="446"/>
        <w:spacing w:after="0"/>
        <w:tabs>
          <w:tab w:leader="none" w:pos="7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developments in the United States and other countries;</w:t>
      </w:r>
    </w:p>
    <w:p>
      <w:pPr>
        <w:spacing w:after="0" w:line="234" w:lineRule="exact"/>
        <w:rPr>
          <w:rFonts w:ascii="Times New Roman" w:cs="Times New Roman" w:eastAsia="Times New Roman" w:hAnsi="Times New Roman"/>
          <w:sz w:val="16"/>
          <w:szCs w:val="16"/>
          <w:color w:val="auto"/>
        </w:rPr>
      </w:pPr>
    </w:p>
    <w:p>
      <w:pPr>
        <w:ind w:left="740" w:hanging="446"/>
        <w:spacing w:after="0"/>
        <w:tabs>
          <w:tab w:leader="none" w:pos="7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of our common stock to be listed or quoted on the OTCQB, the NASDAQ Capital Market, NYSE Amex Equities or other national market system;</w:t>
      </w:r>
    </w:p>
    <w:p>
      <w:pPr>
        <w:spacing w:after="0" w:line="234" w:lineRule="exact"/>
        <w:rPr>
          <w:rFonts w:ascii="Times New Roman" w:cs="Times New Roman" w:eastAsia="Times New Roman" w:hAnsi="Times New Roman"/>
          <w:sz w:val="16"/>
          <w:szCs w:val="16"/>
          <w:color w:val="auto"/>
        </w:rPr>
      </w:pPr>
    </w:p>
    <w:p>
      <w:pPr>
        <w:ind w:left="740" w:hanging="446"/>
        <w:spacing w:after="0"/>
        <w:tabs>
          <w:tab w:leader="none" w:pos="7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accounting principles; and</w:t>
      </w:r>
    </w:p>
    <w:p>
      <w:pPr>
        <w:spacing w:after="0" w:line="234" w:lineRule="exact"/>
        <w:rPr>
          <w:rFonts w:ascii="Times New Roman" w:cs="Times New Roman" w:eastAsia="Times New Roman" w:hAnsi="Times New Roman"/>
          <w:sz w:val="16"/>
          <w:szCs w:val="16"/>
          <w:color w:val="auto"/>
        </w:rPr>
      </w:pPr>
    </w:p>
    <w:p>
      <w:pPr>
        <w:ind w:left="740" w:hanging="446"/>
        <w:spacing w:after="0"/>
        <w:tabs>
          <w:tab w:leader="none" w:pos="7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discussion of us or our stock price by the financial and scientific press and in online investor communities.</w:t>
      </w:r>
    </w:p>
    <w:p>
      <w:pPr>
        <w:spacing w:after="0" w:line="23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DTC “Chill” on the electronic clearing of trades in our securities in the future may affect the liquidity of our stock and our ability to raise capital.</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There is a risk that the Depository Trust Company (DTC) may place a “chill” on the electronic clearing of trades in our securities. This may lead some brokerage firms to be unwilling to accept certificates and/or electronic deposits of our stock and other securities and also some may not accept trades in our securities altogether. There is no assurance that a chill will not occur in the future. A future DTC chill would affect the liquidity of our securities and make it difficult to purchase or sell our securities in the open market. It may also have an adverse effect on our ability to raise capital because investors may be unable to easily resell our securities into the market. Our inability to raise capital on terms acceptable to us, if at all, could have a material and adverse effect on our business and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You may have difficulty selling our shares because they may be deemed “penny stocks.”</w:t>
      </w:r>
    </w:p>
    <w:p>
      <w:pPr>
        <w:spacing w:after="0" w:line="21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If our common stock price does not increase above $5.00 per share or we are unsuccessful in listing on a “recognized” national exchange, our common stock may continue to be deemed a “penny stock” as that term is defined in Rule 3a51-1, promulgated under the Exchange Act. Penny stocks are, generally, stocks:</w:t>
      </w:r>
    </w:p>
    <w:p>
      <w:pPr>
        <w:spacing w:after="0" w:line="137" w:lineRule="exact"/>
        <w:rPr>
          <w:sz w:val="20"/>
          <w:szCs w:val="20"/>
          <w:color w:val="auto"/>
        </w:rPr>
      </w:pPr>
    </w:p>
    <w:p>
      <w:pPr>
        <w:ind w:left="1040" w:hanging="746"/>
        <w:spacing w:after="0"/>
        <w:tabs>
          <w:tab w:leader="none" w:pos="10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a price of less than $5.00 per share;</w:t>
      </w:r>
    </w:p>
    <w:p>
      <w:pPr>
        <w:spacing w:after="0" w:line="234" w:lineRule="exact"/>
        <w:rPr>
          <w:rFonts w:ascii="Times New Roman" w:cs="Times New Roman" w:eastAsia="Times New Roman" w:hAnsi="Times New Roman"/>
          <w:sz w:val="16"/>
          <w:szCs w:val="16"/>
          <w:color w:val="auto"/>
        </w:rPr>
      </w:pPr>
    </w:p>
    <w:p>
      <w:pPr>
        <w:ind w:left="740" w:hanging="446"/>
        <w:spacing w:after="0" w:line="296" w:lineRule="auto"/>
        <w:tabs>
          <w:tab w:leader="none" w:pos="112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are neither traded on a “recognized” national exchange nor listed on an automated quotation system sponsored by a registered national securities association meeting certain minimum initial listing standards; and</w:t>
      </w:r>
    </w:p>
    <w:p>
      <w:pPr>
        <w:spacing w:after="0" w:line="162" w:lineRule="exact"/>
        <w:rPr>
          <w:rFonts w:ascii="Times New Roman" w:cs="Times New Roman" w:eastAsia="Times New Roman" w:hAnsi="Times New Roman"/>
          <w:sz w:val="16"/>
          <w:szCs w:val="16"/>
          <w:color w:val="auto"/>
        </w:rPr>
      </w:pPr>
    </w:p>
    <w:p>
      <w:pPr>
        <w:ind w:left="740" w:hanging="446"/>
        <w:spacing w:after="0" w:line="296" w:lineRule="auto"/>
        <w:tabs>
          <w:tab w:leader="none" w:pos="1004"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issuers with net tangible assets less than $2.0 million (if the issuer has been in continuous operation for at least three years) or $5.0 million (if in continuous operation for less than three years), or with average revenue of less than $6.0 million for the last three years.</w:t>
      </w:r>
    </w:p>
    <w:p>
      <w:pPr>
        <w:spacing w:after="0" w:line="13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Section 15(g) of the Exchange Act and Rule 15g-2 promulgated thereunder require broker-dealers dealing in penny stocks to provide potential investors with a document disclosing the risks of penny stocks and to obtain a manually signed and dated written receipt of the document before effecting any transaction in a “penny stock” for the investor’s account. We urge potential investors to obtain and read this disclosure carefully before purchasing any shares that are deemed to be “penny stock.”</w:t>
      </w:r>
    </w:p>
    <w:p>
      <w:pPr>
        <w:spacing w:after="0" w:line="15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Rule 15g-9 promulgated under the Exchange Act requires broker-dealers in penny stocks to approve the account of any investor for transactions in such stocks before selling any “penny stock” to that investor. This procedure requires the broker-dealer to:</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2" w:name="page23"/>
    <w:bookmarkEnd w:id="22"/>
    <w:p>
      <w:pPr>
        <w:ind w:left="1000" w:hanging="706"/>
        <w:spacing w:after="0"/>
        <w:tabs>
          <w:tab w:leader="none" w:pos="10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from the investor information about his or her financial situation, investment experience and investment objectives;</w:t>
      </w:r>
    </w:p>
    <w:p>
      <w:pPr>
        <w:spacing w:after="0" w:line="234" w:lineRule="exact"/>
        <w:rPr>
          <w:rFonts w:ascii="Times New Roman" w:cs="Times New Roman" w:eastAsia="Times New Roman" w:hAnsi="Times New Roman"/>
          <w:sz w:val="16"/>
          <w:szCs w:val="16"/>
          <w:color w:val="auto"/>
        </w:rPr>
      </w:pPr>
    </w:p>
    <w:p>
      <w:pPr>
        <w:ind w:left="740" w:hanging="446"/>
        <w:spacing w:after="0" w:line="296" w:lineRule="auto"/>
        <w:tabs>
          <w:tab w:leader="none" w:pos="1003"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reasonably determine, based on that information, that transactions in penny stocks are suitable for the investor and that the investor has enough knowledge and experience to be able to evaluate the risks of “penny stock” transactions;</w:t>
      </w:r>
    </w:p>
    <w:p>
      <w:pPr>
        <w:spacing w:after="0" w:line="162" w:lineRule="exact"/>
        <w:rPr>
          <w:rFonts w:ascii="Times New Roman" w:cs="Times New Roman" w:eastAsia="Times New Roman" w:hAnsi="Times New Roman"/>
          <w:sz w:val="16"/>
          <w:szCs w:val="16"/>
          <w:color w:val="auto"/>
        </w:rPr>
      </w:pPr>
    </w:p>
    <w:p>
      <w:pPr>
        <w:ind w:left="1000" w:hanging="706"/>
        <w:spacing w:after="0"/>
        <w:tabs>
          <w:tab w:leader="none" w:pos="10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the investor with a written statement setting forth the basis on which the broker-dealer made his or her determination; and</w:t>
      </w:r>
    </w:p>
    <w:p>
      <w:pPr>
        <w:spacing w:after="0" w:line="234" w:lineRule="exact"/>
        <w:rPr>
          <w:rFonts w:ascii="Times New Roman" w:cs="Times New Roman" w:eastAsia="Times New Roman" w:hAnsi="Times New Roman"/>
          <w:sz w:val="16"/>
          <w:szCs w:val="16"/>
          <w:color w:val="auto"/>
        </w:rPr>
      </w:pPr>
    </w:p>
    <w:p>
      <w:pPr>
        <w:ind w:left="740" w:hanging="446"/>
        <w:spacing w:after="0" w:line="296" w:lineRule="auto"/>
        <w:tabs>
          <w:tab w:leader="none" w:pos="112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 a signed and dated copy of the statement from the investor, confirming that it accurately reflects the investor’s financial situation, investment experience and investment objectives.</w:t>
      </w:r>
    </w:p>
    <w:p>
      <w:pPr>
        <w:spacing w:after="0" w:line="13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Compliance with these requirements may make it harder for investors in our common stock to resell their shares to third parties. Accordingly, our common stock should only be purchased by investors, who understand that such investment is a long-term and illiquid investment, and are capable of and prepared to bear the risk of holding our common stock for an indefinite period of time.</w:t>
      </w:r>
    </w:p>
    <w:p>
      <w:pPr>
        <w:spacing w:after="0" w:line="15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Our stock closed at $0.91 per share on June 16, 2015 and the per share price of our common stock might not obtain or maintain the necessary levels to prevent our stock being subject to these rules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limited public trading market may cause volatility in the price of our common stock.</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quotation of our common stock on the OTCQB does not assure that a meaningful, consistent and liquid trading market currently exists, and in recent years such market has experienced extreme price and volume fluctuations that have particularly affected the market prices of many smaller companies like us. Our common stock is thus subject to this volatility. Sales of substantial amounts of common stock, or the perception that such sales might occur, could adversely affect prevailing market prices of our common stock and our stock price may decline substantially in a short time and our shareholders could suffer losses or be unable to liquidate their holdings. Our stock is thinly traded due to the limited number of shares available for trading on the market thus causing large swings in price. In addition, there is no established trading market for our warrants.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market prices for our common stock may be adversely impacted by future events.</w:t>
      </w:r>
    </w:p>
    <w:p>
      <w:pPr>
        <w:spacing w:after="0" w:line="2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Our common stock began trades on the over-the-counter-markets and is currently quoted on the OTCQB under the symbol “TPIV.OB” and on the Frankfurt and Berlin Stock Exchanges under the symbol “GX1A.” The listing on the Berlin Stock Exchange was done without the Company’s knowledge and consent. Market prices for our common stock and warrants will be influenced by a number of factors, including:</w:t>
      </w:r>
    </w:p>
    <w:p>
      <w:pPr>
        <w:spacing w:after="0" w:line="154" w:lineRule="exact"/>
        <w:rPr>
          <w:sz w:val="20"/>
          <w:szCs w:val="20"/>
          <w:color w:val="auto"/>
        </w:rPr>
      </w:pPr>
    </w:p>
    <w:p>
      <w:pPr>
        <w:ind w:left="1000" w:hanging="706"/>
        <w:spacing w:after="0"/>
        <w:tabs>
          <w:tab w:leader="none" w:pos="10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new equity securities pursuant to a future offering, including issuances of preferred stock;</w:t>
      </w:r>
    </w:p>
    <w:p>
      <w:pPr>
        <w:spacing w:after="0" w:line="234" w:lineRule="exact"/>
        <w:rPr>
          <w:rFonts w:ascii="Times New Roman" w:cs="Times New Roman" w:eastAsia="Times New Roman" w:hAnsi="Times New Roman"/>
          <w:sz w:val="16"/>
          <w:szCs w:val="16"/>
          <w:color w:val="auto"/>
        </w:rPr>
      </w:pPr>
    </w:p>
    <w:p>
      <w:pPr>
        <w:ind w:left="1000" w:hanging="706"/>
        <w:spacing w:after="0"/>
        <w:tabs>
          <w:tab w:leader="none" w:pos="10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interest rates;</w:t>
      </w:r>
    </w:p>
    <w:p>
      <w:pPr>
        <w:spacing w:after="0" w:line="234" w:lineRule="exact"/>
        <w:rPr>
          <w:rFonts w:ascii="Times New Roman" w:cs="Times New Roman" w:eastAsia="Times New Roman" w:hAnsi="Times New Roman"/>
          <w:sz w:val="16"/>
          <w:szCs w:val="16"/>
          <w:color w:val="auto"/>
        </w:rPr>
      </w:pPr>
    </w:p>
    <w:p>
      <w:pPr>
        <w:ind w:left="1000" w:hanging="706"/>
        <w:spacing w:after="0"/>
        <w:tabs>
          <w:tab w:leader="none" w:pos="10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dilution caused by the anti-dilutive clauses in our financial agreements;</w:t>
      </w:r>
    </w:p>
    <w:p>
      <w:pPr>
        <w:spacing w:after="0" w:line="234" w:lineRule="exact"/>
        <w:rPr>
          <w:rFonts w:ascii="Times New Roman" w:cs="Times New Roman" w:eastAsia="Times New Roman" w:hAnsi="Times New Roman"/>
          <w:sz w:val="16"/>
          <w:szCs w:val="16"/>
          <w:color w:val="auto"/>
        </w:rPr>
      </w:pPr>
    </w:p>
    <w:p>
      <w:pPr>
        <w:ind w:left="740" w:hanging="446"/>
        <w:spacing w:after="0" w:line="296" w:lineRule="auto"/>
        <w:tabs>
          <w:tab w:leader="none" w:pos="102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competitive developments, including announcements by competitors of new products or services or significant contracts, acquisitions, strategic partnerships, joint ventures or capital commitments;</w:t>
      </w:r>
    </w:p>
    <w:p>
      <w:pPr>
        <w:spacing w:after="0" w:line="137" w:lineRule="exact"/>
        <w:rPr>
          <w:rFonts w:ascii="Times New Roman" w:cs="Times New Roman" w:eastAsia="Times New Roman" w:hAnsi="Times New Roman"/>
          <w:sz w:val="16"/>
          <w:szCs w:val="16"/>
          <w:color w:val="auto"/>
        </w:rPr>
      </w:pPr>
    </w:p>
    <w:p>
      <w:pPr>
        <w:ind w:left="1000" w:hanging="706"/>
        <w:spacing w:after="0"/>
        <w:tabs>
          <w:tab w:leader="none" w:pos="10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quarterly operating results;</w:t>
      </w:r>
    </w:p>
    <w:p>
      <w:pPr>
        <w:spacing w:after="0" w:line="234" w:lineRule="exact"/>
        <w:rPr>
          <w:rFonts w:ascii="Times New Roman" w:cs="Times New Roman" w:eastAsia="Times New Roman" w:hAnsi="Times New Roman"/>
          <w:sz w:val="16"/>
          <w:szCs w:val="16"/>
          <w:color w:val="auto"/>
        </w:rPr>
      </w:pPr>
    </w:p>
    <w:p>
      <w:pPr>
        <w:ind w:left="1000" w:hanging="706"/>
        <w:spacing w:after="0"/>
        <w:tabs>
          <w:tab w:leader="none" w:pos="10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financial estimates by securities analysts;</w:t>
      </w:r>
    </w:p>
    <w:p>
      <w:pPr>
        <w:spacing w:after="0" w:line="234" w:lineRule="exact"/>
        <w:rPr>
          <w:rFonts w:ascii="Times New Roman" w:cs="Times New Roman" w:eastAsia="Times New Roman" w:hAnsi="Times New Roman"/>
          <w:sz w:val="16"/>
          <w:szCs w:val="16"/>
          <w:color w:val="auto"/>
        </w:rPr>
      </w:pPr>
    </w:p>
    <w:p>
      <w:pPr>
        <w:ind w:left="1000" w:hanging="706"/>
        <w:spacing w:after="0"/>
        <w:tabs>
          <w:tab w:leader="none" w:pos="10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depth and liquidity of the market for our common stock and warrants;</w:t>
      </w:r>
    </w:p>
    <w:p>
      <w:pPr>
        <w:spacing w:after="0" w:line="234" w:lineRule="exact"/>
        <w:rPr>
          <w:rFonts w:ascii="Times New Roman" w:cs="Times New Roman" w:eastAsia="Times New Roman" w:hAnsi="Times New Roman"/>
          <w:sz w:val="16"/>
          <w:szCs w:val="16"/>
          <w:color w:val="auto"/>
        </w:rPr>
      </w:pPr>
    </w:p>
    <w:p>
      <w:pPr>
        <w:ind w:left="1000" w:hanging="706"/>
        <w:spacing w:after="0"/>
        <w:tabs>
          <w:tab w:leader="none" w:pos="10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 perceptions of our company and the pharmaceutical and biotech industries generally; and</w:t>
      </w:r>
    </w:p>
    <w:p>
      <w:pPr>
        <w:spacing w:after="0" w:line="234" w:lineRule="exact"/>
        <w:rPr>
          <w:rFonts w:ascii="Times New Roman" w:cs="Times New Roman" w:eastAsia="Times New Roman" w:hAnsi="Times New Roman"/>
          <w:sz w:val="16"/>
          <w:szCs w:val="16"/>
          <w:color w:val="auto"/>
        </w:rPr>
      </w:pPr>
    </w:p>
    <w:p>
      <w:pPr>
        <w:ind w:left="1000" w:hanging="706"/>
        <w:spacing w:after="0"/>
        <w:tabs>
          <w:tab w:leader="none" w:pos="10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and other national conditions.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899" w:right="239" w:bottom="1440" w:gutter="0" w:footer="0" w:header="0"/>
        </w:sectPr>
      </w:pPr>
    </w:p>
    <w:bookmarkStart w:id="23" w:name="page24"/>
    <w:bookmarkEnd w:id="23"/>
    <w:p>
      <w:pPr>
        <w:jc w:val="both"/>
        <w:spacing w:after="0" w:line="301" w:lineRule="auto"/>
        <w:rPr>
          <w:sz w:val="20"/>
          <w:szCs w:val="20"/>
          <w:color w:val="auto"/>
        </w:rPr>
      </w:pPr>
      <w:r>
        <w:rPr>
          <w:rFonts w:ascii="Times New Roman" w:cs="Times New Roman" w:eastAsia="Times New Roman" w:hAnsi="Times New Roman"/>
          <w:sz w:val="16"/>
          <w:szCs w:val="16"/>
          <w:b w:val="1"/>
          <w:bCs w:val="1"/>
          <w:color w:val="auto"/>
        </w:rPr>
        <w:t>If we fail to remain current with our listing requirements, we could be removed from the OTCQB which would limit the ability of broker-dealers to sell our securities and the ability of shareholders to sell their securities in the secondary market.</w:t>
      </w:r>
    </w:p>
    <w:p>
      <w:pPr>
        <w:spacing w:after="0" w:line="13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Companies trading on the OTCQB must be reporting issuers under Section 12 of the Securities Exchange Act, as amended. If we fail to file such reports in a timely manner, the shares of our common stock would eventually cease to be quoted on the OTCQB, and the market liquidity for our securities could be severely adversely affected by limiting the ability of broker-dealers to sell our securities and the ability of shareholders to sell their securities in the secondary market.</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b w:val="1"/>
          <w:bCs w:val="1"/>
          <w:color w:val="auto"/>
        </w:rPr>
        <w:t>Our internal control over financial reporting and our disclosure controls and procedures have been ineffective in the past, and may be ineffective again in the future, and failure to improve them at such time could lead to errors in our financial statements that could require a restatement or untimely filings, which could cause investors to lose confidence in our reported financial information, and a decline in our stock price.</w:t>
      </w:r>
    </w:p>
    <w:p>
      <w:pPr>
        <w:spacing w:after="0" w:line="15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Certain of our outstanding warrants contain, or may be deemed to contain from time to time, embedded derivative rights in accordance with U.S. Generally Accepted Accounting Principles, or GAAP. These derivative rights, or similar rights in securities we may issue in the future, need to be, or may need to be, separately valued as of the end of each accounting period in accordance with GAAP.</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Company has evaluated the application ASC 480-10 Distinguishing liabilities from equity, ASC 815-40 Contracts in an Entity’s Own Equity and ASC 718-10 Compensation – Stock Compensation to the issued and outstanding warrants to purchase common stock that were issued with the convertible notes, private placements, consulting agreements, and various debt settlements during 2009 through 2012. Based on the guidance, management concluded these instruments are required to be accounted for as derivatives either due to a ratchet down protection feature available on the exercise price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of additional equity securities may adversely affect the market price of our common stock and your rights may be reduced.</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We expect to continue to incur drug development and sale, general and administrative costs, and to satisfy our funding requirements, we will need to sell additional equity securities, which may be subject to registration rights and warrants with anti-dilutive protective provisions. The sale or the proposed sale of substantial amounts of our common stock or other equity securities in the public markets may adversely affect the market price of our common stock and our stock price may decline substantially. Our shareholders may experience substantial dilution and a reduction in the price that they are able to obtain upon sale of their shares. Also, new equity securities issued may have greater rights, preferences or privileges than our existing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authorized shares of common stock available for issuance may adversely affect the market price of our securities.</w:t>
      </w:r>
    </w:p>
    <w:p>
      <w:pPr>
        <w:spacing w:after="0" w:line="2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We are currently authorized to issue 500,000,000 shares of our common stock. As of June 18, 2015, we had 37,638,810 shares of our common stock issued and outstanding, excluding shares issuable upon exercise of our outstanding warrants, options and shares of common stock earned but not yet issued under Omnibus Stock Option Plan. Those outstanding shares represent 6.5% of our authorized shares, meaning that the ownership position of the current shareholders could be diluted significantly were we to issue a large number of additional shares. Fear of such ownership dilution could reduce the desirability of our shares and reduce the price at which you are able to resell your shares.</w:t>
      </w:r>
    </w:p>
    <w:p>
      <w:pPr>
        <w:spacing w:after="0" w:line="15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color w:val="auto"/>
        </w:rPr>
        <w:t>The accounting treatment for certain of our warrants is complex and subject to judgments concerning the valuation of embedded derivative rights within the applicable securities. Fluctuations in the valuation of these rights could cause us to take charges to our earnings and make our financial results unpredictable.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6"/>
          <w:szCs w:val="16"/>
          <w:color w:val="auto"/>
        </w:rPr>
        <w:t>Certain of our outstanding warrants contain, or may be deemed to contain from time to time, embedded derivative rights in accordance with U.S. Generally Accepted Accounting Principles, or GAAP. These derivative rights, or similar rights in securities we may issue in the future, need to be, or may need to be, separately valued as of the end of each accounting period in accordance with GAAP. We record these embedded derivatives as liabilities at issuance, valued using the American Binomial Option Pricing Model and are subject to revaluation at each reporting date. Any change in fair value between reporting periods is reported on our statement of operations. At March 31, 2015, the fair value of the derivative liability – warrants was $2,052,975. Changes in the valuations of these rights, the valuation methodology or the assumptions on which the valuations are based could cause us to take charges to our earnings, which would adversely impact our results of operations. Moreover, the methodologies, assumptions and related interpretations of accounting or regulatory authorities associated with these embedded derivatives are complex and in some cases uncertain, which could cause our accounting for these derivatives, and as a result, our financial results, to fluctuate. There is a risk that questions could arise from investors or regulatory authorities concerning the appropriate accounting treatment of these instruments, which could require us to restate previous financial statements, which in turn could adversely affect our reputation, as well as our results of operations.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do not intend to pay cash dividends.</w:t>
      </w:r>
    </w:p>
    <w:p>
      <w:pPr>
        <w:spacing w:after="0" w:line="2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Nevada law has anti-takeover provisions that could discourage, delay or prevent a change in control, which may cause our stock price to decline.</w:t>
      </w: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Nevada law contains provisions which could make it more difficult for a third party to acquire us, even if closing such a transaction would be beneficial to our shareholders. We are authorized to issue up to 5,000,000 shares of preferred stock. This preferred stock may be issued in one or more series, the terms of which may be determined at the time of issuance by our Board of Directors without further action by shareholders. The terms of any series of preferred stock may include voting rights (including the right to vote as a series on particular matters), preferences as to dividend, liquidation, conversion and redemption rights and sinking fund provisions.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 party and thereby preserve control by the present management.</w:t>
      </w:r>
    </w:p>
    <w:p>
      <w:pPr>
        <w:spacing w:after="0" w:line="3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Provisions of Nevada law also could have the effect of discouraging potential acquisition proposals or making a tender offer or delaying or preventing a change in control, including changes a shareholder might consider favorable. Such provisions may also prevent or frustrate attempts by our shareholders to replace or remove our management. In particular, Nevada law, among other things, provides the Board of Directors with the ability to alter the Bylaws without shareholder approval, and provide that vacancies on the Board of Directors may be filled by a majority of directors in office, although less than a quorum.</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We are also subject to Section78.378 and78.379 of Nevada Revised Statutes Section, which, subject to certain exceptions, imposes regulations over the acquisition of a controlling interest in certain Nevada corporations unless the articles of incorporation or bylaws of the corporation provide that the provisions of these sections do not apply to the corporation or to an acquisition of a controlling interest specifically by types of existing or future stockholders, whether or not identified. In addition, the articles of incorporation, the bylaws or a resolution adopted by the directors of the issuing corporation may impose stricter requirements on the acquisition of a controlling interest in the corporation than the provisions of NRS 78.378 to 78.379.</w:t>
      </w:r>
    </w:p>
    <w:p>
      <w:pPr>
        <w:spacing w:after="0" w:line="18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These provisions are expected to discourage certain types of coercive takeover practices and inadequate takeover bids and to encourage persons seeking to acquire control of our company to first negotiate with its board. These provisions may delay or prevent someone from acquiring or merging with us, which may cause the market price of our common stock to decline.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color w:val="auto"/>
        </w:rPr>
        <w:t>Properties.</w:t>
      </w:r>
    </w:p>
    <w:p>
      <w:pPr>
        <w:spacing w:after="0" w:line="214"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6"/>
          <w:szCs w:val="16"/>
          <w:color w:val="auto"/>
        </w:rPr>
        <w:t>Our corporate offices are currently located at 1551 Eastlake Avenue East, Suite 100, Seattle, Washington, 98102.We are on a month-to-month basis with our landlord for our current facility which is approximately 2,682 square feet in Seattle, Washington.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We will not receive any proceeds from the sale of shares by the selling stockholders. The shares being resold by the selling stockholders will only be issued if the warrants are exercised, and we may receive proceeds of up to $42,827,529 if all of those warrants are exercised (to the extent the registration statement of which this prospectus is a part is then effective and, if applicable, the “cashless exercise” provision is not utilized by the holder). Any net proceeds we receive will be used for general corporate and working capital or other purposes that our Board of Directors deems to be in our best interest. As of the date of this prospectus, we cannot specify with certainty the particular uses for the net proceeds we may receive. Accordingly, we will retain broad discretion over the use of these proceeds, if any.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DETERMINATION OF OFFERING PRICE</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selling stockholders will offer common stock at the prevailing market prices or privately negotiated price. The offering price of our common stock does not necessarily bear any relationship to our book value, assets, past operating results, financial condition or any other established criteria of value. Our common stock may not trade at market prices in excess of the offering price as prices for common stock in any public market will be determined in the marketplace and may be influenced by many factors, including the depth and liquidity.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SELLING STOCKHOLDERS</w:t>
      </w:r>
    </w:p>
    <w:p>
      <w:pPr>
        <w:spacing w:after="0" w:line="23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shares of common stock being offered by the selling stockholders are those issuable to the selling stockholders upon the warrants as described in this prospectus. Upon the effectiveness of the registration statement of which this prospectus forms a part, the selling stockholders may offer the shares underlying those warrants for resale from time to time. Except as otherwise set out in this prospectus, the selling stockholders have not had any material relationship with us within the past three years.</w:t>
      </w:r>
    </w:p>
    <w:p>
      <w:pPr>
        <w:spacing w:after="0" w:line="17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table below lists the selling stockholders and other information regarding the ownership of shares of common stock by each of the selling stockholders. The second column lists the number of shares of common stock owned by the selling stockholders as of June 18, 2015, assuming exercise of the warrants held by each such selling stockholder on that date and not taking account of any limitations on conversion and exercise set forth therein.</w:t>
      </w:r>
    </w:p>
    <w:p>
      <w:pPr>
        <w:spacing w:after="0" w:line="15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third column lists the shares of common stock being offered by this Prospectus by the selling stockholders and does not take in account any limitations on exercise of the warrants set forth therein.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fourth column assumes the sale of all of the shares offered by the selling stockholders pursuant to this Prospectus.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Under the terms of the warrants, a selling stockholder may not (i) exercise the warrants issued in August 2014, the Series A Warrants, the Series D Warrants or the Series E Warrants to the extent (but only to the extent) such selling stockholder or any of its affiliates would beneficially own a number of shares of our common stock which would exceed 4.9%, (ii) exercise the Series B or the Series C Warrants to the extent (but only to the extent) such selling stockholder or any of its affiliates would beneficially own a number of shares of our common stock which would exceed 9.9% and (iii) exercise the Series A-1 Warrants, the Series B-1 Warrants, the Series C-1 Warrants, the Series D-1 Warrants or the Series E-1 Warrants to the extent (but only to the extent) such selling stockholder or any of its affiliates would beneficially own a number of shares of our common stock which would exceed 49.9%. The number of shares in the second column and the third column do not reflect these limitations. The selling stockholders may sell all, some or none of their shares in this offering. See “Plan of Distribution”.</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6" w:name="page27"/>
    <w:bookmarkEnd w:id="26"/>
    <w:tbl>
      <w:tblPr>
        <w:tblLayout w:type="fixed"/>
        <w:tblInd w:w="1" w:type="dxa"/>
        <w:tblCellMar>
          <w:top w:w="0" w:type="dxa"/>
          <w:left w:w="0" w:type="dxa"/>
          <w:bottom w:w="0" w:type="dxa"/>
          <w:right w:w="0" w:type="dxa"/>
        </w:tblCellMar>
      </w:tblPr>
      <w:tr>
        <w:trPr>
          <w:trHeight w:val="189"/>
        </w:trPr>
        <w:tc>
          <w:tcPr>
            <w:tcW w:w="5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Maximum Number of</w:t>
            </w:r>
          </w:p>
        </w:tc>
        <w:tc>
          <w:tcPr>
            <w:tcW w:w="134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38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0" w:type="dxa"/>
            <w:vAlign w:val="bottom"/>
          </w:tcPr>
          <w:p>
            <w:pPr>
              <w:spacing w:after="0"/>
              <w:rPr>
                <w:sz w:val="1"/>
                <w:szCs w:val="1"/>
                <w:color w:val="auto"/>
              </w:rPr>
            </w:pPr>
          </w:p>
        </w:tc>
      </w:tr>
      <w:tr>
        <w:trPr>
          <w:trHeight w:val="197"/>
        </w:trPr>
        <w:tc>
          <w:tcPr>
            <w:tcW w:w="5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Shares of Common</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0" w:type="dxa"/>
            <w:vAlign w:val="bottom"/>
          </w:tcPr>
          <w:p>
            <w:pPr>
              <w:spacing w:after="0"/>
              <w:rPr>
                <w:sz w:val="1"/>
                <w:szCs w:val="1"/>
                <w:color w:val="auto"/>
              </w:rPr>
            </w:pPr>
          </w:p>
        </w:tc>
      </w:tr>
      <w:tr>
        <w:trPr>
          <w:trHeight w:val="197"/>
        </w:trPr>
        <w:tc>
          <w:tcPr>
            <w:tcW w:w="5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Stock to be Sold</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0" w:type="dxa"/>
            <w:vAlign w:val="bottom"/>
          </w:tcPr>
          <w:p>
            <w:pPr>
              <w:spacing w:after="0"/>
              <w:rPr>
                <w:sz w:val="1"/>
                <w:szCs w:val="1"/>
                <w:color w:val="auto"/>
              </w:rPr>
            </w:pPr>
          </w:p>
        </w:tc>
      </w:tr>
      <w:tr>
        <w:trPr>
          <w:trHeight w:val="197"/>
        </w:trPr>
        <w:tc>
          <w:tcPr>
            <w:tcW w:w="5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Owned Prior to</w:t>
            </w:r>
          </w:p>
        </w:tc>
        <w:tc>
          <w:tcPr>
            <w:tcW w:w="1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Pursuant to this</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Owned After</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Owned After</w:t>
            </w:r>
          </w:p>
        </w:tc>
        <w:tc>
          <w:tcPr>
            <w:tcW w:w="0" w:type="dxa"/>
            <w:vAlign w:val="bottom"/>
          </w:tcPr>
          <w:p>
            <w:pPr>
              <w:spacing w:after="0"/>
              <w:rPr>
                <w:sz w:val="1"/>
                <w:szCs w:val="1"/>
                <w:color w:val="auto"/>
              </w:rPr>
            </w:pPr>
          </w:p>
        </w:tc>
      </w:tr>
      <w:tr>
        <w:trPr>
          <w:trHeight w:val="218"/>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of Selling Stockholder</w:t>
            </w:r>
          </w:p>
        </w:tc>
        <w:tc>
          <w:tcPr>
            <w:tcW w:w="1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2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Prospectus (1)</w:t>
            </w:r>
          </w:p>
        </w:tc>
        <w:tc>
          <w:tcPr>
            <w:tcW w:w="10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the Offering (2)</w:t>
            </w:r>
          </w:p>
        </w:tc>
        <w:tc>
          <w:tcPr>
            <w:tcW w:w="0" w:type="dxa"/>
            <w:vAlign w:val="bottom"/>
          </w:tcPr>
          <w:p>
            <w:pPr>
              <w:spacing w:after="0"/>
              <w:rPr>
                <w:sz w:val="1"/>
                <w:szCs w:val="1"/>
                <w:color w:val="auto"/>
              </w:rPr>
            </w:pPr>
          </w:p>
        </w:tc>
      </w:tr>
      <w:tr>
        <w:trPr>
          <w:trHeight w:val="25"/>
        </w:trPr>
        <w:tc>
          <w:tcPr>
            <w:tcW w:w="5620" w:type="dxa"/>
            <w:vAlign w:val="bottom"/>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Empery Asset Master, LTD (3)</w:t>
            </w:r>
          </w:p>
        </w:tc>
        <w:tc>
          <w:tcPr>
            <w:tcW w:w="100" w:type="dxa"/>
            <w:vAlign w:val="bottom"/>
            <w:vMerge w:val="continue"/>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6,590,156</w:t>
            </w:r>
          </w:p>
        </w:tc>
        <w:tc>
          <w:tcPr>
            <w:tcW w:w="220" w:type="dxa"/>
            <w:vAlign w:val="bottom"/>
            <w:vMerge w:val="continue"/>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6,590,156</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5"/>
        </w:trPr>
        <w:tc>
          <w:tcPr>
            <w:tcW w:w="5620" w:type="dxa"/>
            <w:vAlign w:val="bottom"/>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Empery Tax Efficient, LP (4)</w:t>
            </w:r>
          </w:p>
        </w:tc>
        <w:tc>
          <w:tcPr>
            <w:tcW w:w="100" w:type="dxa"/>
            <w:vAlign w:val="bottom"/>
            <w:vMerge w:val="continue"/>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1,495,465</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1,495,465</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5"/>
        </w:trPr>
        <w:tc>
          <w:tcPr>
            <w:tcW w:w="5620" w:type="dxa"/>
            <w:vAlign w:val="bottom"/>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Empery Tax Efficient II, LP (5)</w:t>
            </w:r>
          </w:p>
        </w:tc>
        <w:tc>
          <w:tcPr>
            <w:tcW w:w="100" w:type="dxa"/>
            <w:vAlign w:val="bottom"/>
            <w:vMerge w:val="continue"/>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10,041,171</w:t>
            </w:r>
          </w:p>
        </w:tc>
        <w:tc>
          <w:tcPr>
            <w:tcW w:w="220" w:type="dxa"/>
            <w:vAlign w:val="bottom"/>
            <w:vMerge w:val="continue"/>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10,041,171</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5"/>
        </w:trPr>
        <w:tc>
          <w:tcPr>
            <w:tcW w:w="5620" w:type="dxa"/>
            <w:vAlign w:val="bottom"/>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Iroquois Master Fund Ltd. (6)</w:t>
            </w:r>
          </w:p>
        </w:tc>
        <w:tc>
          <w:tcPr>
            <w:tcW w:w="100" w:type="dxa"/>
            <w:vAlign w:val="bottom"/>
            <w:vMerge w:val="continue"/>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8,750,000</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8,750,000</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2"/>
        </w:trPr>
        <w:tc>
          <w:tcPr>
            <w:tcW w:w="56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American Capital Management LLC (7)</w:t>
            </w:r>
          </w:p>
        </w:tc>
        <w:tc>
          <w:tcPr>
            <w:tcW w:w="1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6,000,000</w:t>
            </w:r>
          </w:p>
        </w:tc>
        <w:tc>
          <w:tcPr>
            <w:tcW w:w="220" w:type="dxa"/>
            <w:vAlign w:val="bottom"/>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&lt;1%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The Merav Abbe Irrevocable Trust (8)</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22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&lt;1%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The Samantha Abbe Irrevocable Trust (9)</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666,680</w:t>
            </w:r>
          </w:p>
        </w:tc>
        <w:tc>
          <w:tcPr>
            <w:tcW w:w="22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583,345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83,335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&lt;1%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The Talia Abbe Irrevocable Trust (10)</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666,640</w:t>
            </w:r>
          </w:p>
        </w:tc>
        <w:tc>
          <w:tcPr>
            <w:tcW w:w="22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583,310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&lt;1%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The Bennett Abbe Irrevocable Trust (11)</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666,640</w:t>
            </w:r>
          </w:p>
        </w:tc>
        <w:tc>
          <w:tcPr>
            <w:tcW w:w="22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583,310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&lt;1%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Brio Capital Master Fund, Ltd. (12)</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17,500,000</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5"/>
        </w:trPr>
        <w:tc>
          <w:tcPr>
            <w:tcW w:w="5620" w:type="dxa"/>
            <w:vAlign w:val="bottom"/>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Eastern Capital Limited (13)</w:t>
            </w:r>
          </w:p>
        </w:tc>
        <w:tc>
          <w:tcPr>
            <w:tcW w:w="100" w:type="dxa"/>
            <w:vAlign w:val="bottom"/>
            <w:vMerge w:val="continue"/>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40,000,000</w:t>
            </w:r>
          </w:p>
        </w:tc>
        <w:tc>
          <w:tcPr>
            <w:tcW w:w="220" w:type="dxa"/>
            <w:vAlign w:val="bottom"/>
            <w:vMerge w:val="continue"/>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40,000,000</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5"/>
        </w:trPr>
        <w:tc>
          <w:tcPr>
            <w:tcW w:w="5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left="821" w:hanging="821"/>
        <w:spacing w:after="0" w:line="289" w:lineRule="auto"/>
        <w:tabs>
          <w:tab w:leader="none" w:pos="82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shares of Common Stock underlying warrants held by the Selling Stockholder that are covered by this Prospectus, including any convertible securities that, due to contractual restrictions, may not be exercisable if such exercise would result in beneficial ownership greater than 4.9%, 9.9% and 49.9%, as applicable.</w:t>
      </w:r>
    </w:p>
    <w:p>
      <w:pPr>
        <w:spacing w:after="0" w:line="165" w:lineRule="exact"/>
        <w:rPr>
          <w:rFonts w:ascii="Times New Roman" w:cs="Times New Roman" w:eastAsia="Times New Roman" w:hAnsi="Times New Roman"/>
          <w:sz w:val="16"/>
          <w:szCs w:val="16"/>
          <w:color w:val="auto"/>
        </w:rPr>
      </w:pPr>
    </w:p>
    <w:p>
      <w:pPr>
        <w:jc w:val="both"/>
        <w:ind w:left="821" w:hanging="821"/>
        <w:spacing w:after="0" w:line="257" w:lineRule="auto"/>
        <w:tabs>
          <w:tab w:leader="none" w:pos="82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120,765,602 shares of common stock, which includes 37,638,810 shares of common stock issued and outstanding on June 18, 2015 and all 83,126,792 shares of common stock being offered in this Prospectus that may be issued upon exercise of the warrants. In determining this amount, we assumed that all 83,126,792 shares of common stock being offered in this Prospectus that may be issued upon exercise of the warrants will be sold. If this assumption is incorrect, the number of shares and percentages included in this column will differ from what we have provided.</w:t>
      </w:r>
    </w:p>
    <w:p>
      <w:pPr>
        <w:jc w:val="both"/>
        <w:ind w:left="821" w:hanging="821"/>
        <w:spacing w:after="0" w:line="262" w:lineRule="auto"/>
        <w:tabs>
          <w:tab w:leader="none" w:pos="82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Empery Asset Management LP, the authorized agent of Empery Asset Master Ltd ("EAM"), has discretionary authority to vote and dispose of the shares held by EAM and may be deemed to be the beneficial owner of these shares. Martin Hoe and Ryan Lane, in their capacity as investment managers of Empery Asset Management LP, may also be deemed to have investment discretion and voting power over the shares held by EAM. EAM, Mr. Hoe and Mr. Lane each disclaim any beneficial ownership of these shares.</w:t>
      </w:r>
    </w:p>
    <w:p>
      <w:pPr>
        <w:spacing w:after="0" w:line="164" w:lineRule="exact"/>
        <w:rPr>
          <w:rFonts w:ascii="Times New Roman" w:cs="Times New Roman" w:eastAsia="Times New Roman" w:hAnsi="Times New Roman"/>
          <w:sz w:val="16"/>
          <w:szCs w:val="16"/>
          <w:color w:val="auto"/>
        </w:rPr>
      </w:pPr>
    </w:p>
    <w:p>
      <w:pPr>
        <w:jc w:val="both"/>
        <w:ind w:left="821"/>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of Common Stock Owned Prior to Offering” includes this shareholder’s “Shares of Common Stock to be Sold Pursuant to this Prospectus”. This amount does not (i) give effect to limitations on ownership set out in any of the warrants that may be exercised into such shares or (ii) include any shares that may be beneficially owned by an affiliate.</w:t>
      </w:r>
    </w:p>
    <w:p>
      <w:pPr>
        <w:spacing w:after="0" w:line="153" w:lineRule="exact"/>
        <w:rPr>
          <w:rFonts w:ascii="Times New Roman" w:cs="Times New Roman" w:eastAsia="Times New Roman" w:hAnsi="Times New Roman"/>
          <w:sz w:val="16"/>
          <w:szCs w:val="16"/>
          <w:color w:val="auto"/>
        </w:rPr>
      </w:pPr>
    </w:p>
    <w:p>
      <w:pPr>
        <w:jc w:val="both"/>
        <w:ind w:left="821"/>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Common Stock to be Sold Pursuant to this Prospectus” includes (i) 1,587,536 shares of common stock issuable upon exercise of the warrants sold in August 2014, (ii) 714,660 shares of common stock issuable upon exercise of the Series A Warrants, (iii) 1,429,320 shares of common stock issuable upon exercise of the Series B Warrants, (iv) 1,429,320 shares of common stock issuable upon exercise of the Series C Warrants, (v) 714,660 shares of common stock issuable upon exercise of the Series D Warrants and (vi) 714,660 shares of common stock issuable upon exercise of the Series E Warrants.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63765"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477" w:right="239" w:bottom="1440" w:gutter="0" w:footer="0" w:header="0"/>
        </w:sectPr>
      </w:pPr>
    </w:p>
    <w:bookmarkStart w:id="27" w:name="page28"/>
    <w:bookmarkEnd w:id="27"/>
    <w:p>
      <w:pPr>
        <w:jc w:val="both"/>
        <w:ind w:left="821" w:hanging="821"/>
        <w:spacing w:after="0" w:line="270" w:lineRule="auto"/>
        <w:tabs>
          <w:tab w:leader="none" w:pos="82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Empery Asset Management LP, the authorized agent of Empery Tax Efficient, LP ("ETE"), has discretionary authority to vote and dispose of the shares held by ETE and may be deemed to be the beneficial owner of these shares. Martin Hoe and Ryan Lane, in their capacity as investment managers of Empery Asset Management LP, may also be deemed to have investment discretion and voting power over the shares held by ETE. ETE, Mr. Hoe and Mr. Lane each disclaim any beneficial ownership of these shares.</w:t>
      </w:r>
    </w:p>
    <w:p>
      <w:pPr>
        <w:spacing w:after="0" w:line="157" w:lineRule="exact"/>
        <w:rPr>
          <w:rFonts w:ascii="Times New Roman" w:cs="Times New Roman" w:eastAsia="Times New Roman" w:hAnsi="Times New Roman"/>
          <w:sz w:val="16"/>
          <w:szCs w:val="16"/>
          <w:color w:val="auto"/>
        </w:rPr>
      </w:pPr>
    </w:p>
    <w:p>
      <w:pPr>
        <w:jc w:val="both"/>
        <w:ind w:left="821"/>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of Common Stock Owned Prior to Offering” includes this shareholder’s “Shares of Common Stock to be Sold Pursuant to this Prospectus”. This amount does not (i) give effect to limitations on ownership set out in any of the warrants that may be exercised into such shares or (ii) include any shares that may be beneficially owned by an affiliate.</w:t>
      </w:r>
    </w:p>
    <w:p>
      <w:pPr>
        <w:spacing w:after="0" w:line="153" w:lineRule="exact"/>
        <w:rPr>
          <w:rFonts w:ascii="Times New Roman" w:cs="Times New Roman" w:eastAsia="Times New Roman" w:hAnsi="Times New Roman"/>
          <w:sz w:val="16"/>
          <w:szCs w:val="16"/>
          <w:color w:val="auto"/>
        </w:rPr>
      </w:pPr>
    </w:p>
    <w:p>
      <w:pPr>
        <w:jc w:val="both"/>
        <w:ind w:left="821"/>
        <w:spacing w:after="0" w:line="26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Common Stock to be Sold Pursuant to this Prospectus” includes (i) 299,256 shares of common stock issuable upon exercise of the warrants sold in August 2014, (ii) 170,887 shares of common stock issuable upon exercise of the Series A Warrants, (iii) 341,774 shares of common stock issuable upon exercise of the Series B Warrants, (iv) 341,774 shares of common stock issuable upon exercise of the Series C Warrants, (v) 170,887 shares of common stock issuable upon exercise of the Series D Warrants and (vi) 170,887 shares of common stock issuable upon exercise of the Series E Warrants.</w:t>
      </w:r>
    </w:p>
    <w:p>
      <w:pPr>
        <w:spacing w:after="0" w:line="2" w:lineRule="exact"/>
        <w:rPr>
          <w:rFonts w:ascii="Times New Roman" w:cs="Times New Roman" w:eastAsia="Times New Roman" w:hAnsi="Times New Roman"/>
          <w:sz w:val="16"/>
          <w:szCs w:val="16"/>
          <w:color w:val="auto"/>
        </w:rPr>
      </w:pPr>
    </w:p>
    <w:p>
      <w:pPr>
        <w:jc w:val="both"/>
        <w:ind w:left="821" w:hanging="821"/>
        <w:spacing w:after="0" w:line="262" w:lineRule="auto"/>
        <w:tabs>
          <w:tab w:leader="none" w:pos="82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Empery Asset Management LP, the authorized agent of Empery Tax Efficient, LP ("ETE II"), has discretionary authority to vote and dispose of the shares held by ETE II and may be deemed to be the beneficial owner of these shares. Martin Hoe and Ryan Lane, in their capacity as investment managers of Empery Asset Management LP, may also be deemed to have investment discretion and voting power over the shares held by ETE II. ETE II, Mr. Hoe and Mr. Lane each disclaim any beneficial ownership of these shares.</w:t>
      </w:r>
    </w:p>
    <w:p>
      <w:pPr>
        <w:spacing w:after="0" w:line="164" w:lineRule="exact"/>
        <w:rPr>
          <w:rFonts w:ascii="Times New Roman" w:cs="Times New Roman" w:eastAsia="Times New Roman" w:hAnsi="Times New Roman"/>
          <w:sz w:val="16"/>
          <w:szCs w:val="16"/>
          <w:color w:val="auto"/>
        </w:rPr>
      </w:pPr>
    </w:p>
    <w:p>
      <w:pPr>
        <w:jc w:val="both"/>
        <w:ind w:left="821"/>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of Common Stock Owned Prior to Offering” includes this shareholder’s “Shares of Common Stock to be Sold Pursuant to this Prospectus”. This amount does not (i) give effect to limitations on ownership set out in any of the warrants that may be exercised into such shares or (ii) include any shares that may be beneficially owned by an affiliate.</w:t>
      </w:r>
    </w:p>
    <w:p>
      <w:pPr>
        <w:spacing w:after="0" w:line="153" w:lineRule="exact"/>
        <w:rPr>
          <w:rFonts w:ascii="Times New Roman" w:cs="Times New Roman" w:eastAsia="Times New Roman" w:hAnsi="Times New Roman"/>
          <w:sz w:val="16"/>
          <w:szCs w:val="16"/>
          <w:color w:val="auto"/>
        </w:rPr>
      </w:pPr>
    </w:p>
    <w:p>
      <w:pPr>
        <w:jc w:val="both"/>
        <w:ind w:left="821"/>
        <w:spacing w:after="0" w:line="26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Common Stock to be Sold Pursuant to this Prospectus” includes (i) 1,434,453 shares of common stock issuable upon exercise of the Series A Warrants, (ii) 2,868,906 shares of common stock issuable upon exercise of the Series B Warrants, (iii) 2,868,906 shares of common stock issuable upon exercise of the Series C Warrants, (iv) 1,434,453 shares of common stock issuable upon exercise of the Series D Warrants and (v) 1,434,453 shares of common stock issuable upon exercise of the Series E Warrants.</w:t>
      </w:r>
    </w:p>
    <w:p>
      <w:pPr>
        <w:spacing w:after="0" w:line="2" w:lineRule="exact"/>
        <w:rPr>
          <w:rFonts w:ascii="Times New Roman" w:cs="Times New Roman" w:eastAsia="Times New Roman" w:hAnsi="Times New Roman"/>
          <w:sz w:val="16"/>
          <w:szCs w:val="16"/>
          <w:color w:val="auto"/>
        </w:rPr>
      </w:pPr>
    </w:p>
    <w:p>
      <w:pPr>
        <w:jc w:val="both"/>
        <w:ind w:left="821" w:hanging="821"/>
        <w:spacing w:after="0" w:line="261" w:lineRule="auto"/>
        <w:tabs>
          <w:tab w:leader="none" w:pos="82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Iroquois Capital Management L.L.C. (“Iroquois Capital”) is the investment manager of Iroquois Master Fund Ltd. (“Iroquois Master Fund”) and consequently has voting control and investment discretion over securities held by Iroquois Master Fund. Each of Joshua Silverman and Richard Abbe may be deemed to have voting control and investment discretion over securities held by Iroquois Master Fund. As a result of the foregoing, each of Iroquois Capital, Mr. Silverman and Mr. Abbe may be deemed to have beneficial ownership (as determined under Section 13(d) of the Securities Exchange Act of 1934, as amended) of the securities being registered hereunder.</w:t>
      </w:r>
    </w:p>
    <w:p>
      <w:pPr>
        <w:spacing w:after="0" w:line="164" w:lineRule="exact"/>
        <w:rPr>
          <w:rFonts w:ascii="Times New Roman" w:cs="Times New Roman" w:eastAsia="Times New Roman" w:hAnsi="Times New Roman"/>
          <w:sz w:val="16"/>
          <w:szCs w:val="16"/>
          <w:color w:val="auto"/>
        </w:rPr>
      </w:pPr>
    </w:p>
    <w:p>
      <w:pPr>
        <w:jc w:val="both"/>
        <w:ind w:left="821"/>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of Common Stock Owned Prior to Offering” includes this shareholder’s “Shares of Common Stock to be Sold Pursuant to this Prospectus”. This amount does not (i) give effect to limitations on ownership set out in any of the warrants that may be exercised into such shares or (ii) include any shares that may be beneficially owned by an affiliate.</w:t>
      </w:r>
    </w:p>
    <w:p>
      <w:pPr>
        <w:spacing w:after="0" w:line="153" w:lineRule="exact"/>
        <w:rPr>
          <w:rFonts w:ascii="Times New Roman" w:cs="Times New Roman" w:eastAsia="Times New Roman" w:hAnsi="Times New Roman"/>
          <w:sz w:val="16"/>
          <w:szCs w:val="16"/>
          <w:color w:val="auto"/>
        </w:rPr>
      </w:pPr>
    </w:p>
    <w:p>
      <w:pPr>
        <w:jc w:val="both"/>
        <w:ind w:left="821"/>
        <w:spacing w:after="0" w:line="26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Common Stock to be Sold Pursuant to this Prospectus” includes (i) 1,250,000 shares of common stock issuable upon exercise of the Series A Warrants, (ii) 2,500,000 shares of common stock issuable upon exercise of the Series B Warrants, (iii) 2,500,000 shares of common stock issuable upon exercise of the Series C Warrants, (iv) 1,250,000 shares of common stock issuable upon exercise of the Series D Warrants and (v) 1,250,000 shares of common stock issuable upon exercise of the Series E Warrants.</w:t>
      </w:r>
    </w:p>
    <w:p>
      <w:pPr>
        <w:spacing w:after="0" w:line="2" w:lineRule="exact"/>
        <w:rPr>
          <w:rFonts w:ascii="Times New Roman" w:cs="Times New Roman" w:eastAsia="Times New Roman" w:hAnsi="Times New Roman"/>
          <w:sz w:val="16"/>
          <w:szCs w:val="16"/>
          <w:color w:val="auto"/>
        </w:rPr>
      </w:pPr>
    </w:p>
    <w:p>
      <w:pPr>
        <w:ind w:left="821" w:hanging="821"/>
        <w:spacing w:after="0" w:line="274" w:lineRule="auto"/>
        <w:tabs>
          <w:tab w:leader="none" w:pos="82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Kimberly Page has the authority and responsibility for the investments made on behalf of American Capital Management LLC (“ACM”) and accordingly, has voting and dispositive power over the securities held by ACM.</w:t>
      </w:r>
    </w:p>
    <w:p>
      <w:pPr>
        <w:spacing w:after="0" w:line="153" w:lineRule="exact"/>
        <w:rPr>
          <w:rFonts w:ascii="Times New Roman" w:cs="Times New Roman" w:eastAsia="Times New Roman" w:hAnsi="Times New Roman"/>
          <w:sz w:val="16"/>
          <w:szCs w:val="16"/>
          <w:color w:val="auto"/>
        </w:rPr>
      </w:pPr>
    </w:p>
    <w:p>
      <w:pPr>
        <w:jc w:val="both"/>
        <w:ind w:left="821"/>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of Common Stock Owned Prior to Offering” includes (i) 750,000 shares of common stock issued to the shareholder in January 2015 (we have not verified that this shareholder still holds these shares) and (ii) this shareholder’s “Shares of Common Stock to be Sold Pursuant to this Prospectus”. This amount does not (i) give effect to limitations on ownership set out in any of the warrants that may be exercised into such shares or (ii) include any shares that may be beneficially owned by an affiliate.</w:t>
      </w:r>
    </w:p>
    <w:p>
      <w:pPr>
        <w:spacing w:after="0" w:line="157" w:lineRule="exact"/>
        <w:rPr>
          <w:rFonts w:ascii="Times New Roman" w:cs="Times New Roman" w:eastAsia="Times New Roman" w:hAnsi="Times New Roman"/>
          <w:sz w:val="16"/>
          <w:szCs w:val="16"/>
          <w:color w:val="auto"/>
        </w:rPr>
      </w:pPr>
    </w:p>
    <w:p>
      <w:pPr>
        <w:jc w:val="both"/>
        <w:ind w:left="821"/>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Common Stock to be Sold Pursuant to this Prospectus” includes (i) 750,000 shares of common stock issuable upon exercise of the Series A Warrants, (ii) 1,500,000 shares of common stock issuable upon exercise of the Series B Warrants, (iii) 1,500,000 shares of common stock issuable upon exercise of the Series C Warrants, (iv) 750,000 shares of common stock issuable upon exercise of the Series D Warrants and (v) 750,000 shares of common stock issuable upon exercise of the Series E Warrants.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63765"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480" w:right="239" w:bottom="1440" w:gutter="0" w:footer="0" w:header="0"/>
        </w:sectPr>
      </w:pPr>
    </w:p>
    <w:bookmarkStart w:id="28" w:name="page29"/>
    <w:bookmarkEnd w:id="28"/>
    <w:p>
      <w:pPr>
        <w:ind w:left="821" w:hanging="821"/>
        <w:spacing w:after="0"/>
        <w:tabs>
          <w:tab w:leader="none" w:pos="82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virtue of his position as trustee, Leo Abbe has voting and dispositive power over the securities held by The Merav Abbe Irrevocable Trust.</w:t>
      </w:r>
    </w:p>
    <w:p>
      <w:pPr>
        <w:spacing w:after="0" w:line="210" w:lineRule="exact"/>
        <w:rPr>
          <w:rFonts w:ascii="Times New Roman" w:cs="Times New Roman" w:eastAsia="Times New Roman" w:hAnsi="Times New Roman"/>
          <w:sz w:val="16"/>
          <w:szCs w:val="16"/>
          <w:color w:val="auto"/>
        </w:rPr>
      </w:pPr>
    </w:p>
    <w:p>
      <w:pPr>
        <w:jc w:val="both"/>
        <w:ind w:left="821"/>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of Common Stock Owned Prior to Offering” includes (i) 250,000 shares of common stock issued to the shareholder in January 2015 (we have not verified that this shareholder still holds these shares) and (ii) this shareholder’s “Shares of Common Stock to be Sold Pursuant to this Prospectus”. This amount does not (i) give effect to limitations on ownership set out in any of the warrants that may be exercised into such shares or (ii) include any shares that may be beneficially owned by an affiliate.</w:t>
      </w:r>
    </w:p>
    <w:p>
      <w:pPr>
        <w:spacing w:after="0" w:line="157" w:lineRule="exact"/>
        <w:rPr>
          <w:rFonts w:ascii="Times New Roman" w:cs="Times New Roman" w:eastAsia="Times New Roman" w:hAnsi="Times New Roman"/>
          <w:sz w:val="16"/>
          <w:szCs w:val="16"/>
          <w:color w:val="auto"/>
        </w:rPr>
      </w:pPr>
    </w:p>
    <w:p>
      <w:pPr>
        <w:ind w:left="82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Common Stock to be Sold Pursuant to this Prospectus” includes (i) 250,000 shares of common stock issuable upon exercise of the Series A Warrants,</w:t>
      </w:r>
    </w:p>
    <w:p>
      <w:pPr>
        <w:spacing w:after="0" w:line="30" w:lineRule="exact"/>
        <w:rPr>
          <w:rFonts w:ascii="Times New Roman" w:cs="Times New Roman" w:eastAsia="Times New Roman" w:hAnsi="Times New Roman"/>
          <w:sz w:val="16"/>
          <w:szCs w:val="16"/>
          <w:color w:val="auto"/>
        </w:rPr>
      </w:pPr>
    </w:p>
    <w:p>
      <w:pPr>
        <w:jc w:val="both"/>
        <w:ind w:left="821" w:hanging="8"/>
        <w:spacing w:after="0" w:line="257" w:lineRule="auto"/>
        <w:tabs>
          <w:tab w:leader="none" w:pos="1063"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500,000 shares of common stock issuable upon exercise of the Series B Warrants, (iii) 500,000 shares of common stock issuable upon exercise of the Series C Warrants, (iv) 250,000 shares of common stock issuable upon exercise of the Series D Warrants and (v) 250,000 shares of common stock issuable upon exercise of the Series E Warrants.</w:t>
      </w:r>
    </w:p>
    <w:p>
      <w:pPr>
        <w:ind w:left="821" w:hanging="821"/>
        <w:spacing w:after="0"/>
        <w:tabs>
          <w:tab w:leader="none" w:pos="82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virtue of his position as trustee, Richard Abbe has voting and dispositive power over the securities held by The Samantha Abbe Irrevocable Trust.</w:t>
      </w:r>
    </w:p>
    <w:p>
      <w:pPr>
        <w:spacing w:after="0" w:line="192" w:lineRule="exact"/>
        <w:rPr>
          <w:rFonts w:ascii="Times New Roman" w:cs="Times New Roman" w:eastAsia="Times New Roman" w:hAnsi="Times New Roman"/>
          <w:sz w:val="16"/>
          <w:szCs w:val="16"/>
          <w:color w:val="auto"/>
        </w:rPr>
      </w:pPr>
    </w:p>
    <w:p>
      <w:pPr>
        <w:jc w:val="both"/>
        <w:ind w:left="821"/>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of Common Stock Owned Prior to Offering” includes (i) 83,335 shares of common stock issued to the shareholder in January 2015 (we have not verified that this shareholder still holds these shares) and (ii) this shareholder’s “Shares of Common Stock to be Sold Pursuant to this Prospectus”. This amount does not (i) give effect to limitations on ownership set out in any of the warrants that may be exercised into such shares or (ii) include any shares that may be beneficially owned by an affiliate.</w:t>
      </w:r>
    </w:p>
    <w:p>
      <w:pPr>
        <w:spacing w:after="0" w:line="157" w:lineRule="exact"/>
        <w:rPr>
          <w:rFonts w:ascii="Times New Roman" w:cs="Times New Roman" w:eastAsia="Times New Roman" w:hAnsi="Times New Roman"/>
          <w:sz w:val="16"/>
          <w:szCs w:val="16"/>
          <w:color w:val="auto"/>
        </w:rPr>
      </w:pPr>
    </w:p>
    <w:p>
      <w:pPr>
        <w:ind w:left="82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Common Stock to be Sold Pursuant to this Prospectus” includes (i) 83,335 shares of common stock issuable upon exercise of the Series A Warrants,</w:t>
      </w:r>
    </w:p>
    <w:p>
      <w:pPr>
        <w:spacing w:after="0" w:line="30" w:lineRule="exact"/>
        <w:rPr>
          <w:rFonts w:ascii="Times New Roman" w:cs="Times New Roman" w:eastAsia="Times New Roman" w:hAnsi="Times New Roman"/>
          <w:sz w:val="16"/>
          <w:szCs w:val="16"/>
          <w:color w:val="auto"/>
        </w:rPr>
      </w:pPr>
    </w:p>
    <w:p>
      <w:pPr>
        <w:jc w:val="both"/>
        <w:ind w:left="821" w:hanging="8"/>
        <w:spacing w:after="0" w:line="257" w:lineRule="auto"/>
        <w:tabs>
          <w:tab w:leader="none" w:pos="1063"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166,670 shares of common stock issuable upon exercise of the Series B Warrants, (iii) 166,670 shares of common stock issuable upon exercise of the Series C Warrants, (iv) 83,335 shares of common stock issuable upon exercise of the Series D Warrants and (v) 83,335 shares of common stock issuable upon exercise of the Series E Warrants.</w:t>
      </w:r>
    </w:p>
    <w:p>
      <w:pPr>
        <w:ind w:left="821" w:hanging="821"/>
        <w:spacing w:after="0"/>
        <w:tabs>
          <w:tab w:leader="none" w:pos="82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virtue of his position as trustee, Richard Abbe has voting and dispositive power over the securities held by The Talia Abbe Irrevocable Trust.</w:t>
      </w:r>
    </w:p>
    <w:p>
      <w:pPr>
        <w:spacing w:after="0" w:line="192" w:lineRule="exact"/>
        <w:rPr>
          <w:rFonts w:ascii="Times New Roman" w:cs="Times New Roman" w:eastAsia="Times New Roman" w:hAnsi="Times New Roman"/>
          <w:sz w:val="16"/>
          <w:szCs w:val="16"/>
          <w:color w:val="auto"/>
        </w:rPr>
      </w:pPr>
    </w:p>
    <w:p>
      <w:pPr>
        <w:jc w:val="both"/>
        <w:ind w:left="821"/>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of Common Stock Owned Prior to Offering” includes (i) 83,330 shares of common stock issued to the shareholder in January 2015 (we have not verified that this shareholder still holds these shares) and (ii) this shareholder’s “Shares of Common Stock to be Sold Pursuant to this Prospectus”. This amount does not (i) give effect to limitations on ownership set out in any of the warrants that may be exercised into such shares or (ii) include any shares that may be beneficially owned by an affiliate.</w:t>
      </w:r>
    </w:p>
    <w:p>
      <w:pPr>
        <w:spacing w:after="0" w:line="157" w:lineRule="exact"/>
        <w:rPr>
          <w:rFonts w:ascii="Times New Roman" w:cs="Times New Roman" w:eastAsia="Times New Roman" w:hAnsi="Times New Roman"/>
          <w:sz w:val="16"/>
          <w:szCs w:val="16"/>
          <w:color w:val="auto"/>
        </w:rPr>
      </w:pPr>
    </w:p>
    <w:p>
      <w:pPr>
        <w:ind w:left="82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Common Stock to be Sold Pursuant to this Prospectus” includes (i) 83,330 shares of common stock issuable upon exercise of the Series A Warrants,</w:t>
      </w:r>
    </w:p>
    <w:p>
      <w:pPr>
        <w:spacing w:after="0" w:line="30" w:lineRule="exact"/>
        <w:rPr>
          <w:rFonts w:ascii="Times New Roman" w:cs="Times New Roman" w:eastAsia="Times New Roman" w:hAnsi="Times New Roman"/>
          <w:sz w:val="16"/>
          <w:szCs w:val="16"/>
          <w:color w:val="auto"/>
        </w:rPr>
      </w:pPr>
    </w:p>
    <w:p>
      <w:pPr>
        <w:jc w:val="both"/>
        <w:ind w:left="821" w:hanging="8"/>
        <w:spacing w:after="0" w:line="257" w:lineRule="auto"/>
        <w:tabs>
          <w:tab w:leader="none" w:pos="1063"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166,660 shares of common stock issuable upon exercise of the Series B Warrants, (iii) 166,660 shares of common stock issuable upon exercise of the Series C Warrants, (iv) 83,330 shares of common stock issuable upon exercise of the Series D Warrants and (v) 83,330 shares of common stock issuable upon exercise of the Series E Warrants.</w:t>
      </w:r>
    </w:p>
    <w:p>
      <w:pPr>
        <w:ind w:left="821" w:hanging="821"/>
        <w:spacing w:after="0"/>
        <w:tabs>
          <w:tab w:leader="none" w:pos="82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virtue of his position as trustee, Richard Abbe has voting and dispositive power over the securities held by The Bennett Abbe Irrevocable Trust.</w:t>
      </w:r>
    </w:p>
    <w:p>
      <w:pPr>
        <w:spacing w:after="0" w:line="192" w:lineRule="exact"/>
        <w:rPr>
          <w:rFonts w:ascii="Times New Roman" w:cs="Times New Roman" w:eastAsia="Times New Roman" w:hAnsi="Times New Roman"/>
          <w:sz w:val="16"/>
          <w:szCs w:val="16"/>
          <w:color w:val="auto"/>
        </w:rPr>
      </w:pPr>
    </w:p>
    <w:p>
      <w:pPr>
        <w:jc w:val="both"/>
        <w:ind w:left="821"/>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of Common Stock Owned Prior to Offering” includes (i) 83,330 shares of common stock issued to the shareholder in January 2015 (we have not verified that this shareholder still holds these shares) and (ii) this shareholder’s “Shares of Common Stock to be Sold Pursuant to this Prospectus”. This amount does not (i) give effect to limitations on ownership set out in any of the warrants that may be exercised into such shares or (ii) include any shares that may be beneficially owned by an affiliate.</w:t>
      </w:r>
    </w:p>
    <w:p>
      <w:pPr>
        <w:spacing w:after="0" w:line="157" w:lineRule="exact"/>
        <w:rPr>
          <w:rFonts w:ascii="Times New Roman" w:cs="Times New Roman" w:eastAsia="Times New Roman" w:hAnsi="Times New Roman"/>
          <w:sz w:val="16"/>
          <w:szCs w:val="16"/>
          <w:color w:val="auto"/>
        </w:rPr>
      </w:pPr>
    </w:p>
    <w:p>
      <w:pPr>
        <w:ind w:left="82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Common Stock to be Sold Pursuant to this Prospectus” includes (i) 83,330 shares of common stock issuable upon exercise of the Series A Warrants,</w:t>
      </w:r>
    </w:p>
    <w:p>
      <w:pPr>
        <w:spacing w:after="0" w:line="30" w:lineRule="exact"/>
        <w:rPr>
          <w:rFonts w:ascii="Times New Roman" w:cs="Times New Roman" w:eastAsia="Times New Roman" w:hAnsi="Times New Roman"/>
          <w:sz w:val="16"/>
          <w:szCs w:val="16"/>
          <w:color w:val="auto"/>
        </w:rPr>
      </w:pPr>
    </w:p>
    <w:p>
      <w:pPr>
        <w:jc w:val="both"/>
        <w:ind w:left="821" w:hanging="8"/>
        <w:spacing w:after="0" w:line="257" w:lineRule="auto"/>
        <w:tabs>
          <w:tab w:leader="none" w:pos="1063"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166,660 shares of common stock issuable upon exercise of the Series B Warrants, (iii) 166,660 shares of common stock issuable upon exercise of the Series C Warrants, (iv) 83,330 shares of common stock issuable upon exercise of the Series D Warrants and (v) 83,330 shares of common stock issuable upon exercise of the Series E Warrants.</w:t>
      </w:r>
    </w:p>
    <w:p>
      <w:pPr>
        <w:ind w:left="821" w:hanging="821"/>
        <w:spacing w:after="0"/>
        <w:tabs>
          <w:tab w:leader="none" w:pos="82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Shaye Hirsch has voting and dispositive power over the securities owned by the selling stockholder.</w:t>
      </w:r>
    </w:p>
    <w:p>
      <w:pPr>
        <w:spacing w:after="0" w:line="13" w:lineRule="exact"/>
        <w:rPr>
          <w:rFonts w:ascii="Times New Roman" w:cs="Times New Roman" w:eastAsia="Times New Roman" w:hAnsi="Times New Roman"/>
          <w:sz w:val="16"/>
          <w:szCs w:val="16"/>
          <w:color w:val="auto"/>
        </w:rPr>
      </w:pPr>
    </w:p>
    <w:p>
      <w:pPr>
        <w:jc w:val="both"/>
        <w:ind w:left="821"/>
        <w:spacing w:after="0" w:line="26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of Common Stock Owned Prior to Offering” includes this shareholder’s “Shares of Common Stock to be Sold Pursuant to this Prospectus”. This amount does not (i) give effect to limitations on ownership set out in any of the warrants that may be exercised into such shares or (ii) include any shares that may be beneficially owned by an affiliate.</w:t>
      </w:r>
    </w:p>
    <w:p>
      <w:pPr>
        <w:spacing w:after="0" w:line="161" w:lineRule="exact"/>
        <w:rPr>
          <w:rFonts w:ascii="Times New Roman" w:cs="Times New Roman" w:eastAsia="Times New Roman" w:hAnsi="Times New Roman"/>
          <w:sz w:val="16"/>
          <w:szCs w:val="16"/>
          <w:color w:val="auto"/>
        </w:rPr>
      </w:pPr>
    </w:p>
    <w:p>
      <w:pPr>
        <w:jc w:val="both"/>
        <w:ind w:left="821"/>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Common Stock to be Sold Pursuant to this Prospectus” includes (i) 2,500,000 shares of common stock issuable upon exercise of the Series A Warrants, (ii) 5,000,000 shares of common stock issuable upon exercise of the Series B Warrants, (iii) 5,000,000 shares of common stock issuable upon exercise of the Series C Warrants, (iv) 2,500,000 shares of common stock issuable upon exercise of the Series D Warrants and (v) 2,500,000 shares of common stock issuable upon exercise of the Series E Warrants.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63765"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480" w:right="239" w:bottom="1440" w:gutter="0" w:footer="0" w:header="0"/>
        </w:sectPr>
      </w:pPr>
    </w:p>
    <w:bookmarkStart w:id="29" w:name="page30"/>
    <w:bookmarkEnd w:id="29"/>
    <w:p>
      <w:pPr>
        <w:jc w:val="both"/>
        <w:ind w:left="821" w:hanging="821"/>
        <w:spacing w:after="0" w:line="276" w:lineRule="auto"/>
        <w:tabs>
          <w:tab w:leader="none" w:pos="82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Eastern Capital Limited is a direct wholly-owned subsidiary of Portfolio Services Ltd. Kenneth B. Dart is the beneficial owner of all of the outstanding shares of Portfolio Services Ltd. Eastern Capital Limited, Portfolio Services Ltd. and Mr. Dart have shared voting and dispositive powers with respect to the shares of common stock referenced above.”</w:t>
      </w:r>
    </w:p>
    <w:p>
      <w:pPr>
        <w:spacing w:after="0" w:line="153" w:lineRule="exact"/>
        <w:rPr>
          <w:rFonts w:ascii="Times New Roman" w:cs="Times New Roman" w:eastAsia="Times New Roman" w:hAnsi="Times New Roman"/>
          <w:sz w:val="16"/>
          <w:szCs w:val="16"/>
          <w:color w:val="auto"/>
        </w:rPr>
      </w:pPr>
    </w:p>
    <w:p>
      <w:pPr>
        <w:ind w:left="82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of Common Stock Owned Prior to Offering” includes (i) 5,000,000 shares of common stock issued to the shareholder in March 2015,</w:t>
      </w:r>
    </w:p>
    <w:p>
      <w:pPr>
        <w:spacing w:after="0" w:line="30" w:lineRule="exact"/>
        <w:rPr>
          <w:rFonts w:ascii="Times New Roman" w:cs="Times New Roman" w:eastAsia="Times New Roman" w:hAnsi="Times New Roman"/>
          <w:sz w:val="16"/>
          <w:szCs w:val="16"/>
          <w:color w:val="auto"/>
        </w:rPr>
      </w:pPr>
    </w:p>
    <w:p>
      <w:pPr>
        <w:jc w:val="both"/>
        <w:ind w:left="821" w:hanging="8"/>
        <w:spacing w:after="0" w:line="265" w:lineRule="auto"/>
        <w:tabs>
          <w:tab w:leader="none" w:pos="1081"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5,000,000 shares of common stock issued in June 2015 upon exercise of 5,000,000 Series C-1 Warrants and (iii) this shareholder’s “Shares of Common Stock to be Sold Pursuant to this Prospectus”. This amount does not (i) give effect to limitations on ownership set out in any of the warrants that may be exercised into such shares or (ii) include any shares that may be beneficially owned by an affiliate.</w:t>
      </w:r>
    </w:p>
    <w:p>
      <w:pPr>
        <w:spacing w:after="0" w:line="162" w:lineRule="exact"/>
        <w:rPr>
          <w:sz w:val="20"/>
          <w:szCs w:val="20"/>
          <w:color w:val="auto"/>
        </w:rPr>
      </w:pPr>
    </w:p>
    <w:p>
      <w:pPr>
        <w:jc w:val="both"/>
        <w:ind w:left="821"/>
        <w:spacing w:after="0" w:line="270" w:lineRule="auto"/>
        <w:rPr>
          <w:sz w:val="20"/>
          <w:szCs w:val="20"/>
          <w:color w:val="auto"/>
        </w:rPr>
      </w:pPr>
      <w:r>
        <w:rPr>
          <w:rFonts w:ascii="Times New Roman" w:cs="Times New Roman" w:eastAsia="Times New Roman" w:hAnsi="Times New Roman"/>
          <w:sz w:val="16"/>
          <w:szCs w:val="16"/>
          <w:color w:val="auto"/>
        </w:rPr>
        <w:t>“Shares of Common Stock to be Sold Pursuant to this Prospectus” includes (i) 5,000,000 shares of common stock issuable upon exercise of the Series A-1 Warrants, (ii) 10,000,000shares of common stock issuable upon exercise of the Series B-1 Warrants, (iii) 5,000,000 shares of common stock issuable upon exercise of the Series C -1Warrants, (iv) 5,000,000 shares of common stock issuable upon exercise of the Series D-1 Warrants and (v) 5,000,000 shares of common stock issuable upon exercise of the Series E-1 Warrants.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PLAN OF DISTRIBUTION</w:t>
      </w:r>
    </w:p>
    <w:p>
      <w:pPr>
        <w:spacing w:after="0" w:line="230" w:lineRule="exact"/>
        <w:rPr>
          <w:sz w:val="20"/>
          <w:szCs w:val="20"/>
          <w:color w:val="auto"/>
        </w:rPr>
      </w:pPr>
    </w:p>
    <w:p>
      <w:pPr>
        <w:ind w:left="1" w:right="240"/>
        <w:spacing w:after="0" w:line="238" w:lineRule="auto"/>
        <w:rPr>
          <w:sz w:val="20"/>
          <w:szCs w:val="20"/>
          <w:color w:val="auto"/>
        </w:rPr>
      </w:pPr>
      <w:r>
        <w:rPr>
          <w:rFonts w:ascii="Times New Roman" w:cs="Times New Roman" w:eastAsia="Times New Roman" w:hAnsi="Times New Roman"/>
          <w:sz w:val="20"/>
          <w:szCs w:val="20"/>
          <w:color w:val="auto"/>
        </w:rPr>
        <w:t>The common stock held by the selling stockholders may be sold or distributed from time to time by the selling stockholders directly to one or more purchasers or through brokers, dealers, or underwriters who may act solely as agents at market prices prevailing at the time of sale, at prices related to the prevailing market prices, at negotiated prices, or at fixed prices, which may be changed on any stock exchange, market or trading facility on which the shares are traded or in private transactions. The sale of the selling stockholders’ common stock offered by this prospectus may be effected in one or more of the following methods:</w:t>
      </w:r>
    </w:p>
    <w:p>
      <w:pPr>
        <w:spacing w:after="0" w:line="174" w:lineRule="exact"/>
        <w:rPr>
          <w:sz w:val="20"/>
          <w:szCs w:val="20"/>
          <w:color w:val="auto"/>
        </w:rPr>
      </w:pPr>
    </w:p>
    <w:p>
      <w:pPr>
        <w:ind w:left="821" w:hanging="723"/>
        <w:spacing w:after="0"/>
        <w:tabs>
          <w:tab w:leader="none" w:pos="821"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ordinary brokerage transactions and transactions in which the broker-dealer solicits purchasers;</w:t>
      </w:r>
    </w:p>
    <w:p>
      <w:pPr>
        <w:spacing w:after="0" w:line="210" w:lineRule="exact"/>
        <w:rPr>
          <w:rFonts w:ascii="Times New Roman" w:cs="Times New Roman" w:eastAsia="Times New Roman" w:hAnsi="Times New Roman"/>
          <w:sz w:val="16"/>
          <w:szCs w:val="16"/>
          <w:color w:val="auto"/>
        </w:rPr>
      </w:pPr>
    </w:p>
    <w:p>
      <w:pPr>
        <w:ind w:left="821" w:hanging="723"/>
        <w:spacing w:after="0"/>
        <w:tabs>
          <w:tab w:leader="none" w:pos="821"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transactions involving cross or block trades;</w:t>
      </w:r>
    </w:p>
    <w:p>
      <w:pPr>
        <w:spacing w:after="0" w:line="210" w:lineRule="exact"/>
        <w:rPr>
          <w:rFonts w:ascii="Times New Roman" w:cs="Times New Roman" w:eastAsia="Times New Roman" w:hAnsi="Times New Roman"/>
          <w:sz w:val="16"/>
          <w:szCs w:val="16"/>
          <w:color w:val="auto"/>
        </w:rPr>
      </w:pPr>
    </w:p>
    <w:p>
      <w:pPr>
        <w:ind w:left="901" w:hanging="729"/>
        <w:spacing w:after="0"/>
        <w:tabs>
          <w:tab w:leader="none" w:pos="901"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purchases by a broker-dealer as principal and resale by the broker-dealer for its account;</w:t>
      </w:r>
    </w:p>
    <w:p>
      <w:pPr>
        <w:spacing w:after="0" w:line="210" w:lineRule="exact"/>
        <w:rPr>
          <w:rFonts w:ascii="Times New Roman" w:cs="Times New Roman" w:eastAsia="Times New Roman" w:hAnsi="Times New Roman"/>
          <w:sz w:val="16"/>
          <w:szCs w:val="16"/>
          <w:color w:val="auto"/>
        </w:rPr>
      </w:pPr>
    </w:p>
    <w:p>
      <w:pPr>
        <w:ind w:left="901" w:hanging="729"/>
        <w:spacing w:after="0"/>
        <w:tabs>
          <w:tab w:leader="none" w:pos="901"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exchange distribution in accordance with the rules of the applicable exchange;</w:t>
      </w:r>
    </w:p>
    <w:p>
      <w:pPr>
        <w:spacing w:after="0" w:line="210" w:lineRule="exact"/>
        <w:rPr>
          <w:rFonts w:ascii="Times New Roman" w:cs="Times New Roman" w:eastAsia="Times New Roman" w:hAnsi="Times New Roman"/>
          <w:sz w:val="16"/>
          <w:szCs w:val="16"/>
          <w:color w:val="auto"/>
        </w:rPr>
      </w:pPr>
    </w:p>
    <w:p>
      <w:pPr>
        <w:ind w:left="901" w:hanging="729"/>
        <w:spacing w:after="0"/>
        <w:tabs>
          <w:tab w:leader="none" w:pos="901"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privately negotiated transactions;</w:t>
      </w:r>
    </w:p>
    <w:p>
      <w:pPr>
        <w:spacing w:after="0" w:line="210" w:lineRule="exact"/>
        <w:rPr>
          <w:rFonts w:ascii="Times New Roman" w:cs="Times New Roman" w:eastAsia="Times New Roman" w:hAnsi="Times New Roman"/>
          <w:sz w:val="16"/>
          <w:szCs w:val="16"/>
          <w:color w:val="auto"/>
        </w:rPr>
      </w:pPr>
    </w:p>
    <w:p>
      <w:pPr>
        <w:ind w:left="901" w:hanging="729"/>
        <w:spacing w:after="0"/>
        <w:tabs>
          <w:tab w:leader="none" w:pos="901"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 sales after the registration statement, of which this prospectus forms a part, becomes effective;</w:t>
      </w:r>
    </w:p>
    <w:p>
      <w:pPr>
        <w:spacing w:after="0" w:line="210" w:lineRule="exact"/>
        <w:rPr>
          <w:rFonts w:ascii="Times New Roman" w:cs="Times New Roman" w:eastAsia="Times New Roman" w:hAnsi="Times New Roman"/>
          <w:sz w:val="16"/>
          <w:szCs w:val="16"/>
          <w:color w:val="auto"/>
        </w:rPr>
      </w:pPr>
    </w:p>
    <w:p>
      <w:pPr>
        <w:ind w:left="901" w:hanging="729"/>
        <w:spacing w:after="0"/>
        <w:tabs>
          <w:tab w:leader="none" w:pos="901"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broker-dealers may agree with the selling stockholders to sell a specified number of such shares at a stipulated price per share;</w:t>
      </w:r>
    </w:p>
    <w:p>
      <w:pPr>
        <w:spacing w:after="0" w:line="210" w:lineRule="exact"/>
        <w:rPr>
          <w:rFonts w:ascii="Times New Roman" w:cs="Times New Roman" w:eastAsia="Times New Roman" w:hAnsi="Times New Roman"/>
          <w:sz w:val="16"/>
          <w:szCs w:val="16"/>
          <w:color w:val="auto"/>
        </w:rPr>
      </w:pPr>
    </w:p>
    <w:p>
      <w:pPr>
        <w:ind w:left="901" w:hanging="729"/>
        <w:spacing w:after="0"/>
        <w:tabs>
          <w:tab w:leader="none" w:pos="901"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market” into an existing market for the common stock;</w:t>
      </w:r>
    </w:p>
    <w:p>
      <w:pPr>
        <w:spacing w:after="0" w:line="234" w:lineRule="exact"/>
        <w:rPr>
          <w:rFonts w:ascii="Times New Roman" w:cs="Times New Roman" w:eastAsia="Times New Roman" w:hAnsi="Times New Roman"/>
          <w:sz w:val="16"/>
          <w:szCs w:val="16"/>
          <w:color w:val="auto"/>
        </w:rPr>
      </w:pPr>
    </w:p>
    <w:p>
      <w:pPr>
        <w:ind w:left="901" w:hanging="729"/>
        <w:spacing w:after="0"/>
        <w:tabs>
          <w:tab w:leader="none" w:pos="901"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the writing of options on the shares;</w:t>
      </w:r>
    </w:p>
    <w:p>
      <w:pPr>
        <w:spacing w:after="0" w:line="234" w:lineRule="exact"/>
        <w:rPr>
          <w:rFonts w:ascii="Times New Roman" w:cs="Times New Roman" w:eastAsia="Times New Roman" w:hAnsi="Times New Roman"/>
          <w:sz w:val="16"/>
          <w:szCs w:val="16"/>
          <w:color w:val="auto"/>
        </w:rPr>
      </w:pPr>
    </w:p>
    <w:p>
      <w:pPr>
        <w:ind w:left="901" w:hanging="729"/>
        <w:spacing w:after="0"/>
        <w:tabs>
          <w:tab w:leader="none" w:pos="901"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combination of any such methods of sale; and</w:t>
      </w:r>
    </w:p>
    <w:p>
      <w:pPr>
        <w:spacing w:after="0" w:line="210" w:lineRule="exact"/>
        <w:rPr>
          <w:rFonts w:ascii="Times New Roman" w:cs="Times New Roman" w:eastAsia="Times New Roman" w:hAnsi="Times New Roman"/>
          <w:sz w:val="16"/>
          <w:szCs w:val="16"/>
          <w:color w:val="auto"/>
        </w:rPr>
      </w:pPr>
    </w:p>
    <w:p>
      <w:pPr>
        <w:ind w:left="901" w:hanging="729"/>
        <w:spacing w:after="0"/>
        <w:tabs>
          <w:tab w:leader="none" w:pos="901"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permitted pursuant to applicable law.</w:t>
      </w:r>
    </w:p>
    <w:p>
      <w:pPr>
        <w:spacing w:after="0" w:line="210" w:lineRule="exact"/>
        <w:rPr>
          <w:sz w:val="20"/>
          <w:szCs w:val="20"/>
          <w:color w:val="auto"/>
        </w:rPr>
      </w:pPr>
    </w:p>
    <w:p>
      <w:pPr>
        <w:jc w:val="both"/>
        <w:ind w:left="1"/>
        <w:spacing w:after="0" w:line="276" w:lineRule="auto"/>
        <w:rPr>
          <w:sz w:val="20"/>
          <w:szCs w:val="20"/>
          <w:color w:val="auto"/>
        </w:rPr>
      </w:pPr>
      <w:r>
        <w:rPr>
          <w:rFonts w:ascii="Times New Roman" w:cs="Times New Roman" w:eastAsia="Times New Roman" w:hAnsi="Times New Roman"/>
          <w:sz w:val="16"/>
          <w:szCs w:val="16"/>
          <w:color w:val="auto"/>
        </w:rPr>
        <w:t>In order to comply with the securities laws of certain states, if applicable, the shares of each of the selling stockholders may be sold only through registered or licensed brokers or dealers. In addition, in certain states, such shares may not be sold unless they have been registered or qualified for sale in the state or an exemption from the registration or qualification requirement is available and complied with.</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63765"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480" w:right="239" w:bottom="1440" w:gutter="0" w:footer="0" w:header="0"/>
        </w:sectPr>
      </w:pPr>
    </w:p>
    <w:bookmarkStart w:id="30" w:name="page31"/>
    <w:bookmarkEnd w:id="30"/>
    <w:p>
      <w:pPr>
        <w:jc w:val="both"/>
        <w:spacing w:after="0" w:line="289" w:lineRule="auto"/>
        <w:rPr>
          <w:sz w:val="20"/>
          <w:szCs w:val="20"/>
          <w:color w:val="auto"/>
        </w:rPr>
      </w:pPr>
      <w:r>
        <w:rPr>
          <w:rFonts w:ascii="Times New Roman" w:cs="Times New Roman" w:eastAsia="Times New Roman" w:hAnsi="Times New Roman"/>
          <w:sz w:val="16"/>
          <w:szCs w:val="16"/>
          <w:color w:val="auto"/>
        </w:rPr>
        <w:t>The selling stockholders may also sell shares of common stock under Rule 144 promulgated under the Securities Act, if available, or any other exemption available under the Securities Act rather than under this prospectus. In addition, the selling stockholders may transfer the shares of common stock by other means not described in this prospectus.</w:t>
      </w:r>
    </w:p>
    <w:p>
      <w:pPr>
        <w:spacing w:after="0" w:line="3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selling stockholders may also sell the shares directly to market makers acting as principals and/or broker-dealers acting as agents for themselves or their customers. Such broker-dealers may receive compensation in the form of discounts, concessions or commissions from the selling stockholders and/or the purchasers of shares for whom such broker-dealers may act as agents or to whom they sell as principal or both, which compensation as to a particular broker-dealer might be in excess of customary commissions. Market makers and block purchasers purchasing the shares will do so for their own account and at their own risk. It is possible that a selling stockholder will attempt to sell shares of common stock in block transactions to market makers or other purchasers at a price per share which may be below the then market price. The selling stockholders cannot assure that all or any of the shares offered in this prospectus will be issued to, or sold by, such selling stockholder.</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Brokers, dealers, underwriters, or agents participating in the distribution of the shares held by the selling stockholders as agents may receive compensation in the form of commissions, discounts, or concessions from the selling stockholders and/or purchasers of the common stock for whom the broker-dealers may act as agent. The selling stockholders may agree to indemnify any agent, dealer or broker-dealer that participates in transactions involving sales of the shares if liabilities are imposed on that person under the Securities Act.</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Each of the selling stockholders acquired the securities offered hereby in the ordinary course of business and has advised us that they have not entered into any agreements, understandings or arrangements with any underwriters or broker-dealers regarding the sale of their shares of common stock, nor is there an underwriter or coordinating broker acting in connection with a proposed sale of shares of common stock by any selling stockholder. If we are notified by any selling stockholder that any material arrangement has been entered into with a broker-dealer for the sale of shares of common stock, if required, we will file a supplement to this prospectus.</w:t>
      </w:r>
    </w:p>
    <w:p>
      <w:pPr>
        <w:spacing w:after="0" w:line="15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We may suspend the sale of shares by the selling stockholders pursuant to this prospectus for certain periods of time for certain reasons, including if the prospectus is required to be supplemented or amended to include additional material information.</w:t>
      </w:r>
    </w:p>
    <w:p>
      <w:pPr>
        <w:spacing w:after="0" w:line="13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If any of the selling stockholders use this prospectus for any sale of the shares of common stock, such selling stockholder will be subject to the prospectus delivery requirements of the Securities Act.</w:t>
      </w:r>
    </w:p>
    <w:p>
      <w:pPr>
        <w:spacing w:after="0" w:line="1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Regulation M</w:t>
      </w:r>
    </w:p>
    <w:p>
      <w:pPr>
        <w:spacing w:after="0" w:line="21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anti-manipulation rules of Regulation M under the Exchange Act of 1934, as amended (the “Exchange Act”) may apply to sales of our common stock and activities of the selling stockholder.</w:t>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We have advised the selling stockholders that while it is engaged in a distribution of the shares included in this prospectus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SECURITIES</w:t>
      </w:r>
    </w:p>
    <w:p>
      <w:pPr>
        <w:spacing w:after="0" w:line="2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214" w:lineRule="exact"/>
        <w:rPr>
          <w:sz w:val="20"/>
          <w:szCs w:val="20"/>
          <w:color w:val="auto"/>
        </w:rPr>
      </w:pPr>
    </w:p>
    <w:p>
      <w:pPr>
        <w:jc w:val="both"/>
        <w:ind w:left="1"/>
        <w:spacing w:after="0" w:line="296" w:lineRule="auto"/>
        <w:rPr>
          <w:sz w:val="20"/>
          <w:szCs w:val="20"/>
          <w:color w:val="auto"/>
        </w:rPr>
      </w:pPr>
      <w:r>
        <w:rPr>
          <w:rFonts w:ascii="Times New Roman" w:cs="Times New Roman" w:eastAsia="Times New Roman" w:hAnsi="Times New Roman"/>
          <w:sz w:val="16"/>
          <w:szCs w:val="16"/>
          <w:color w:val="auto"/>
        </w:rPr>
        <w:t>At the date hereof, we are authorized by our certificate of incorporation to issue an aggregate of 500,000,000 shares of common stock, par value $0.001 per share and 5,000,000 shares as blank check preferred shares, no par value.</w:t>
      </w:r>
    </w:p>
    <w:p>
      <w:pPr>
        <w:spacing w:after="0" w:line="16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This prospectus contains only a summary of the common stock the selling stockholders are offering</w:t>
      </w:r>
    </w:p>
    <w:p>
      <w:pPr>
        <w:spacing w:after="0" w:line="210" w:lineRule="exact"/>
        <w:rPr>
          <w:sz w:val="20"/>
          <w:szCs w:val="20"/>
          <w:color w:val="auto"/>
        </w:rPr>
      </w:pPr>
    </w:p>
    <w:p>
      <w:pPr>
        <w:jc w:val="both"/>
        <w:ind w:left="1"/>
        <w:spacing w:after="0" w:line="270" w:lineRule="auto"/>
        <w:rPr>
          <w:sz w:val="20"/>
          <w:szCs w:val="20"/>
          <w:color w:val="auto"/>
        </w:rPr>
      </w:pPr>
      <w:r>
        <w:rPr>
          <w:rFonts w:ascii="Times New Roman" w:cs="Times New Roman" w:eastAsia="Times New Roman" w:hAnsi="Times New Roman"/>
          <w:sz w:val="16"/>
          <w:szCs w:val="16"/>
          <w:color w:val="auto"/>
        </w:rPr>
        <w:t>The following summary of the terms of our common stock and preferred stock, respectively, may not be complete and is subject to, and qualified in its entirety by reference to, the terms and provisions of our amended and restated certificate of incorporation and our amended and restated bylaws. You should refer to, and read this summary together with, our amended and restated certificate of incorporation and amended and restated bylaws to review all of the terms of our common stock and preferred stock, respectively, that may be important to you.</w:t>
      </w:r>
    </w:p>
    <w:p>
      <w:pPr>
        <w:spacing w:after="0" w:line="17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214" w:lineRule="exact"/>
        <w:rPr>
          <w:sz w:val="20"/>
          <w:szCs w:val="20"/>
          <w:color w:val="auto"/>
        </w:rPr>
      </w:pPr>
    </w:p>
    <w:p>
      <w:pPr>
        <w:jc w:val="both"/>
        <w:ind w:left="1"/>
        <w:spacing w:after="0" w:line="270" w:lineRule="auto"/>
        <w:rPr>
          <w:sz w:val="20"/>
          <w:szCs w:val="20"/>
          <w:color w:val="auto"/>
        </w:rPr>
      </w:pPr>
      <w:r>
        <w:rPr>
          <w:rFonts w:ascii="Times New Roman" w:cs="Times New Roman" w:eastAsia="Times New Roman" w:hAnsi="Times New Roman"/>
          <w:sz w:val="16"/>
          <w:szCs w:val="16"/>
          <w:color w:val="auto"/>
        </w:rPr>
        <w:t>Holders of our common stock are entitled to one vote for each share held of record on each matter submitted to a vote of stockholders. In this event, the holders of the remaining shares of common stock would not be able to elect any directors. Except as otherwise required by Nevada law, and subject to the rights of the holders of preferred stock, if any, all stockholder action is taken by the vote of a majority of the outstanding shares of common stock voting as a single class present at a meeting of stockholders at which a quorum consisting of one-third of the outstanding shares of common stock is present in person or proxy.</w:t>
      </w:r>
    </w:p>
    <w:p>
      <w:pPr>
        <w:spacing w:after="0" w:line="157" w:lineRule="exact"/>
        <w:rPr>
          <w:sz w:val="20"/>
          <w:szCs w:val="20"/>
          <w:color w:val="auto"/>
        </w:rPr>
      </w:pPr>
    </w:p>
    <w:p>
      <w:pPr>
        <w:jc w:val="both"/>
        <w:ind w:left="1"/>
        <w:spacing w:after="0" w:line="276" w:lineRule="auto"/>
        <w:rPr>
          <w:sz w:val="20"/>
          <w:szCs w:val="20"/>
          <w:color w:val="auto"/>
        </w:rPr>
      </w:pPr>
      <w:r>
        <w:rPr>
          <w:rFonts w:ascii="Times New Roman" w:cs="Times New Roman" w:eastAsia="Times New Roman" w:hAnsi="Times New Roman"/>
          <w:sz w:val="16"/>
          <w:szCs w:val="16"/>
          <w:color w:val="auto"/>
        </w:rPr>
        <w:t>Subject to the prior rights of any class or series of preferred stock which may from time to time be outstanding, if any, holders of our common stock are entitled to receive ratably, dividends when, as, and if declared by our board of directors out of funds legally available for that purpose and, upon our liquidation, dissolution, or winding up, are entitled to share ratably in all assets remaining after payment of liabilities and payment of accrued dividends and liquidation preferences on the preferred stock,</w:t>
      </w:r>
    </w:p>
    <w:p>
      <w:pPr>
        <w:spacing w:after="0" w:line="17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Anti-Takeover Provisions</w:t>
      </w:r>
    </w:p>
    <w:p>
      <w:pPr>
        <w:spacing w:after="0" w:line="239" w:lineRule="exact"/>
        <w:rPr>
          <w:sz w:val="20"/>
          <w:szCs w:val="20"/>
          <w:color w:val="auto"/>
        </w:rPr>
      </w:pPr>
    </w:p>
    <w:p>
      <w:pPr>
        <w:jc w:val="both"/>
        <w:ind w:left="1"/>
        <w:spacing w:after="0" w:line="296" w:lineRule="auto"/>
        <w:rPr>
          <w:sz w:val="20"/>
          <w:szCs w:val="20"/>
          <w:color w:val="auto"/>
        </w:rPr>
      </w:pPr>
      <w:r>
        <w:rPr>
          <w:rFonts w:ascii="Times New Roman" w:cs="Times New Roman" w:eastAsia="Times New Roman" w:hAnsi="Times New Roman"/>
          <w:sz w:val="16"/>
          <w:szCs w:val="16"/>
          <w:color w:val="auto"/>
        </w:rPr>
        <w:t>The provisions of Nevada law and our bylaws may have the effect of delaying, deferring or preventing another party from acquiring control of the company. These provisions may discourage and prevent coercive takeover practices and inadequate takeover bids.</w:t>
      </w:r>
    </w:p>
    <w:p>
      <w:pPr>
        <w:spacing w:after="0" w:line="16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Nevada Law</w:t>
      </w:r>
    </w:p>
    <w:p>
      <w:pPr>
        <w:spacing w:after="0" w:line="235" w:lineRule="exact"/>
        <w:rPr>
          <w:sz w:val="20"/>
          <w:szCs w:val="20"/>
          <w:color w:val="auto"/>
        </w:rPr>
      </w:pPr>
    </w:p>
    <w:p>
      <w:pPr>
        <w:jc w:val="both"/>
        <w:ind w:left="1"/>
        <w:spacing w:after="0" w:line="266" w:lineRule="auto"/>
        <w:rPr>
          <w:sz w:val="20"/>
          <w:szCs w:val="20"/>
          <w:color w:val="auto"/>
        </w:rPr>
      </w:pPr>
      <w:r>
        <w:rPr>
          <w:rFonts w:ascii="Times New Roman" w:cs="Times New Roman" w:eastAsia="Times New Roman" w:hAnsi="Times New Roman"/>
          <w:sz w:val="16"/>
          <w:szCs w:val="16"/>
          <w:color w:val="auto"/>
        </w:rPr>
        <w:t>Nevada law contains a provision governing “acquisition of controlling interest.” This law provides generally that any person or entity that acquires 20% or more of the outstanding voting shares of a publicly-held Nevada corporation in the secondary public or private market may be denied voting rights with respect to the acquired shares, unless a majority of the disinterested shareholders of the corporation elects to restore such voting rights in whole or in part. The control share acquisition act provides that a person or entity acquires “control shares” whenever it acquires shares that, but for the operation of the control share acquisition act, would bring its voting power within any of the following three ranges: 20 to 33-1/3%; 33-1/3 to 50%; or more than 50%.</w:t>
      </w:r>
    </w:p>
    <w:p>
      <w:pPr>
        <w:spacing w:after="0" w:line="188" w:lineRule="exact"/>
        <w:rPr>
          <w:sz w:val="20"/>
          <w:szCs w:val="20"/>
          <w:color w:val="auto"/>
        </w:rPr>
      </w:pPr>
    </w:p>
    <w:p>
      <w:pPr>
        <w:jc w:val="both"/>
        <w:ind w:left="1"/>
        <w:spacing w:after="0" w:line="270" w:lineRule="auto"/>
        <w:rPr>
          <w:sz w:val="20"/>
          <w:szCs w:val="20"/>
          <w:color w:val="auto"/>
        </w:rPr>
      </w:pPr>
      <w:r>
        <w:rPr>
          <w:rFonts w:ascii="Times New Roman" w:cs="Times New Roman" w:eastAsia="Times New Roman" w:hAnsi="Times New Roman"/>
          <w:sz w:val="16"/>
          <w:szCs w:val="16"/>
          <w:color w:val="auto"/>
        </w:rPr>
        <w:t>A “control share acquisition” is generally defined as the direct or indirect acquisition of either ownership or voting power associated with issued and outstanding control shares. The shareholders or Board of Directors of a corporation may elect to exempt the stock of the corporation from the provisions of the control share acquisition act through adoption of a provision to that effect in the articles of incorporation or bylaws of the corporation. Our articles of incorporation and bylaws do not exempt our common stock from the control share acquisition act.</w:t>
      </w:r>
    </w:p>
    <w:p>
      <w:pPr>
        <w:spacing w:after="0" w:line="18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control share acquisition act is applicable only to shares of “Issuing Corporations” as defined by the Nevada law. An Issuing Corporation is a Nevada corporation which</w:t>
      </w:r>
    </w:p>
    <w:p>
      <w:pPr>
        <w:spacing w:after="0" w:line="30" w:lineRule="exact"/>
        <w:rPr>
          <w:sz w:val="20"/>
          <w:szCs w:val="20"/>
          <w:color w:val="auto"/>
        </w:rPr>
      </w:pPr>
    </w:p>
    <w:p>
      <w:pPr>
        <w:ind w:left="1" w:hanging="1"/>
        <w:spacing w:after="0" w:line="274" w:lineRule="auto"/>
        <w:tabs>
          <w:tab w:leader="none" w:pos="20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200 or more shareholders, with at least 100 of such shareholders being both shareholders of record and residents of Nevada, and (ii) does business in Nevada directly or through an affiliated corporation.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63765"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476" w:right="239" w:bottom="1440" w:gutter="0" w:footer="0" w:header="0"/>
        </w:sectPr>
      </w:pPr>
    </w:p>
    <w:bookmarkStart w:id="32" w:name="page33"/>
    <w:bookmarkEnd w:id="32"/>
    <w:p>
      <w:pPr>
        <w:jc w:val="both"/>
        <w:spacing w:after="0" w:line="270" w:lineRule="auto"/>
        <w:rPr>
          <w:sz w:val="20"/>
          <w:szCs w:val="20"/>
          <w:color w:val="auto"/>
        </w:rPr>
      </w:pPr>
      <w:r>
        <w:rPr>
          <w:rFonts w:ascii="Times New Roman" w:cs="Times New Roman" w:eastAsia="Times New Roman" w:hAnsi="Times New Roman"/>
          <w:sz w:val="16"/>
          <w:szCs w:val="16"/>
          <w:color w:val="auto"/>
        </w:rPr>
        <w:t>At this time, we do not believe we have 100 shareholders of record resident of Nevada and we do not conduct business in Nevada directly. Therefore, the provisions of the control share acquisition act are believed not to apply to acquisitions of our shares and will not until such time as these requirements have been met. At such time as they may apply, the provisions of the control share acquisition act may discourage companies or persons interested in acquiring a significant interest in or control of us, regardless of whether such acquisition may be in the interest of our shareholders.</w:t>
      </w:r>
    </w:p>
    <w:p>
      <w:pPr>
        <w:spacing w:after="0" w:line="1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Nevada “Combination with Interested Stockholders Statute” may also have an effect of delaying or making it more difficult to effect a change in control of us. This statute prevents an “interested stockholder” and a resident domestic Nevada corporation from entering into a “combination,” unless certain conditions are met. The statute defines “combination” to include any merger or consolidation with an “interested stockholder,” or any sale, lease, exchange, mortgage, pledge, transfer or other disposition, in one transaction or a series of transactions with an “interested stockholder” having (i) an aggregate market value equal to 5% or more of the aggregate market value of the assets of the corporation, (ii) an aggregate market value equal to 5% or more of the aggregate market value of all outstanding shares of the corporation, or (iii) representing 10% or more of the earning power or net income of the corporation.</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An “interested stockholder” means the beneficial owner of 10% or more of the voting shares of a resident domestic corporation, or an affiliate or associate thereof. A corporation affected by the statute may not engage in a “combination” within three years after the interested stockholder acquires its shares unless the combination or purchase is approved by the Board of Directors before the interested stockholder acquired such shares. If approval is not obtained, then after the expiration of the three-year period, the business combination may be consummated with the approval of the Board of Directors or a majority of the voting power held by disinterested stockholders, or if the consideration to be paid by the interested stockholder is at least equal to the highest of (i) the highest price per share paid by the interested stockholder within the three years immediately preceding the date of the announcement of the combination or in the transaction in which he became an interested stockholder, whichever is higher, (ii) the market value per common share on the date of announcement of the combination or the date the interested stockholder acquired the shares, whichever is higher, or (iii) if higher for the holders of preferred stock, the highest liquidation value of the preferred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Articles of Incorporation and Bylaws</w:t>
      </w:r>
    </w:p>
    <w:p>
      <w:pPr>
        <w:spacing w:after="0" w:line="2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Our articles of incorporation are silent as to cumulative voting rights in the election of our directors. Nevada law requires the existence of cumulative voting rights to be provided for by a corporation's articles of incorporation. In the event that a few stockholders end up owning a significant portion of our issued and outstanding common stock, the lack of cumulative voting would make it more difficult for other stockholders to replace our Board of Directors or for a third party to obtain control of us by replacing our Board of Directors. Our articles of incorporation and bylaws do not contain any explicit provisions that would have an effect of delaying, deferring or preventing a change in control of us.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Transfer Agent and Registrar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transfer agent and registrar for our common stock is Island Stock Transfer, 1550 Roosevelt Blvd Suite 301, Clearwater, FL 33760.</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Listing</w:t>
      </w:r>
    </w:p>
    <w:p>
      <w:pPr>
        <w:spacing w:after="0" w:line="21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shares of our common stock are quoted on the OTCQB under the symbol TPIV.OB. On June 16, 2015, the last reported sale price per share for our common stock on the OTCQB as reported was $0.91.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6"/>
          <w:szCs w:val="16"/>
          <w:b w:val="1"/>
          <w:bCs w:val="1"/>
          <w:color w:val="auto"/>
        </w:rPr>
        <w:t>BUSINESS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Cancer Vaccines</w:t>
      </w:r>
    </w:p>
    <w:p>
      <w:pPr>
        <w:spacing w:after="0" w:line="2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TapImmune is a biotechnology Company focusing on immunotherapy specializing in the development of innovative peptide and gene-based immunotherapeutics and vaccines for the treatment of cancer and infectious disease. The Company combines a set of proprietary technologies to improve the ability of the cellular immune system to destroy diseased cells. These are peptide antigen technologies and DNA expression technologies, Polystart™ and TAP.</w:t>
      </w:r>
    </w:p>
    <w:p>
      <w:pPr>
        <w:spacing w:after="0" w:line="15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To enhance shareholder value and taking into account development timelines, the Company plans to focus on advancing its clinical programs including our HER2/neu peptide antigen program and our Folate Alpha breast and ovarian trials into Phase II. In parallel, we plan to complete the preclinical development of our Polystart™ technology and to continue to develop the TAP-based franchise as an integral component of our prime-and-boost vaccine methodology.</w:t>
      </w:r>
    </w:p>
    <w:p>
      <w:pPr>
        <w:spacing w:after="0" w:line="1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Unlike other vaccine technologies that narrowly address the initiation of an immune response, TapImmune's ("Prime" and "Boost") approach broadly stimulates the cellular immune system by enhancing the function of killer T-cells and helper T-cells. Our peptide immunotherapeutic approach may be coupled with our recently developed in-house Polystart™ nucleic acid-based technology designed to enhance T-cell antigen presentation on the surface of appropriate populations of presenting cells. 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Moreover, our versatile Polystart™ technology is designed to express either Class I killer or Class II helper T-cell antigenic epitopes. Our nucleic acid-based systems can also incorporate “TAP” which stands for Transporter associated with Antigen Presentation.</w:t>
      </w:r>
    </w:p>
    <w:p>
      <w:pPr>
        <w:spacing w:after="0" w:line="16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are currently focusing on the clinical development and testing of our product candidates. In this regard, we have two Phase I studies being concluded at the Mayo Clinic (Rochester, MN) which are designed to evaluate the safety and immune response(s) of a set of proprietary HER2/neu antigens for a HER2/neu breast cancer vaccine and Folate Receptor Alpha for triple negative breast and ovarian cancer respectively. TapImmune has the exclusive option to license each of these technologies upon the completion of each Phase I. In addition, we plan to initiate Phase II studies in 2015. The first of which will likely include the novel folate alpha antigens in a Phase II study, providing a vaccine for triple negative breast cancer that can stimulate a T-cell response. The unmet demand for a promising therapeutic in this indication, we believe, will allow us to proceed with an orphan drug and FDA fast track applications pending discussion and approval from the FDA. The second Phase II trial is expected to include our HER2/neu epitopes and will likely focus on Her2 positive breast cancer. Interim data from both phase I trials has provided the technical rational for progressing these programs to phase II trials.</w:t>
      </w:r>
    </w:p>
    <w:p>
      <w:pPr>
        <w:spacing w:after="0" w:line="36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Company plans to incorporate the pre-clinical development of Polystart™ as a boost strategy for HER2/neu breast cancer, colorectal cancer, ovarian cancer and triple negative breast cancer.</w:t>
      </w:r>
    </w:p>
    <w:p>
      <w:pPr>
        <w:spacing w:after="0" w:line="1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current standard therapies for cancer treatment include surgery, radiation therapy and chemotherapy. However, we believe that these treatments are not precise in targeting only cancerous cells and often fail to remove or destroy all of the cancer. The remaining cancer cells may then grow into new tumors, which can be resistant to further chemotherapy or radiation, which may result in death. In the United States, deaths from cancer are second only to cardiovascular deaths. Our candidate breast cancer, colorectal cancer and ovarian cancer immunotherapeutic vaccines are being developed for use in this setting as an adjuvant treatment to prevent recurrent disease.</w:t>
      </w:r>
    </w:p>
    <w:p>
      <w:pPr>
        <w:spacing w:after="0" w:line="15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Management strongly believes that the comprehensive scientific underpinnings of our overall approach, to elicit the production of both helper T- cells and killer T- cells, will provide the Company with highly competitive product candidates for the treatment of HER2/neu positive breast cancer, colorectal cancer, ovarian cancer and triple negative breast cancer.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Infectious Disease Program</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Regarding our programs for the development of vaccines aimed at viral pandemics/biodefense, our collaborations with the Mayo Clinic progressed to a point where the immunogenicity of novel smallpox antigens in mice treated with both antigens and TAP expression vectors was shown to be encouraging. However, due the resources required to complete primate studies and the focusing of our current resources in the oncology field, we have decided not to dedicate resources to develop a smallpox product. We plan to pursue non-dilutive grant funding for these programs in collaboration with other interested vaccine developers and strategic corporate partnerships. The use of non-dilutive grant funding to progress this area allows the Company to focus the majority of its internal resources on HER2/neu breast, ovarian and triple negative cancers.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facilities at 1551 Eastlake Avenue, Seattle have exceeded our expectations and allowed us to continue to recruit top-class scientific staff while at the same time effectively leverage world-class resources made available to us and manage our cash flow. Our technical staff has proven experience and relevant expertise in the areas of molecular biology, cellular biology and immunology/oncology. Our small core team has allowed us to establish in-house technical expertise in molecular biology (expression vector development) and immunology to underpin our current and future development projects, and to optimally work with external collaborators/oncologists. It has also allowed us to make significant progress in the refinement and focus of clinical programs to take advantage of new antigens, the emerging field of vaccinomics and vaccine development strategies. In addition, it has allowed us to start generating new intellectual property (IP), adding to our core TAP IP and antigen specific IP from the Mayo Clinic for which we have either licensed outright or have exclusive options to license.</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Over the past two quarters, we have, in a challenging financing climate, raised working capital to fund and progress our operations and significantly restructured our balance sheet and capital structure. We believe that we continue to make good progress with the resources available to us. With the start of clinical programs and our focus on securing financing from a number of sources, management is confident that our current pathway will secure longer term capital to finance and accelerate our activities. The strength of our science and development approaches is becoming more widely appreciated, particularly as our clinical program generates data and as we embrace additional collaborations with leading institutions and corporations.</w:t>
      </w:r>
    </w:p>
    <w:p>
      <w:pPr>
        <w:spacing w:after="0" w:line="16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While the pathway to successful product development takes time and significant resources, we believe that we have put in place the technical and corporate fundamentals for success. The strength of our product pipeline gives us a unique opportunity to make a major contribution to global health care.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 History</w:t>
      </w:r>
    </w:p>
    <w:p>
      <w:pPr>
        <w:spacing w:after="0" w:line="21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We currently trade on the OTC Bulletin Board (“OTCQB”) under the symbol “TPIV” and on the Frankfurt and Berlin Stock Exchanges under the symbol “GX1A.” The listing on the Berlin Stock Exchange was done without the Company’s knowledge and consent.</w:t>
      </w:r>
    </w:p>
    <w:p>
      <w:pPr>
        <w:spacing w:after="0" w:line="13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We were incorporated under the laws of the State of Nevada in 1991. We have one wholly owned subsidiary named GeneMax Pharmaceuticals Inc. (“GeneMax Pharmaceuticals”).</w:t>
      </w:r>
    </w:p>
    <w:p>
      <w:pPr>
        <w:spacing w:after="0" w:line="13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On July 23, 2014, the US Securities and Exchange Commission declared our registration statement on Form S-1, as amended, effective. We conducted the following three placements under that registration statement:</w:t>
      </w:r>
    </w:p>
    <w:p>
      <w:pPr>
        <w:spacing w:after="0" w:line="162" w:lineRule="exact"/>
        <w:rPr>
          <w:sz w:val="20"/>
          <w:szCs w:val="20"/>
          <w:color w:val="auto"/>
        </w:rPr>
      </w:pPr>
    </w:p>
    <w:p>
      <w:pPr>
        <w:jc w:val="both"/>
        <w:ind w:left="480" w:hanging="102"/>
        <w:spacing w:after="0" w:line="296" w:lineRule="auto"/>
        <w:rPr>
          <w:sz w:val="20"/>
          <w:szCs w:val="20"/>
          <w:color w:val="auto"/>
        </w:rPr>
      </w:pPr>
      <w:r>
        <w:rPr>
          <w:rFonts w:ascii="Times New Roman" w:cs="Times New Roman" w:eastAsia="Times New Roman" w:hAnsi="Times New Roman"/>
          <w:sz w:val="16"/>
          <w:szCs w:val="16"/>
          <w:color w:val="auto"/>
        </w:rPr>
        <w:t>●the sale of 1,886,792 units in exchange for $2,00,000, with each unit consisting of one share of common stock and a warrant to purchase a share of common stock at an exercise price of $1.06;</w:t>
      </w:r>
    </w:p>
    <w:p>
      <w:pPr>
        <w:spacing w:after="0" w:line="162" w:lineRule="exact"/>
        <w:rPr>
          <w:sz w:val="20"/>
          <w:szCs w:val="20"/>
          <w:color w:val="auto"/>
        </w:rPr>
      </w:pPr>
    </w:p>
    <w:p>
      <w:pPr>
        <w:jc w:val="right"/>
        <w:ind w:left="380"/>
        <w:spacing w:after="0" w:line="264" w:lineRule="auto"/>
        <w:rPr>
          <w:sz w:val="20"/>
          <w:szCs w:val="20"/>
          <w:color w:val="auto"/>
        </w:rPr>
      </w:pPr>
      <w:r>
        <w:rPr>
          <w:rFonts w:ascii="Times New Roman" w:cs="Times New Roman" w:eastAsia="Times New Roman" w:hAnsi="Times New Roman"/>
          <w:sz w:val="16"/>
          <w:szCs w:val="16"/>
          <w:color w:val="auto"/>
        </w:rPr>
        <w:t>●the sale of 7,320,000 units in exchange for $1,464,000, with each unit consisting, after taking into account Restructuring Agreements entered into among us and each of the purchasers in such offering, (i) a Series A Warrant to purchase a share of common stock at an exercise price of $0.10, (ii) two Series B Warrants, each  to purchase a share of common stock at an exercise price of $0.20, (iii) two Series C Warrants, each to purchase a share of common stock at an exercise price of $0.50,</w:t>
      </w:r>
    </w:p>
    <w:p>
      <w:pPr>
        <w:spacing w:after="0" w:line="1" w:lineRule="exact"/>
        <w:rPr>
          <w:sz w:val="20"/>
          <w:szCs w:val="20"/>
          <w:color w:val="auto"/>
        </w:rPr>
      </w:pPr>
    </w:p>
    <w:p>
      <w:pPr>
        <w:ind w:left="480" w:hanging="1"/>
        <w:spacing w:after="0" w:line="274" w:lineRule="auto"/>
        <w:tabs>
          <w:tab w:leader="none" w:pos="77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Series D Warrant to purchase a share of common stock at an exercise price of $0.75 and (v) a Series E Warrant to purchase a share of common stock at an exercise price of $1.25; and</w:t>
      </w:r>
    </w:p>
    <w:p>
      <w:pPr>
        <w:spacing w:after="0" w:line="154" w:lineRule="exact"/>
        <w:rPr>
          <w:sz w:val="20"/>
          <w:szCs w:val="20"/>
          <w:color w:val="auto"/>
        </w:rPr>
      </w:pPr>
    </w:p>
    <w:p>
      <w:pPr>
        <w:jc w:val="both"/>
        <w:ind w:left="480" w:hanging="102"/>
        <w:spacing w:after="0" w:line="266" w:lineRule="auto"/>
        <w:rPr>
          <w:sz w:val="20"/>
          <w:szCs w:val="20"/>
          <w:color w:val="auto"/>
        </w:rPr>
      </w:pPr>
      <w:r>
        <w:rPr>
          <w:rFonts w:ascii="Times New Roman" w:cs="Times New Roman" w:eastAsia="Times New Roman" w:hAnsi="Times New Roman"/>
          <w:sz w:val="16"/>
          <w:szCs w:val="16"/>
          <w:color w:val="auto"/>
        </w:rPr>
        <w:t>●the sale of 5,000,000 units in exchange for $1,000,000, with each unit consisting, after taking into account a Restructuring Agreement, as amended, entered into between us and the purchaser in such offering, (i) a Series A-1 Warrant to purchase a share of common stock at an exercise price of $0.10, (ii) two Series B-1 Warrants, each to purchase a share of common stock at an exercise price of $0.20, (iii) two Series C-1 Warrants, each to purchase a share of common stock at an exercise price of $0.50, (iv) a Series D-1 Warrant to purchase a share of common stock at an exercise price of $0.75 and (v) a Series E-1 Warrant to purchase a share of common stock at an exercise price of $1.25.</w:t>
      </w:r>
    </w:p>
    <w:p>
      <w:pPr>
        <w:spacing w:after="0" w:line="18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shares underlying the warrants sold in each of those placements as well the shares sold in the March 2015 placement are being registered with the US Securities and Exchange Commission pursuant to a registration statement of which this prospectus forms a part.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Immunotherapy Industry for Cancer</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Management believes that there is a critical need for more effective cancer therapies. Given the massive unmet need in the treatment of metastatic cancer combined with our process for harnessing the body’s own immune system to treat certain cancers, we believe that we are positioned to be a leading contributor to solving this problem. The immuno-oncology landscape includes the use of monoclonal antibodies, adoptive T-cell therapies, checkpoint inhibitors and in vivo T-cell vaccines. We believe that our use of peptide antigens that can stimulate both T-killer cells and T-helper cells together with the use of our PolyStart™ expression vector as a “boost” strategy can give us a competitive edge in the in vivo T-cell vaccine sector.</w:t>
      </w:r>
    </w:p>
    <w:p>
      <w:pPr>
        <w:spacing w:after="0" w:line="1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In addition, we continue to pursue the development of an approach which can allow the cellular immune system to make tumor cells more visible to the immune system. Many cancers are not very “immunogenic”, however, meaning that the cancers are not able to induce an immune response because they no longer express sufficient levels of key proteins on their cell surface, known as Major Histocompatability Class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spacing w:after="0" w:line="18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In many solid cancer tumors, the TAP protein system does not function and, therefore, the immune system is not stimulated to attack the cancer. Management believes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5" w:name="page36"/>
    <w:bookmarkEnd w:id="35"/>
    <w:p>
      <w:pPr>
        <w:jc w:val="both"/>
        <w:spacing w:after="0" w:line="270" w:lineRule="auto"/>
        <w:rPr>
          <w:sz w:val="20"/>
          <w:szCs w:val="20"/>
          <w:color w:val="auto"/>
        </w:rPr>
      </w:pPr>
      <w:r>
        <w:rPr>
          <w:rFonts w:ascii="Times New Roman" w:cs="Times New Roman" w:eastAsia="Times New Roman" w:hAnsi="Times New Roman"/>
          <w:sz w:val="16"/>
          <w:szCs w:val="16"/>
          <w:color w:val="auto"/>
        </w:rPr>
        <w:t>By restoring TAP expression to TAP-deficient cells, the MHC Class I protein peptide complexes could signal the immune system to attack the cancer. A strategic vision of TapImmune is to restore the TAP function within cancerous cells, thus making them immunogenic, or more “visible” to cancer fighting immune cells. Management believes that with further development and improvement of selectivity, this cancer vaccine strategy could provide a commercially viable therapeutic approach that addresses this problem of “non-immunogenicity” of cancer.</w:t>
      </w:r>
    </w:p>
    <w:p>
      <w:pPr>
        <w:spacing w:after="0" w:line="15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In addition to our focus on the cancer vaccines, with adequate funding, we will also pursue the development of prophylactic vaccines against infectious microbes by partnering with other vaccine developers in the infectious disease market.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TapImmune’s Target Market and Strategy</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We will focus our product development in oncology, both, alone and with corporate partners and/or collaborators including the Mayo Clinic for HER2/neu positive Breast Cancer, Folate Alpha Ovarian and Breast Cancer.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The goal of TapImmune management is to ultimately have the FDA approve our cancer vaccines so that we can secure a portion of this market.</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Management also believes that our Polystart™ expression vector approach will provide a flexible and unique platform for the creation of new vaccines that can rapidly respond to emerging viral threats/bioterrorism in addition to enhancing the efficacy of current vaccines in the treatment of infectious disease. If successful, this platform technology would be a significant advance in vaccine development and it will be a key business development strategy to pursue additional partnerships and joint research and/or development ventures with vaccine manufacturers and pharmaceutical companies to bring new and improved vaccines to market. In addition to a broad range of oncological treatments, this strategy includes the development of vaccines for pandemic diseases and for bioterrorism threats. Management believes that our adjuvant will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16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Our business strategy in cancer is to take products through Phase II clinical trials and then partner with pharmaceutical marketing organizations ahead of Phase III trials. In the infectious disease/biodefense area our business strategy is to seek joint research and development partnerships on our infectious disease platform with companies seeking to expand their product portfolios.</w:t>
      </w:r>
    </w:p>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global market for infectious disease based vaccines is dominated by five companies—Merck, GlaxoSmithKline, Sanofi Pasteur (the vaccines division of Sanofi SA), Pfizer Inc. and Novartis—with Pfizer, GlaxoSmithKline, Sanofi, and Novartis collectively accounting for approximately 74% of the market (Source: Transparency Market Research’s Global Vaccine Market Analysis and Forecast 2011-2016). This market is estimated at roughly $30 billion worldwide, with the U.S. contributing approximately $20 billion. Importantly, there still exist significant development opportunities in the global vaccine market, as there are more than 300 infectious diseases yet effective prophylactic therapies for only approximately 15% of these (Source: The Life Sciences Report’s “Vaccine Therapies Hold Promise for Investors: Stephen Dunn,” April 12, 2012). Management believes that ultimately our combined technology Platform(s) will have the potential to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 Efforts</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direct our research and development efforts towards the advancement of immunotherapeutic and prophylactic vaccine products for the treatment of cancer and protection against pathogenic microbes respectively, using our combined proprietary technologies, (1) relevant killer plus helper T-cell peptide antigens, (2) Polystart™ nucleic acid-based expression system(s), and (3) TAP. We have focused our efforts initially on the development of a therapeutic vaccine for applications in cancer treatment, while concomitantly demonstrating the breadth of our combined technology platform for the development of prophylactic vaccines. Our product development efforts are opportunistically designed to consider combinations with approved and emerging products in both cancer therapeutics and prophylactic vaccines against microbes. This approach allows us to pursue our own internal product development while positioning us to enter into multiple partnerships and licensing agreements. We have made significant progress in the development of a nucleic acid-based</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6"/>
          <w:szCs w:val="16"/>
          <w:color w:val="auto"/>
        </w:rPr>
        <w:t>(Co-linear Polystart™) technology which directs the enhanced synthesis of a linear peptide antigen array comprising multiple proprietary T-cell epitopes (CD4 and CD8). In addition, the technology also directs the synthesis of the protein TAP1 associated with the transport of MHC Class I epitopes to the surface of cells. The expression or functioning of this protein is often lowered in tumor cells or virally infected cells and its replacement can enhance antigen presentation. Recent work on this novel expression vector platform has demonstrated that T-cells recognize cell surface presented T-cell peptide epitopes confirming that multiple individual peptides are effectively and functional processed from a linear peptide antigen array and that this leads to peptide specific T-cell killing.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Products and Technology in Development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Clinical</w:t>
      </w:r>
    </w:p>
    <w:p>
      <w:pPr>
        <w:spacing w:after="0" w:line="2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For perspective, the Company notes that clinical trials to support new drug applications are typically conducted in three sequential phases, although the phases may overlap. During Phase I there is an initial introduction of the therapeutic candidate into healthy human subjects or patients. For an immunotherapeutic/vaccine in particular, Phase I studies are generally conducted in cancer patients that have previously received one or another current standard of care and include the measurement of cellular immune responses. Phase II usually involves studies in a more focused patient population in order to carefully assess clinical activity of the drug in specific targeted indications, dosage tolerance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dose escalation) and optimal dosage, while continuing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Phase I Human Clinical Trials – </w:t>
      </w:r>
      <w:r>
        <w:rPr>
          <w:rFonts w:ascii="Times New Roman" w:cs="Times New Roman" w:eastAsia="Times New Roman" w:hAnsi="Times New Roman"/>
          <w:sz w:val="16"/>
          <w:szCs w:val="16"/>
          <w:b w:val="1"/>
          <w:bCs w:val="1"/>
          <w:color w:val="auto"/>
        </w:rPr>
        <w:t>HER2/neu+ Breast Cancer – Mayo Clinic</w:t>
      </w:r>
    </w:p>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 xml:space="preserve">On June 1, 2010, we signed an exclusive licensing option agreement with the Mayo Clinic, Rochester MN for clinical development of a new HER2/neu breast cancer vaccine technology. An IND for Phase I human clinical trial on the HER2/neu cancer vaccine in collaboration with the Mayo Clinic was allowed by the FDA in July, 2011 and the Mayo IRB approved the trial on May 4, 2012. This trial is fully enrolled and closed, and patient dosing has been completed. All patients have received the Company’s vaccine composition, and </w:t>
      </w:r>
      <w:r>
        <w:rPr>
          <w:rFonts w:ascii="Times New Roman" w:cs="Times New Roman" w:eastAsia="Times New Roman" w:hAnsi="Times New Roman"/>
          <w:sz w:val="16"/>
          <w:szCs w:val="16"/>
          <w:u w:val="single" w:color="auto"/>
          <w:color w:val="auto"/>
        </w:rPr>
        <w:t>interim safety analysis</w:t>
      </w:r>
      <w:r>
        <w:rPr>
          <w:rFonts w:ascii="Times New Roman" w:cs="Times New Roman" w:eastAsia="Times New Roman" w:hAnsi="Times New Roman"/>
          <w:sz w:val="16"/>
          <w:szCs w:val="16"/>
          <w:color w:val="auto"/>
        </w:rPr>
        <w:t xml:space="preserve"> on the first six patients is complete and shown to be safe. In addition, each of the first six patients treated, developed specific T-cell immune responses to the antigens in the vaccine composition providing a solid case for advancement to Phase II in 2015. An additional secondary endpoint incorporated into this Phase I Trial will be a two year follow on recording time to disease recurrence in the participating breast cancer patients. The assessment of vaccine safety (primary endpoint) and evaluation of immunogenicity (secondary endpoint) for this trial are currently scheduled for review and determination of progression into Phase II, in 2015. Patients enrolled in the Phase I study will be followed for up to two years after completion of trials.</w:t>
      </w:r>
    </w:p>
    <w:p>
      <w:pPr>
        <w:spacing w:after="0" w:line="16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For Phase I(b)/II studies, we plan to add a Class I peptide, licensed from the Mayo Clinic (April 16, 2012), to the four Class II peptides. Management believes that the combination of Class I and Class II HER2/neu antigens, gives us the leading HER2/neu vaccine platform. Therefore a key goal in 2015 is to progress the HER2/neu vaccine towards the above mentioned Phase 1(b)/II Clinical Trial.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Phase I Human Clinical Trials – </w:t>
      </w:r>
      <w:r>
        <w:rPr>
          <w:rFonts w:ascii="Times New Roman" w:cs="Times New Roman" w:eastAsia="Times New Roman" w:hAnsi="Times New Roman"/>
          <w:sz w:val="16"/>
          <w:szCs w:val="16"/>
          <w:b w:val="1"/>
          <w:bCs w:val="1"/>
          <w:color w:val="auto"/>
        </w:rPr>
        <w:t>Folate Alpha Breast and Ovarian Cancer – Mayo Clinic</w:t>
      </w:r>
    </w:p>
    <w:p>
      <w:pPr>
        <w:spacing w:after="0" w:line="21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On March 19, 2014, the Company announced the signing of an exclusive option agreement for a set of unique peptide epitopes targeting Folate Receptor Alpha in both breast cancer and ovarian cancer.</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Folate Receptor Alpha is expressed in over 80%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United States alone, there are approximately 30,000 ovarian cancer patients and 40,000 triple negative breast cancer patients newly diagnosed every year.</w:t>
      </w:r>
    </w:p>
    <w:p>
      <w:pPr>
        <w:spacing w:after="0" w:line="15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A 24 patient Phase I clinical trial is currently underway. The trial is fully enrolled and closed, and will be evaluated for Phase II advancement in 2015 when all Phase I data has been evaluated.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37" w:name="page38"/>
    <w:bookmarkEnd w:id="37"/>
    <w:p>
      <w:pPr>
        <w:jc w:val="both"/>
        <w:spacing w:after="0" w:line="296" w:lineRule="auto"/>
        <w:rPr>
          <w:sz w:val="20"/>
          <w:szCs w:val="20"/>
          <w:color w:val="auto"/>
        </w:rPr>
      </w:pPr>
      <w:r>
        <w:rPr>
          <w:rFonts w:ascii="Times New Roman" w:cs="Times New Roman" w:eastAsia="Times New Roman" w:hAnsi="Times New Roman"/>
          <w:sz w:val="16"/>
          <w:szCs w:val="16"/>
          <w:color w:val="auto"/>
        </w:rPr>
        <w:t>No serious adverse events have occurred to date and 20 out of 21 evaluable patients showed positive immune responses providing a strong rationale rational for progressing to phase 2 trials. More information can be seen at: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http://clinicaltrials.gov/ct2/show/NCT01606241?term=folate+receptor+alpha&amp;rank=1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Preclinical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Polystart™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TapImmune is initiating the development of a nucleic acid-based expression system that can be aligned as a prime and boost strategy with our peptide-based vaccine compositions. The nucleic acid-based platform may also represent a second stand-alone vaccine technology. The nucleic acid–based technology is termed “Polystart™. The Company’s Polystart™ technology was invented in-house and is therefore not subject to any licensing fees or downstream royalty payments. The Polystart™ technology composition can be administered in the form of a plasmid DNA or incorporated into a viral delivery system (RNA or DNA). The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 We have confirmed that the Polystart™/PAA technology works in preclinical studies in context with a smallpox vaccine candidate. However, it is important to understand that this is a platform technology which can be adapted to essentially any T-cell peptide antigen targeted indication, including HER2/neu. The Polystart™ technology combined with our peptide-based technology is an ideal opportunity for developing an effective prime plus boost vaccination methodology. The Company has filed a U.S. Provisional Patent Application around the Polystart™ technology.</w:t>
      </w:r>
    </w:p>
    <w:p>
      <w:pPr>
        <w:spacing w:after="0" w:line="36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We plan to develop or out-license our technologies for the creation of enhanced anti-viral vaccines, such as for smallpox and other viral diseases. We anticipate that we will complete these studies with a strategic partner involved in the vaccine and Biodefense space. We intend to progress our infectious disease programs with non-dilutive grant funding as well and to expand the use of our TAP platform to emerging pathogens that could be either pandemic or bioterrorist threats.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Strategic Relationships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Mayo Foundation for Medical Education and Research</w:t>
      </w:r>
    </w:p>
    <w:p>
      <w:pPr>
        <w:spacing w:after="0" w:line="2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On May 26, 2010 we signed a Technology Option Agreement with the Mayo Foundation for Medical Education and Research, Rochester, MN, for the evaluation of HER2/neu peptide epitopes as antigens for a breast cancer vaccine. The agreement grants TapImmune an exclusive worldwide option to become the exclusive licensee of the technology after completion of Phase I clinical trials.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Following approval of the IND by the FDA in July, 2011, TapImmune and the Mayo Foundation executed a Sponsored Research Agreement for the clinical trial.</w:t>
      </w:r>
    </w:p>
    <w:p>
      <w:pPr>
        <w:spacing w:after="0" w:line="21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On May 4, 2012, Mayo IRB approval was confirmed and patient dosing started in August 2012. Interim safety analysis on the first five patients was completed successfully allowing continuation of the trial.</w:t>
      </w:r>
    </w:p>
    <w:p>
      <w:pPr>
        <w:spacing w:after="0" w:line="1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On July 24, 2010, we signed a Research and Technology License Option Agreement with the Mayo Foundation for Medical Education and Research, Rochester, MN, to evaluate novel smallpox peptide antigens. The Agreement grants TapImmune an exclusive worldwide option to become the exclusive licensee of the smallpox vaccine technology after research studies have been completed under the terms of the agreement. This project was completed in Q4, 2014 and while the project successfully identified several peptide antigens as the potential components for a new vaccine, TapImmune decided not to proceed into primate studies to devote resources to its oncology clinical programs.</w:t>
      </w:r>
    </w:p>
    <w:p>
      <w:pPr>
        <w:spacing w:after="0" w:line="3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On April 16, 2012, we announced an Exclusive Agreement with the Mayo Foundation for Education &amp; Research, Rochester, MN, to License a proprietary MHC Class I HER2/neu antigen technology. This antigen was discovered in the laboratory of Dr. Keith Knutson at the Mayo Clinic. In contrast to Class I antigens in clinical testing this novel antigen is naturally produced in the intracellular proteasome and presented to T-cells as the MHC Class I peptide complex. Scientific details of this new work was presented by Andrea Henle of Dr. Knutson’s lab at the Annual Meeting of The American Association of Immunologists held in Boston, MA, May 2012 and by Mark Reddish, Head of Development at TapImmune at the Third Annual Cancer Vaccines and Active Immunity Summit, Boston, MA, June 26, 2012. A peer-reviewed manuscript from the Knutson lab, which describes the science in detail, has been accepted for publication in Journal of Immunology.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color w:val="auto"/>
        </w:rPr>
        <w:t>Intellectual Property, Patents and Trademarks</w:t>
      </w: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its proprietary technologies and products. 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Patent applications in the United States are maintained in secrecy until patents are issued. 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w:t>
      </w:r>
    </w:p>
    <w:p>
      <w:pPr>
        <w:spacing w:after="0" w:line="15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TapImmune currently owns a number of issued and pending patents covering composition of matter and use of TAP and PolyStart. In addition, a number of issued and pending patents cover the HER2/neu and Folate Receptor Alpha peptides in our Option to License or License Agreements from the Mayo Foundation for Education and Research.</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Management believes that a number of companies, which are developing various types of similar in vivo T-cell immunotherapies and therapeutic cancer vaccines to treat cancer, could be our major competitors including: Advaxis, Genzyme Molecular Oncology, Immune Design, Oncothyreon, Celldex, BN Immunotherapeutics, Immunocellular, Galena, Antigen Express, Transgene S.A., and Bavarian Nordic. Other immunotherapy approaches including adoptive T-cell therapies, monoclonal antibodies and checkpoint inhibitors also provide competition in the oncology space. In these areas competitors include, Lion Biotechnology, Juno, Kite, Roche, Merck, Bristol Myers Squibb, Astra Zeneca, Medimmune. We believe that our in vivo T-cell therapy approaches will be synergistic with these approaches and might even improve them.</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Government Regulation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United States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design, research, development, testing, manufacturing, labeling, promotion, marketing, advertising and distribution of drug products are extensively regulated by the FDA in the United States and similar regulatory bodies in other countries. The regulatory process is similar for a new drug application, or NDA. The steps ordinarily required before a new drug may be marketed in the United States, which are similar to steps required in most other countries, include: (i) pre-clinical laboratory tests, pre-clinical studies in animals, formulation studies and the submission to the FDA of an initial NDA; (ii) adequate and well-controlled clinical trials to establish the safety and effectiveness of the drug for each indication; (iii) the submission of the NDA to the FDA; and (iv) review by an FDA advisory committee and approval by the FDA.</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Pre-clinical tests include laboratory evaluation of product chemistry, preparation of consistent test batches of product to what is known as GLP, toxicology studies, animal pre-clinical efficacy studies and manufacturing pursuant to what is known as GMP. The results of pre-clinical testing are submitted to the FDA as part of an initial NDA. After the filing of each initial NDA, and assuming all pre-clinical results have been approved, a thirty-day waiting period is required prior to the commencement of clinical testing in humans. At any time during this thirty-day period or at any time thereafter, the FDA may halt proposed or ongoing clinical trials until the FDA authorizes trials under specified terms. The initial NDA process may be extremely costly and substantially delay development of products. Moreover, positive results of pre-clinical tests will not necessarily indicate positive results in subsequent clinical trials.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After successful completion of the required clinical trials, a NDA is generally submitted. The NDA is usually reviewed by an outside committee consisting of physicians, scientists, and at least one consumer representative. The advisory committee reviews, evaluates and recommends whether the application should be approved, but the FDA is not bound by the recommendation of an advisory committee. The FDA may request additional information before accepting a NDA for filing, in which case the application must be resubmitted with the additional information. Once the submission has been accepted for filing, the FDA or the advisory committee reviews the application and responds to the applicant. The review process is often extended by FDA requests for additional information or clarification. The FDA cites 24 months as the median time for NDA review.</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9" w:name="page40"/>
    <w:bookmarkEnd w:id="39"/>
    <w:p>
      <w:pPr>
        <w:jc w:val="both"/>
        <w:spacing w:after="0" w:line="270" w:lineRule="auto"/>
        <w:rPr>
          <w:sz w:val="20"/>
          <w:szCs w:val="20"/>
          <w:color w:val="auto"/>
        </w:rPr>
      </w:pPr>
      <w:r>
        <w:rPr>
          <w:rFonts w:ascii="Times New Roman" w:cs="Times New Roman" w:eastAsia="Times New Roman" w:hAnsi="Times New Roman"/>
          <w:sz w:val="16"/>
          <w:szCs w:val="16"/>
          <w:color w:val="auto"/>
        </w:rPr>
        <w:t>If the FDA evaluations of the NDA and the manufacturing facilities are favorable, the FDA may issue an approval letter. An approval letter will usually contain a number of conditions that must be met in order to secure final approval of the NDA and authorization of commercial marketing of the drug for certain indications. The FDA may also refuse to approve the NDA or issue a not approval letter, outlining the deficiencies in the submission and often requiring either additional testing or information or withdrawal of the submission.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manufacturers of approved products and their manufacturing facilities are subject to continual review and periodic inspections.</w:t>
      </w:r>
    </w:p>
    <w:p>
      <w:pPr>
        <w:spacing w:after="0" w:line="21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Approved drugs are subject to ongoing compliance requirements and identification of certain side effects after any of the drug products are on the market. This could result in issuance of warning letters, subsequent withdrawal of approval, reformulation of the drug product, and additional pre-clinical studies or clinical trials.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Canada</w:t>
      </w: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In Canada, the Therapeutic Products Directorate and the Biologics and Genetic Therapies Directorate of HC ensure that clinical trials are properly designed and undertaken and that subjects are not exposed to undue risk. Regulations define specific Investigational New Drug Submission (or IND) application requirements, which must be complied with before a new drug can be distributed for trial purposes. The Directorates currently review the safety, efficacy and quality data submitted by the sponsor and approve the distribution of the drug to the investigator. The sponsor of the trial is required to maintain accurate records, report adverse drug reactions, and ensure that the investigator adheres to the approved protocol. Trials in humans should be conducted according to generally accepted principles of good clinical practice. Management believes that these standards provide assurance that the data and reported results are credible and accurate, and that the rights, integrity, and privacy of clinical trial subjects are protected.</w:t>
      </w:r>
    </w:p>
    <w:p>
      <w:pPr>
        <w:spacing w:after="0" w:line="3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Sponsors wishing to conduct clinical trials in Phases I to III of development must apply under a 30-day default system. Applications must contain the information described in the regulations, including: a clinical trial attestation; a protocol; statements to be contained in each informed consent form, that set out the risks posed to the health of clinical trial subjects as a result of their participation in the clinical trial; an investigator’s brochure; applicable information on excipients (delivery vehicles); and chemistry and manufacturing information.</w:t>
      </w:r>
    </w:p>
    <w:p>
      <w:pPr>
        <w:spacing w:after="0" w:line="15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 xml:space="preserve">The sponsor can proceed with the clinical trial if the Directorates have not objected to the sale or importation of the drug within 30 days after the date of receipt of the clinical trial application and Research Ethics Board approval for the conduct of the trial at the site has been obtained. Additional information is available on Health Canada’s website - </w:t>
      </w:r>
      <w:r>
        <w:rPr>
          <w:rFonts w:ascii="Times New Roman" w:cs="Times New Roman" w:eastAsia="Times New Roman" w:hAnsi="Times New Roman"/>
          <w:sz w:val="16"/>
          <w:szCs w:val="16"/>
          <w:u w:val="single" w:color="auto"/>
          <w:color w:val="auto"/>
        </w:rPr>
        <w:t>www.hc-sc.gc.ca</w:t>
      </w:r>
      <w:r>
        <w:rPr>
          <w:rFonts w:ascii="Times New Roman" w:cs="Times New Roman" w:eastAsia="Times New Roman" w:hAnsi="Times New Roman"/>
          <w:sz w:val="16"/>
          <w:szCs w:val="16"/>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Jurisdictions</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Outside the United States and Canada, the Company’s ability to market drug products is contingent upon receiving marketing authorization from the appropriate regulatory authorities. Management believes that the foreign regulatory approval process includes all of the complexities associated with FDA approval described above. The requirements governing the conduct of clinical trials and marketing authorization vary widely from country to country. At present, foreign marketing authorizations are applied for at a national level, although within the European Union procedures are available to companies wishing to market a product in more than one member country.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Product Liability and Insurance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Once we are able to commence the sale of our products into the market, we will face the risk of product liability claims. Because we are not yet selling our products, we have not experienced any product liability claims to date and we do not yet maintain product liability insurance. Management intends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color w:val="auto"/>
        </w:rPr>
        <w:t>Employees</w:t>
      </w:r>
    </w:p>
    <w:p>
      <w:pPr>
        <w:spacing w:after="0" w:line="21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TapImmune currently has one full-time employee. The management team is comprised of Dr. Glynn Wilson (Chief Executive Officer, Principal Executive Officer and Acting Principal Accounting Officer), and Dr. Robert Florkiewicz (Consulting, Head of Research) together with a number of consultants, corporate advisors and scientific collaborators.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of our suppliers, Fischer Scientific was awarded a judgment against us for $51,000 which is equal to the amount owed to them. We intend to settle that matter.</w:t>
      </w:r>
    </w:p>
    <w:p>
      <w:pPr>
        <w:spacing w:after="0" w:line="235"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We are not aware of any legal proceedings contemplated by any government authority or any other party involving the Company. As of the date of this Report, no director, officer or affiliate is (i) a party adverse to us in any legal proceeding, or (ii) has an adverse interest to us in any legal proceeding. Management is not aware of any other legal proceedings pending or threatened against the Company.</w:t>
      </w:r>
    </w:p>
    <w:p>
      <w:pPr>
        <w:spacing w:after="0" w:line="178" w:lineRule="exact"/>
        <w:rPr>
          <w:sz w:val="20"/>
          <w:szCs w:val="20"/>
          <w:color w:val="auto"/>
        </w:rPr>
      </w:pPr>
    </w:p>
    <w:p>
      <w:pPr>
        <w:ind w:right="240"/>
        <w:spacing w:after="0" w:line="296" w:lineRule="auto"/>
        <w:rPr>
          <w:sz w:val="20"/>
          <w:szCs w:val="20"/>
          <w:color w:val="auto"/>
        </w:rPr>
      </w:pPr>
      <w:r>
        <w:rPr>
          <w:rFonts w:ascii="Times New Roman" w:cs="Times New Roman" w:eastAsia="Times New Roman" w:hAnsi="Times New Roman"/>
          <w:sz w:val="16"/>
          <w:szCs w:val="16"/>
          <w:color w:val="auto"/>
        </w:rPr>
        <w:t>In addition to the foregoing, we may from time to time get involved in legal proceedings in the ordinary course of our business. We do not believe that any of these claims and proceedings against us is likely to have, individually or in the aggregate, a material adverse effect on our financial condition or results of operations.</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MARKET FOR REGISTRANT’S COMMON EQUITY, RELATED STOCKHOLDER MATTERS AND ISSUER PURCHASES OF EQUITY SECURITIES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Information</w:t>
      </w:r>
    </w:p>
    <w:p>
      <w:pPr>
        <w:spacing w:after="0" w:line="214"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6"/>
          <w:szCs w:val="16"/>
          <w:color w:val="auto"/>
        </w:rPr>
        <w:t>Our common stock is traded on the Over the Counter Bulletin Board (“OTCQB”) under the symbol “TPIV” and previously on the Frankfurt and subsequently on the Berlin and Munich Stock Exchanges under the symbol “GX1A.” The listing on the Frankfurt exchange is no longer valid however the Berlin and Munich Stock Exchange listing done without the Company’s knowledge and consent appear to still be active.</w:t>
      </w:r>
    </w:p>
    <w:p>
      <w:pPr>
        <w:spacing w:after="0" w:line="154" w:lineRule="exact"/>
        <w:rPr>
          <w:sz w:val="20"/>
          <w:szCs w:val="20"/>
          <w:color w:val="auto"/>
        </w:rPr>
      </w:pPr>
    </w:p>
    <w:p>
      <w:pPr>
        <w:jc w:val="both"/>
        <w:ind w:right="60"/>
        <w:spacing w:after="0" w:line="296" w:lineRule="auto"/>
        <w:rPr>
          <w:sz w:val="20"/>
          <w:szCs w:val="20"/>
          <w:color w:val="auto"/>
        </w:rPr>
      </w:pPr>
      <w:r>
        <w:rPr>
          <w:rFonts w:ascii="Times New Roman" w:cs="Times New Roman" w:eastAsia="Times New Roman" w:hAnsi="Times New Roman"/>
          <w:sz w:val="16"/>
          <w:szCs w:val="16"/>
          <w:color w:val="auto"/>
        </w:rPr>
        <w:t>The market for our common stock is limited, volatile and sporadic. The following table sets forth, for the periods indicated, the high and low bid prices of our common stock as reported on the OTCQB. The following quotations reflect inter-dealer prices, without retail mark-up, markdown, or commissions, and may not reflect actual transactions.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High Bid</w:t>
            </w: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Low Bid</w:t>
            </w:r>
          </w:p>
        </w:tc>
      </w:tr>
      <w:tr>
        <w:trPr>
          <w:trHeight w:val="20"/>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7"/>
        </w:trPr>
        <w:tc>
          <w:tcPr>
            <w:tcW w:w="8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Fiscal Year 2015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8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Second quarter through June 16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0.91</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0.17</w:t>
            </w:r>
          </w:p>
        </w:tc>
      </w:tr>
      <w:tr>
        <w:trPr>
          <w:trHeight w:val="214"/>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March 31, 2015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0.36</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0.12</w:t>
            </w:r>
          </w:p>
        </w:tc>
      </w:tr>
      <w:tr>
        <w:trPr>
          <w:trHeight w:val="377"/>
        </w:trPr>
        <w:tc>
          <w:tcPr>
            <w:tcW w:w="8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Fiscal Year 2014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8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December 31, 2014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0.32</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0.28</w:t>
            </w:r>
          </w:p>
        </w:tc>
      </w:tr>
      <w:tr>
        <w:trPr>
          <w:trHeight w:val="197"/>
        </w:trPr>
        <w:tc>
          <w:tcPr>
            <w:tcW w:w="8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September 30, 2014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0.66</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0.62</w:t>
            </w:r>
          </w:p>
        </w:tc>
      </w:tr>
      <w:tr>
        <w:trPr>
          <w:trHeight w:val="197"/>
        </w:trPr>
        <w:tc>
          <w:tcPr>
            <w:tcW w:w="8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June 28, 2014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1.93</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1.80</w:t>
            </w:r>
          </w:p>
        </w:tc>
      </w:tr>
      <w:tr>
        <w:trPr>
          <w:trHeight w:val="214"/>
        </w:trPr>
        <w:tc>
          <w:tcPr>
            <w:tcW w:w="8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March 31, 2014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4.09</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3.50</w:t>
            </w:r>
          </w:p>
        </w:tc>
      </w:tr>
      <w:tr>
        <w:trPr>
          <w:trHeight w:val="377"/>
        </w:trPr>
        <w:tc>
          <w:tcPr>
            <w:tcW w:w="8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Fiscal Year 2013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8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December 31, 2013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1.91</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1.60</w:t>
            </w:r>
          </w:p>
        </w:tc>
      </w:tr>
      <w:tr>
        <w:trPr>
          <w:trHeight w:val="197"/>
        </w:trPr>
        <w:tc>
          <w:tcPr>
            <w:tcW w:w="8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September 30, 2013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1.24</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w:t>
            </w:r>
          </w:p>
        </w:tc>
      </w:tr>
      <w:tr>
        <w:trPr>
          <w:trHeight w:val="197"/>
        </w:trPr>
        <w:tc>
          <w:tcPr>
            <w:tcW w:w="8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June 28, 2013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3.20</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2.35</w:t>
            </w:r>
          </w:p>
        </w:tc>
      </w:tr>
      <w:tr>
        <w:trPr>
          <w:trHeight w:val="214"/>
        </w:trPr>
        <w:tc>
          <w:tcPr>
            <w:tcW w:w="8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March 28, 2013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220" w:type="dxa"/>
            <w:vAlign w:val="bottom"/>
          </w:tcPr>
          <w:p>
            <w:pPr>
              <w:spacing w:after="0"/>
              <w:rPr>
                <w:sz w:val="18"/>
                <w:szCs w:val="18"/>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9.22</w:t>
            </w:r>
          </w:p>
        </w:tc>
      </w:tr>
      <w:tr>
        <w:trPr>
          <w:trHeight w:val="20"/>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last reported sales price for our shares on the OTCQB as of June 16, 2015, was $0.91 per share. As of June 16, 2015, we had 421 shareholders of record.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1" w:name="page42"/>
    <w:bookmarkEnd w:id="41"/>
    <w:p>
      <w:pPr>
        <w:ind w:left="1"/>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214" w:lineRule="exact"/>
        <w:rPr>
          <w:sz w:val="20"/>
          <w:szCs w:val="20"/>
          <w:color w:val="auto"/>
        </w:rPr>
      </w:pPr>
    </w:p>
    <w:p>
      <w:pPr>
        <w:ind w:left="1" w:right="200"/>
        <w:spacing w:after="0" w:line="296" w:lineRule="auto"/>
        <w:rPr>
          <w:sz w:val="20"/>
          <w:szCs w:val="20"/>
          <w:color w:val="auto"/>
        </w:rPr>
      </w:pPr>
      <w:r>
        <w:rPr>
          <w:rFonts w:ascii="Times New Roman" w:cs="Times New Roman" w:eastAsia="Times New Roman" w:hAnsi="Times New Roman"/>
          <w:sz w:val="16"/>
          <w:szCs w:val="16"/>
          <w:color w:val="auto"/>
        </w:rPr>
        <w:t>No dividends have been declared or paid on our common stock. We have incurred recurring losses and do not currently intend to pay any cash dividends in the foreseeable future.</w:t>
      </w:r>
    </w:p>
    <w:p>
      <w:pPr>
        <w:spacing w:after="0" w:line="13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Securities Authorized For Issuance under Compensation Plans</w:t>
      </w:r>
    </w:p>
    <w:p>
      <w:pPr>
        <w:spacing w:after="0" w:line="21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following table sets forth information as of December 31, 2014:</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146685</wp:posOffset>
            </wp:positionV>
            <wp:extent cx="725868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ectPr>
          <w:pgSz w:w="11900" w:h="16838" w:orient="portrait"/>
          <w:cols w:equalWidth="0" w:num="1">
            <w:col w:w="11421"/>
          </w:cols>
          <w:pgMar w:left="239" w:top="4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 w:right="2500"/>
        <w:spacing w:after="0" w:line="296" w:lineRule="auto"/>
        <w:rPr>
          <w:sz w:val="20"/>
          <w:szCs w:val="20"/>
          <w:color w:val="auto"/>
        </w:rPr>
      </w:pPr>
      <w:r>
        <w:rPr>
          <w:rFonts w:ascii="Times New Roman" w:cs="Times New Roman" w:eastAsia="Times New Roman" w:hAnsi="Times New Roman"/>
          <w:sz w:val="16"/>
          <w:szCs w:val="16"/>
          <w:color w:val="auto"/>
        </w:rPr>
        <w:t>(a)Equity compensation plans approved by security holders (b)Equity compensation plans not approved by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462280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6228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-285115</wp:posOffset>
            </wp:positionV>
            <wp:extent cx="462280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228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-26670</wp:posOffset>
            </wp:positionV>
            <wp:extent cx="462280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228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wp:posOffset>
            </wp:positionV>
            <wp:extent cx="462280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6228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46228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6228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152400</wp:posOffset>
            </wp:positionV>
            <wp:extent cx="462280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62280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securities</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remaining</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available for</w:t>
            </w:r>
          </w:p>
        </w:tc>
        <w:tc>
          <w:tcPr>
            <w:tcW w:w="0" w:type="dxa"/>
            <w:vAlign w:val="bottom"/>
          </w:tcPr>
          <w:p>
            <w:pPr>
              <w:spacing w:after="0"/>
              <w:rPr>
                <w:sz w:val="1"/>
                <w:szCs w:val="1"/>
                <w:color w:val="auto"/>
              </w:rPr>
            </w:pPr>
          </w:p>
        </w:tc>
      </w:tr>
      <w:tr>
        <w:trPr>
          <w:trHeight w:val="197"/>
        </w:trPr>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rPr>
              <w:t>Number of</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future issuance</w:t>
            </w:r>
          </w:p>
        </w:tc>
        <w:tc>
          <w:tcPr>
            <w:tcW w:w="0" w:type="dxa"/>
            <w:vAlign w:val="bottom"/>
          </w:tcPr>
          <w:p>
            <w:pPr>
              <w:spacing w:after="0"/>
              <w:rPr>
                <w:sz w:val="1"/>
                <w:szCs w:val="1"/>
                <w:color w:val="auto"/>
              </w:rPr>
            </w:pPr>
          </w:p>
        </w:tc>
      </w:tr>
      <w:tr>
        <w:trPr>
          <w:trHeight w:val="197"/>
        </w:trPr>
        <w:tc>
          <w:tcPr>
            <w:tcW w:w="14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color w:val="auto"/>
              </w:rPr>
              <w:t>securities to be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w w:val="99"/>
              </w:rPr>
              <w:t>Weighted</w:t>
            </w: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under equity</w:t>
            </w:r>
          </w:p>
        </w:tc>
        <w:tc>
          <w:tcPr>
            <w:tcW w:w="0" w:type="dxa"/>
            <w:vAlign w:val="bottom"/>
          </w:tcPr>
          <w:p>
            <w:pPr>
              <w:spacing w:after="0"/>
              <w:rPr>
                <w:sz w:val="1"/>
                <w:szCs w:val="1"/>
                <w:color w:val="auto"/>
              </w:rPr>
            </w:pPr>
          </w:p>
        </w:tc>
      </w:tr>
      <w:tr>
        <w:trPr>
          <w:trHeight w:val="197"/>
        </w:trPr>
        <w:tc>
          <w:tcPr>
            <w:tcW w:w="14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color w:val="auto"/>
              </w:rPr>
              <w:t>issued upon</w:t>
            </w:r>
          </w:p>
        </w:tc>
        <w:tc>
          <w:tcPr>
            <w:tcW w:w="60" w:type="dxa"/>
            <w:vAlign w:val="bottom"/>
          </w:tcPr>
          <w:p>
            <w:pPr>
              <w:spacing w:after="0"/>
              <w:rPr>
                <w:sz w:val="17"/>
                <w:szCs w:val="17"/>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average exercise</w:t>
            </w: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compensation</w:t>
            </w:r>
          </w:p>
        </w:tc>
        <w:tc>
          <w:tcPr>
            <w:tcW w:w="0" w:type="dxa"/>
            <w:vAlign w:val="bottom"/>
          </w:tcPr>
          <w:p>
            <w:pPr>
              <w:spacing w:after="0"/>
              <w:rPr>
                <w:sz w:val="1"/>
                <w:szCs w:val="1"/>
                <w:color w:val="auto"/>
              </w:rPr>
            </w:pPr>
          </w:p>
        </w:tc>
      </w:tr>
      <w:tr>
        <w:trPr>
          <w:trHeight w:val="197"/>
        </w:trPr>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rPr>
              <w:t>exercise of</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price of</w:t>
            </w: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plans (excluding</w:t>
            </w:r>
          </w:p>
        </w:tc>
        <w:tc>
          <w:tcPr>
            <w:tcW w:w="0" w:type="dxa"/>
            <w:vAlign w:val="bottom"/>
          </w:tcPr>
          <w:p>
            <w:pPr>
              <w:spacing w:after="0"/>
              <w:rPr>
                <w:sz w:val="1"/>
                <w:szCs w:val="1"/>
                <w:color w:val="auto"/>
              </w:rPr>
            </w:pPr>
          </w:p>
        </w:tc>
      </w:tr>
      <w:tr>
        <w:trPr>
          <w:trHeight w:val="197"/>
        </w:trPr>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rPr>
              <w:t>outstanding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outstanding</w:t>
            </w: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securities</w:t>
            </w:r>
          </w:p>
        </w:tc>
        <w:tc>
          <w:tcPr>
            <w:tcW w:w="0" w:type="dxa"/>
            <w:vAlign w:val="bottom"/>
          </w:tcPr>
          <w:p>
            <w:pPr>
              <w:spacing w:after="0"/>
              <w:rPr>
                <w:sz w:val="1"/>
                <w:szCs w:val="1"/>
                <w:color w:val="auto"/>
              </w:rPr>
            </w:pPr>
          </w:p>
        </w:tc>
      </w:tr>
      <w:tr>
        <w:trPr>
          <w:trHeight w:val="197"/>
        </w:trPr>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rPr>
              <w:t>options, warrants</w:t>
            </w:r>
          </w:p>
        </w:tc>
        <w:tc>
          <w:tcPr>
            <w:tcW w:w="60" w:type="dxa"/>
            <w:vAlign w:val="bottom"/>
          </w:tcPr>
          <w:p>
            <w:pPr>
              <w:spacing w:after="0"/>
              <w:rPr>
                <w:sz w:val="17"/>
                <w:szCs w:val="17"/>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options, warrants</w:t>
            </w: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reflected in</w:t>
            </w:r>
          </w:p>
        </w:tc>
        <w:tc>
          <w:tcPr>
            <w:tcW w:w="0" w:type="dxa"/>
            <w:vAlign w:val="bottom"/>
          </w:tcPr>
          <w:p>
            <w:pPr>
              <w:spacing w:after="0"/>
              <w:rPr>
                <w:sz w:val="1"/>
                <w:szCs w:val="1"/>
                <w:color w:val="auto"/>
              </w:rPr>
            </w:pPr>
          </w:p>
        </w:tc>
      </w:tr>
      <w:tr>
        <w:trPr>
          <w:trHeight w:val="197"/>
        </w:trPr>
        <w:tc>
          <w:tcPr>
            <w:tcW w:w="14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color w:val="auto"/>
              </w:rPr>
              <w:t>and rights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and rights</w:t>
            </w: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column (a)</w:t>
            </w:r>
          </w:p>
        </w:tc>
        <w:tc>
          <w:tcPr>
            <w:tcW w:w="0" w:type="dxa"/>
            <w:vAlign w:val="bottom"/>
          </w:tcPr>
          <w:p>
            <w:pPr>
              <w:spacing w:after="0"/>
              <w:rPr>
                <w:sz w:val="1"/>
                <w:szCs w:val="1"/>
                <w:color w:val="auto"/>
              </w:rPr>
            </w:pPr>
          </w:p>
        </w:tc>
      </w:tr>
      <w:tr>
        <w:trPr>
          <w:trHeight w:val="214"/>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2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color w:val="auto"/>
              </w:rPr>
              <w:t>(b)</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400" w:type="dxa"/>
            <w:vAlign w:val="bottom"/>
            <w:gridSpan w:val="3"/>
          </w:tcPr>
          <w:p>
            <w:pPr>
              <w:jc w:val="right"/>
              <w:ind w:right="60"/>
              <w:spacing w:after="0" w:line="170" w:lineRule="exact"/>
              <w:rPr>
                <w:sz w:val="20"/>
                <w:szCs w:val="20"/>
                <w:color w:val="auto"/>
              </w:rPr>
            </w:pPr>
            <w:r>
              <w:rPr>
                <w:rFonts w:ascii="Times New Roman" w:cs="Times New Roman" w:eastAsia="Times New Roman" w:hAnsi="Times New Roman"/>
                <w:sz w:val="16"/>
                <w:szCs w:val="16"/>
                <w:color w:val="auto"/>
              </w:rPr>
              <w:t>65,430(1)</w:t>
            </w:r>
          </w:p>
        </w:tc>
        <w:tc>
          <w:tcPr>
            <w:tcW w:w="60" w:type="dxa"/>
            <w:vAlign w:val="bottom"/>
            <w:vMerge w:val="continue"/>
          </w:tcPr>
          <w:p>
            <w:pPr>
              <w:spacing w:after="0"/>
              <w:rPr>
                <w:sz w:val="14"/>
                <w:szCs w:val="14"/>
                <w:color w:val="auto"/>
              </w:rPr>
            </w:pPr>
          </w:p>
        </w:tc>
        <w:tc>
          <w:tcPr>
            <w:tcW w:w="12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18.00</w:t>
            </w:r>
          </w:p>
        </w:tc>
        <w:tc>
          <w:tcPr>
            <w:tcW w:w="220" w:type="dxa"/>
            <w:vAlign w:val="bottom"/>
            <w:vMerge w:val="continue"/>
          </w:tcPr>
          <w:p>
            <w:pPr>
              <w:spacing w:after="0"/>
              <w:rPr>
                <w:sz w:val="14"/>
                <w:szCs w:val="14"/>
                <w:color w:val="auto"/>
              </w:rPr>
            </w:pPr>
          </w:p>
        </w:tc>
        <w:tc>
          <w:tcPr>
            <w:tcW w:w="11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34,570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1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w w:val="97"/>
              </w:rPr>
              <w:t>Nil</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Nil</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Nil</w:t>
            </w:r>
          </w:p>
        </w:tc>
        <w:tc>
          <w:tcPr>
            <w:tcW w:w="0" w:type="dxa"/>
            <w:vAlign w:val="bottom"/>
          </w:tcPr>
          <w:p>
            <w:pPr>
              <w:spacing w:after="0"/>
              <w:rPr>
                <w:sz w:val="1"/>
                <w:szCs w:val="1"/>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65,430(1)</w:t>
            </w:r>
          </w:p>
        </w:tc>
        <w:tc>
          <w:tcPr>
            <w:tcW w:w="60" w:type="dxa"/>
            <w:vAlign w:val="bottom"/>
            <w:vMerge w:val="continue"/>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ectPr>
          <w:pgSz w:w="11900" w:h="16838" w:orient="portrait"/>
          <w:cols w:equalWidth="0" w:num="2">
            <w:col w:w="6661" w:space="720"/>
            <w:col w:w="4040"/>
          </w:cols>
          <w:pgMar w:left="239" w:top="476" w:right="239" w:bottom="1440" w:gutter="0" w:footer="0" w:header="0"/>
          <w:type w:val="continuous"/>
        </w:sectPr>
      </w:pPr>
    </w:p>
    <w:p>
      <w:pPr>
        <w:ind w:left="1" w:right="400" w:hanging="1"/>
        <w:spacing w:after="0" w:line="296" w:lineRule="auto"/>
        <w:tabs>
          <w:tab w:leader="none" w:pos="275"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under which these shares were issued was approved by the Board of Directors and the shareholders in 2009 but did not come into effect until February 22, 2010.</w:t>
      </w:r>
    </w:p>
    <w:p>
      <w:pPr>
        <w:spacing w:after="0" w:line="15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Stock Incentive Plan</w:t>
      </w:r>
    </w:p>
    <w:p>
      <w:pPr>
        <w:spacing w:after="0" w:line="214" w:lineRule="exact"/>
        <w:rPr>
          <w:sz w:val="20"/>
          <w:szCs w:val="20"/>
          <w:color w:val="auto"/>
        </w:rPr>
      </w:pPr>
    </w:p>
    <w:p>
      <w:pPr>
        <w:jc w:val="both"/>
        <w:ind w:left="1"/>
        <w:spacing w:after="0" w:line="289" w:lineRule="auto"/>
        <w:rPr>
          <w:sz w:val="20"/>
          <w:szCs w:val="20"/>
          <w:color w:val="auto"/>
        </w:rPr>
      </w:pPr>
      <w:r>
        <w:rPr>
          <w:rFonts w:ascii="Times New Roman" w:cs="Times New Roman" w:eastAsia="Times New Roman" w:hAnsi="Times New Roman"/>
          <w:sz w:val="16"/>
          <w:szCs w:val="16"/>
          <w:color w:val="auto"/>
        </w:rPr>
        <w:t>On October 14, 2009, the Company adopted the 2009 Stock Incentive Plan (the “2009 Plan”). The 2009 Plan allows for the issuance of up to 100,000 common shares. Options granted under the Plan shall be at prices and for terms as determined by our Board of Directors, and may have vesting requirements as determined by our Board of Directors.</w:t>
      </w:r>
    </w:p>
    <w:p>
      <w:pPr>
        <w:spacing w:after="0" w:line="345" w:lineRule="exact"/>
        <w:rPr>
          <w:sz w:val="20"/>
          <w:szCs w:val="20"/>
          <w:color w:val="auto"/>
        </w:rPr>
      </w:pPr>
    </w:p>
    <w:p>
      <w:pPr>
        <w:jc w:val="both"/>
        <w:ind w:left="1"/>
        <w:spacing w:after="0" w:line="296" w:lineRule="auto"/>
        <w:rPr>
          <w:sz w:val="20"/>
          <w:szCs w:val="20"/>
          <w:color w:val="auto"/>
        </w:rPr>
      </w:pPr>
      <w:r>
        <w:rPr>
          <w:rFonts w:ascii="Times New Roman" w:cs="Times New Roman" w:eastAsia="Times New Roman" w:hAnsi="Times New Roman"/>
          <w:sz w:val="16"/>
          <w:szCs w:val="16"/>
          <w:color w:val="auto"/>
        </w:rPr>
        <w:t>The foregoing summary of the 2009 Stock Incentive Plan is not complete and is qualified in its entirety by reference to the 2009 Stock Incentive Plan, a copy of which has been filed with the SEC.</w:t>
      </w:r>
    </w:p>
    <w:p>
      <w:pPr>
        <w:spacing w:after="0" w:line="137" w:lineRule="exact"/>
        <w:rPr>
          <w:sz w:val="20"/>
          <w:szCs w:val="20"/>
          <w:color w:val="auto"/>
        </w:rPr>
      </w:pPr>
    </w:p>
    <w:p>
      <w:pPr>
        <w:jc w:val="both"/>
        <w:ind w:left="1"/>
        <w:spacing w:after="0" w:line="296" w:lineRule="auto"/>
        <w:rPr>
          <w:sz w:val="20"/>
          <w:szCs w:val="20"/>
          <w:color w:val="auto"/>
        </w:rPr>
      </w:pPr>
      <w:r>
        <w:rPr>
          <w:rFonts w:ascii="Times New Roman" w:cs="Times New Roman" w:eastAsia="Times New Roman" w:hAnsi="Times New Roman"/>
          <w:sz w:val="16"/>
          <w:szCs w:val="16"/>
          <w:color w:val="auto"/>
        </w:rPr>
        <w:t>To date, 65,430 options have been issued under the 2009 Plan. Of those options, 42,500 were issued to members of our scientific advisory board, and our Chief Executive Officer.</w:t>
      </w:r>
    </w:p>
    <w:p>
      <w:pPr>
        <w:spacing w:after="0" w:line="13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On March 19, 2014, we adopted the 2014 Omnibus Stock Option Plan (“2014 Plan”). The 2014 Plan allows for the issuance of 2,000,000 options to acquire common shares.</w:t>
      </w:r>
    </w:p>
    <w:p>
      <w:pPr>
        <w:spacing w:after="0" w:line="20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21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As of June 18, 2015, there are an aggregate of 84,382,892 common stock purchase warrants issued and outstanding</w:t>
      </w:r>
    </w:p>
    <w:p>
      <w:pPr>
        <w:spacing w:after="0" w:line="20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Recent Sales of Unregistered Securities</w:t>
      </w:r>
    </w:p>
    <w:p>
      <w:pPr>
        <w:spacing w:after="0" w:line="23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Company has previously reported all issuances of unregistered equity during the year ended December 31, 2014 through June 19, 2015.</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63765"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476" w:right="239" w:bottom="1440" w:gutter="0" w:footer="0" w:header="0"/>
          <w:type w:val="continuous"/>
        </w:sectPr>
      </w:pPr>
    </w:p>
    <w:bookmarkStart w:id="42" w:name="page43"/>
    <w:bookmarkEnd w:id="42"/>
    <w:p>
      <w:pPr>
        <w:jc w:val="center"/>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3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In reviewing “Management’s Discussion and Analysis of Financial Condition and Results of Operations”, you should refer to our Consolidated Financial Statements and the notes related thereto.</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this discussion of the Company’s results of operations and financial condition, amounts, other than per-share amounts, have been rounded to the nearest thousand dollars.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 2015 Compared to Three Months Ended March 31, 2014</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We recorded a net loss of $982,000 or ($0.04) per share during the three months ended March 31, 2015 compared to $29,707,000 or ($3.89) per share for the three months ended March 31, 2014. $27,663,430 of the net loss in the three months ended March 31, 2014 resulted from the conversion in that quarter of approximately $5,231,950 of debt and all outstanding Preferred B shares into 14,211,684 shares of common stock. As required by US GAAP we recorded the value of these shares at fair value at the time of issuance. As a result of the debt settlements and conversions, the Company recorded a loss on settlement of debt of $27,663,430, which is the difference between the carrying value of the debt settled and the value of the common stock issued at the time of issuance.</w:t>
      </w:r>
    </w:p>
    <w:p>
      <w:pPr>
        <w:spacing w:after="0" w:line="16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Operating costs decreased to $1,028,000 during the three months ended March 31, 2015 compared to $1,187,000 in the prior period. Significant changes in operating expenses are outlined as follows:</w:t>
      </w:r>
    </w:p>
    <w:p>
      <w:pPr>
        <w:spacing w:after="0" w:line="137" w:lineRule="exact"/>
        <w:rPr>
          <w:sz w:val="20"/>
          <w:szCs w:val="20"/>
          <w:color w:val="auto"/>
        </w:rPr>
      </w:pPr>
    </w:p>
    <w:p>
      <w:pPr>
        <w:jc w:val="both"/>
        <w:ind w:left="620" w:hanging="48"/>
        <w:spacing w:after="0" w:line="274" w:lineRule="auto"/>
        <w:rPr>
          <w:sz w:val="20"/>
          <w:szCs w:val="20"/>
          <w:color w:val="auto"/>
        </w:rPr>
      </w:pPr>
      <w:r>
        <w:rPr>
          <w:rFonts w:ascii="Times New Roman" w:cs="Times New Roman" w:eastAsia="Times New Roman" w:hAnsi="Times New Roman"/>
          <w:sz w:val="16"/>
          <w:szCs w:val="16"/>
          <w:color w:val="auto"/>
        </w:rPr>
        <w:t>·General and administrative expenses decreased to $419,000 during the three months ended March 31, 2015 from $1,164,000 during the prior period. The decrease was primarily due to absence of non-cash consulting fees paid as stock-based compensation during the three months ended March 31, 2015 from $686,000 during the prior period. The decrease in non-cash consulting fees from the prior year was due to the Company curtailing its business development activities in the current year.</w:t>
      </w:r>
    </w:p>
    <w:p>
      <w:pPr>
        <w:spacing w:after="0" w:line="355" w:lineRule="exact"/>
        <w:rPr>
          <w:sz w:val="20"/>
          <w:szCs w:val="20"/>
          <w:color w:val="auto"/>
        </w:rPr>
      </w:pPr>
    </w:p>
    <w:p>
      <w:pPr>
        <w:jc w:val="both"/>
        <w:ind w:left="620" w:hanging="48"/>
        <w:spacing w:after="0" w:line="276" w:lineRule="auto"/>
        <w:rPr>
          <w:sz w:val="20"/>
          <w:szCs w:val="20"/>
          <w:color w:val="auto"/>
        </w:rPr>
      </w:pPr>
      <w:r>
        <w:rPr>
          <w:rFonts w:ascii="Times New Roman" w:cs="Times New Roman" w:eastAsia="Times New Roman" w:hAnsi="Times New Roman"/>
          <w:sz w:val="16"/>
          <w:szCs w:val="16"/>
          <w:color w:val="auto"/>
        </w:rPr>
        <w:t>·Research and development costs during the three months ended March 31, 2015 were $609,000 compared to $23,000 during the prior period. This was due to the Company exercising its option to acquire Mayo Clinic technology as part of an agreement entered into in March 2014 and increased in in-house research activity in the current period.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weighted average number of shares outstanding was 27,611,255 for the three months ended March 31, 2015 compared to 7,631,669 for the prior year.</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 2014 Compared to the Year Ended December 31, 2013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recorded a net loss of $30,883,000 during the year ended December 31, 2014 compared to $5,533,000 for the year ended December 31, 2013.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Expenses</w:t>
      </w:r>
    </w:p>
    <w:p>
      <w:pPr>
        <w:spacing w:after="0" w:line="212"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Operating expenses incurred during the fiscal year ended December 31, 2014 were $3,425,000 compared to $2,664,000 in the prior year. Significant changes and expenditures are outlined as follows:</w:t>
      </w:r>
    </w:p>
    <w:p>
      <w:pPr>
        <w:spacing w:after="0" w:line="137" w:lineRule="exact"/>
        <w:rPr>
          <w:sz w:val="20"/>
          <w:szCs w:val="20"/>
          <w:color w:val="auto"/>
        </w:rPr>
      </w:pPr>
    </w:p>
    <w:p>
      <w:pPr>
        <w:jc w:val="both"/>
        <w:ind w:left="860" w:hanging="106"/>
        <w:spacing w:after="0" w:line="270" w:lineRule="auto"/>
        <w:tabs>
          <w:tab w:leader="none" w:pos="86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and administrative expenses increased to $3,182,000 during the year ended December 31, 2014 from $1,967,000 during the prior period. The increase was primarily due to higher non-cash consulting fees paid as stock-based compensation of $1,391,000 during the year ended December 31, 2014 from $85,000 during the prior period offset by professional fees which were $474,000 in the year ended December 31, 2014 compared to $845,000 in the prior year. The decrease in professional fee from the prior year was due to lower legal fees incurred relating to debt issuance and settlements in the current year.</w:t>
      </w:r>
    </w:p>
    <w:p>
      <w:pPr>
        <w:spacing w:after="0" w:line="157" w:lineRule="exact"/>
        <w:rPr>
          <w:rFonts w:ascii="Times New Roman" w:cs="Times New Roman" w:eastAsia="Times New Roman" w:hAnsi="Times New Roman"/>
          <w:sz w:val="16"/>
          <w:szCs w:val="16"/>
          <w:color w:val="auto"/>
        </w:rPr>
      </w:pPr>
    </w:p>
    <w:p>
      <w:pPr>
        <w:ind w:left="720" w:hanging="114"/>
        <w:spacing w:after="0" w:line="296" w:lineRule="auto"/>
        <w:tabs>
          <w:tab w:leader="none" w:pos="7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costs during the fiscal year ended December 31, 2014 were $189,000 compared to $698,000 during the prior fiscal year. This was due to lower technology licensing fee accrued for payment due to Mayo clinic and decreased in house research activity in the current year.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3" w:name="page44"/>
    <w:bookmarkEnd w:id="43"/>
    <w:p>
      <w:pPr>
        <w:jc w:val="both"/>
        <w:spacing w:after="0" w:line="296" w:lineRule="auto"/>
        <w:rPr>
          <w:sz w:val="20"/>
          <w:szCs w:val="20"/>
          <w:color w:val="auto"/>
        </w:rPr>
      </w:pPr>
      <w:r>
        <w:rPr>
          <w:rFonts w:ascii="Times New Roman" w:cs="Times New Roman" w:eastAsia="Times New Roman" w:hAnsi="Times New Roman"/>
          <w:sz w:val="16"/>
          <w:szCs w:val="16"/>
          <w:color w:val="auto"/>
        </w:rPr>
        <w:t>Our net loss for the year ended December 31, 2014 was $30,883,000 or ($2.00) per share, compared to a net loss of $5,533,000 or ($4.87) per share in the prior year. The weighted average number of shares outstanding was 15,465,213 for the year ended December 31, 2014 compared to 1,136,115 for the prior year.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Liquidity and Capital Resources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cash and working capital as of March 31, 2015 and December 31,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7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8"/>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100" w:type="dxa"/>
            <w:vAlign w:val="bottom"/>
          </w:tcPr>
          <w:p>
            <w:pPr>
              <w:spacing w:after="0"/>
              <w:rPr>
                <w:sz w:val="18"/>
                <w:szCs w:val="18"/>
                <w:color w:val="auto"/>
              </w:rPr>
            </w:pPr>
          </w:p>
        </w:tc>
        <w:tc>
          <w:tcPr>
            <w:tcW w:w="1040" w:type="dxa"/>
            <w:vAlign w:val="bottom"/>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r>
      <w:tr>
        <w:trPr>
          <w:trHeight w:val="20"/>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7"/>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Cash reserves</w:t>
            </w:r>
          </w:p>
        </w:tc>
        <w:tc>
          <w:tcPr>
            <w:tcW w:w="380" w:type="dxa"/>
            <w:vAlign w:val="bottom"/>
            <w:gridSpan w:val="2"/>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1,454,000</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142,000</w:t>
            </w:r>
          </w:p>
        </w:tc>
      </w:tr>
      <w:tr>
        <w:trPr>
          <w:trHeight w:val="214"/>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Working capital (deficit)</w:t>
            </w:r>
          </w:p>
        </w:tc>
        <w:tc>
          <w:tcPr>
            <w:tcW w:w="380" w:type="dxa"/>
            <w:vAlign w:val="bottom"/>
            <w:gridSpan w:val="2"/>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(1,766,000)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(1,024,000)</w:t>
            </w:r>
          </w:p>
        </w:tc>
      </w:tr>
      <w:tr>
        <w:trPr>
          <w:trHeight w:val="20"/>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Subject to the availability of additional financing, we intend to spend approximately $7,500,000 over the next twelve months in carrying out our plan of operations. At March 31, 2015, we had $1,454,000 of cash on hand and a working capital deficit of $1,766,000. In January and March 2015, we raised approximately $2.33 million in private and brokered placements.</w:t>
      </w:r>
    </w:p>
    <w:p>
      <w:pPr>
        <w:spacing w:after="0" w:line="1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Various conditions outside of our control may detract from our ability to raise additional capital needed to execute our plan of operations, including overall market conditions in the international and local economies. We recognize that the United States economy has suffered through a period of uncertainty during which the capital markets have been depressed,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Cash Used in Operating Activities</w:t>
      </w:r>
    </w:p>
    <w:p>
      <w:pPr>
        <w:spacing w:after="0" w:line="21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Net cash used in operating activities during the three months ended March 31, 2015 was $1,014,000 compared to $373,000 during the prior period.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Cash Provided by Financing Activities</w:t>
      </w:r>
    </w:p>
    <w:p>
      <w:pPr>
        <w:spacing w:after="0" w:line="21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Net cash provided by financing activities during the three months ended March 31, 2015 was $2,326,000 compared to $418,000 during the prior period. Current period financing consisted of proceeds from private placements while prior period financing relates to proceeds from convertible notes.</w:t>
      </w:r>
    </w:p>
    <w:p>
      <w:pPr>
        <w:spacing w:after="0" w:line="13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As of March 31, 2015, we anticipate that we will need significant financing to enable us to meet our anticipated expenditures for the next twelve months, which are expected to be in the range of $7,500,000 assuming a single Phase 2 clinical trial.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Going Concern</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We have no sources of revenue to provide incoming cash flows to sustain our future operations. As outlined above, our ability to pursue our planned business activities is dependent upon our successful efforts to raise additional financing. 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As at March 31, 2015, we had accumulated losses of $87,291,000 since inception. Our financial statements do not include any adjustments to the recoverability and classification of recorded asset amounts and classification of liabilities that might be necessary should we be unable to continue as a going concern.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21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MANAGEMENT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directors and executive officers and their respective ages as of the date of this annual report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Age</w:t>
            </w:r>
          </w:p>
        </w:tc>
        <w:tc>
          <w:tcPr>
            <w:tcW w:w="140" w:type="dxa"/>
            <w:vAlign w:val="bottom"/>
            <w:tcBorders>
              <w:top w:val="single" w:sz="8" w:color="auto"/>
            </w:tcBorders>
          </w:tcPr>
          <w:p>
            <w:pPr>
              <w:spacing w:after="0"/>
              <w:rPr>
                <w:sz w:val="19"/>
                <w:szCs w:val="19"/>
                <w:color w:val="auto"/>
              </w:rPr>
            </w:pPr>
          </w:p>
        </w:tc>
        <w:tc>
          <w:tcPr>
            <w:tcW w:w="5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Position with the Company</w:t>
            </w:r>
          </w:p>
        </w:tc>
        <w:tc>
          <w:tcPr>
            <w:tcW w:w="0" w:type="dxa"/>
            <w:vAlign w:val="bottom"/>
          </w:tcPr>
          <w:p>
            <w:pPr>
              <w:spacing w:after="0"/>
              <w:rPr>
                <w:sz w:val="1"/>
                <w:szCs w:val="1"/>
                <w:color w:val="auto"/>
              </w:rPr>
            </w:pP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8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Glynn Wilson</w:t>
            </w:r>
          </w:p>
        </w:tc>
        <w:tc>
          <w:tcPr>
            <w:tcW w:w="120" w:type="dxa"/>
            <w:vAlign w:val="bottom"/>
            <w:vMerge w:val="continue"/>
          </w:tcPr>
          <w:p>
            <w:pPr>
              <w:spacing w:after="0"/>
              <w:rPr>
                <w:sz w:val="14"/>
                <w:szCs w:val="14"/>
                <w:color w:val="auto"/>
              </w:rPr>
            </w:pPr>
          </w:p>
        </w:tc>
        <w:tc>
          <w:tcPr>
            <w:tcW w:w="1080" w:type="dxa"/>
            <w:vAlign w:val="bottom"/>
          </w:tcPr>
          <w:p>
            <w:pPr>
              <w:jc w:val="right"/>
              <w:ind w:right="318"/>
              <w:spacing w:after="0" w:line="170" w:lineRule="exact"/>
              <w:rPr>
                <w:sz w:val="20"/>
                <w:szCs w:val="20"/>
                <w:color w:val="auto"/>
              </w:rPr>
            </w:pPr>
            <w:r>
              <w:rPr>
                <w:rFonts w:ascii="Times New Roman" w:cs="Times New Roman" w:eastAsia="Times New Roman" w:hAnsi="Times New Roman"/>
                <w:sz w:val="16"/>
                <w:szCs w:val="16"/>
                <w:color w:val="auto"/>
              </w:rPr>
              <w:t>68</w:t>
            </w:r>
          </w:p>
        </w:tc>
        <w:tc>
          <w:tcPr>
            <w:tcW w:w="140" w:type="dxa"/>
            <w:vAlign w:val="bottom"/>
            <w:vMerge w:val="continue"/>
          </w:tcPr>
          <w:p>
            <w:pPr>
              <w:spacing w:after="0"/>
              <w:rPr>
                <w:sz w:val="14"/>
                <w:szCs w:val="14"/>
                <w:color w:val="auto"/>
              </w:rPr>
            </w:pPr>
          </w:p>
        </w:tc>
        <w:tc>
          <w:tcPr>
            <w:tcW w:w="540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Chairman, Chief Executive Officer, Principal Executive Officer and a Director</w:t>
            </w:r>
          </w:p>
        </w:tc>
        <w:tc>
          <w:tcPr>
            <w:tcW w:w="0" w:type="dxa"/>
            <w:vAlign w:val="bottom"/>
          </w:tcPr>
          <w:p>
            <w:pPr>
              <w:spacing w:after="0"/>
              <w:rPr>
                <w:sz w:val="1"/>
                <w:szCs w:val="1"/>
                <w:color w:val="auto"/>
              </w:rPr>
            </w:pPr>
          </w:p>
        </w:tc>
      </w:tr>
      <w:tr>
        <w:trPr>
          <w:trHeight w:val="197"/>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Mark Reddish</w:t>
            </w:r>
          </w:p>
        </w:tc>
        <w:tc>
          <w:tcPr>
            <w:tcW w:w="1200" w:type="dxa"/>
            <w:vAlign w:val="bottom"/>
            <w:gridSpan w:val="2"/>
          </w:tcPr>
          <w:p>
            <w:pPr>
              <w:jc w:val="right"/>
              <w:ind w:right="318"/>
              <w:spacing w:after="0"/>
              <w:rPr>
                <w:sz w:val="20"/>
                <w:szCs w:val="20"/>
                <w:color w:val="auto"/>
              </w:rPr>
            </w:pPr>
            <w:r>
              <w:rPr>
                <w:rFonts w:ascii="Times New Roman" w:cs="Times New Roman" w:eastAsia="Times New Roman" w:hAnsi="Times New Roman"/>
                <w:sz w:val="16"/>
                <w:szCs w:val="16"/>
                <w:color w:val="auto"/>
              </w:rPr>
              <w:t>60</w:t>
            </w:r>
          </w:p>
        </w:tc>
        <w:tc>
          <w:tcPr>
            <w:tcW w:w="140" w:type="dxa"/>
            <w:vAlign w:val="bottom"/>
          </w:tcPr>
          <w:p>
            <w:pPr>
              <w:spacing w:after="0"/>
              <w:rPr>
                <w:sz w:val="17"/>
                <w:szCs w:val="17"/>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Vice President Development</w:t>
            </w:r>
          </w:p>
        </w:tc>
        <w:tc>
          <w:tcPr>
            <w:tcW w:w="0" w:type="dxa"/>
            <w:vAlign w:val="bottom"/>
          </w:tcPr>
          <w:p>
            <w:pPr>
              <w:spacing w:after="0"/>
              <w:rPr>
                <w:sz w:val="1"/>
                <w:szCs w:val="1"/>
                <w:color w:val="auto"/>
              </w:rPr>
            </w:pPr>
          </w:p>
        </w:tc>
      </w:tr>
      <w:tr>
        <w:trPr>
          <w:trHeight w:val="197"/>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Sherry Grisewood</w:t>
            </w:r>
          </w:p>
        </w:tc>
        <w:tc>
          <w:tcPr>
            <w:tcW w:w="1200" w:type="dxa"/>
            <w:vAlign w:val="bottom"/>
            <w:gridSpan w:val="2"/>
          </w:tcPr>
          <w:p>
            <w:pPr>
              <w:jc w:val="right"/>
              <w:ind w:right="318"/>
              <w:spacing w:after="0"/>
              <w:rPr>
                <w:sz w:val="20"/>
                <w:szCs w:val="20"/>
                <w:color w:val="auto"/>
              </w:rPr>
            </w:pPr>
            <w:r>
              <w:rPr>
                <w:rFonts w:ascii="Times New Roman" w:cs="Times New Roman" w:eastAsia="Times New Roman" w:hAnsi="Times New Roman"/>
                <w:sz w:val="16"/>
                <w:szCs w:val="16"/>
                <w:color w:val="auto"/>
              </w:rPr>
              <w:t>62</w:t>
            </w:r>
          </w:p>
        </w:tc>
        <w:tc>
          <w:tcPr>
            <w:tcW w:w="140" w:type="dxa"/>
            <w:vAlign w:val="bottom"/>
          </w:tcPr>
          <w:p>
            <w:pPr>
              <w:spacing w:after="0"/>
              <w:rPr>
                <w:sz w:val="17"/>
                <w:szCs w:val="17"/>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Independent Board Member</w:t>
            </w:r>
          </w:p>
        </w:tc>
        <w:tc>
          <w:tcPr>
            <w:tcW w:w="0" w:type="dxa"/>
            <w:vAlign w:val="bottom"/>
          </w:tcPr>
          <w:p>
            <w:pPr>
              <w:spacing w:after="0"/>
              <w:rPr>
                <w:sz w:val="1"/>
                <w:szCs w:val="1"/>
                <w:color w:val="auto"/>
              </w:rPr>
            </w:pPr>
          </w:p>
        </w:tc>
      </w:tr>
      <w:tr>
        <w:trPr>
          <w:trHeight w:val="214"/>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David Laskow-Pooley</w:t>
            </w:r>
          </w:p>
        </w:tc>
        <w:tc>
          <w:tcPr>
            <w:tcW w:w="1200" w:type="dxa"/>
            <w:vAlign w:val="bottom"/>
            <w:gridSpan w:val="2"/>
          </w:tcPr>
          <w:p>
            <w:pPr>
              <w:jc w:val="right"/>
              <w:ind w:right="318"/>
              <w:spacing w:after="0"/>
              <w:rPr>
                <w:sz w:val="20"/>
                <w:szCs w:val="20"/>
                <w:color w:val="auto"/>
              </w:rPr>
            </w:pPr>
            <w:r>
              <w:rPr>
                <w:rFonts w:ascii="Times New Roman" w:cs="Times New Roman" w:eastAsia="Times New Roman" w:hAnsi="Times New Roman"/>
                <w:sz w:val="16"/>
                <w:szCs w:val="16"/>
                <w:color w:val="auto"/>
              </w:rPr>
              <w:t>60</w:t>
            </w:r>
          </w:p>
        </w:tc>
        <w:tc>
          <w:tcPr>
            <w:tcW w:w="14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Independent Board Member</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describes the business experience of each of our directors and executive officers, including other directorships held in reporting companies: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Glynn Wilson, Ph.D., Chief Executive Officer and Chairman</w:t>
      </w: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Dr. Wilson brings an extensive background of success in corporate management and product development with tenures in both major multinational pharmaceutical companies and start-up pharmaceutical/biotech organizations. Dr. Wilson's former positions include Head of Drug Delivery at SmithKline Beecham Pharmaceuticals, Research Area Head in Advanced Drug Delivery at Ciba-Geigy Pharmaceuticals, and President and co-founder of Auriga Pharmaceuticals. As Executive Vice President of R&amp;D at Tacora Corporation he was responsible for merging the Company with Access Pharmaceuticals. He is a recognized leader in the development of drug delivery systems and has been involved in taking lead products &amp; technologies from concept to commercialization. Glynn has a Ph.D. in Biochemistry and conducted medical research at The Rockefeller University, New York. He has been on the Board of TapImmune for 5 years.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Reddish, Director</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Mark was formerly Vice President of Product Development and Principal Investigator, Biodefense at ID Biomedical, Bothell, WA, prior to the acquisition of the company by Glaxo SmithKline for $1.6 billion. At Biomira Inc, (renamed Oncothyreon) he was responsible for preclinical development of their cancer vaccines program where he led the early research and clinical development of Stimuvax, which is currently in late Stage 3 clinical trials under a partnership with Merck KGa. Mark brings thirty years of biomedical experience ranging from clinical and academic research to industrial product development and has already brought significant value and insight to TapImmune as a member of the scientific advisory board. He has over 50 publications and a number of issued and pending patents in the area of vaccine technologies.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Sherry Grisewood, Director</w:t>
      </w:r>
    </w:p>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Sherry Grisewood, CFA, has over 25 years securities industry experience in a range of investment banking, advisory and research-related activities. She is currently associated with Dawson James Securities Inc in a senior banking analytical role. Prior to joining Dawson James, she most recently inaugurated a Lifesciences specialty practice as Managing Director, Lifesciences and Technology Banking for Tripoint Global Equities. Prior to Tripoint, Ms. Grisewood served as Senior Life Sciences Banker at Jesup &amp; Lamont Securities Corp. and as an independent strategic advisor and consultant for several investment banks over the prior 12 year period. She has participated in over 50 transaction-related projects involving initial public offerings, secondary offerings, PIPE’s, private equity, M&amp;A and licensing transactions. These deals and projects represented US, Canadian, Scandinavian, UK, Chinese and Australian clients with advanced technologies and the development of nucleic acid therapeutics and delivery systems in the life sciences such as those addressing nucleic acid therapeutics, regenerative medicine, CNS diseases, or leading edge technologies for lifescience special situations. Prior to consulting for investment banks, Ms. Grisewood served as Director of Research for several mid-tier brokerage companies and a leading independent investment research company.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5" w:name="page46"/>
    <w:bookmarkEnd w:id="45"/>
    <w:p>
      <w:pPr>
        <w:jc w:val="both"/>
        <w:ind w:left="1"/>
        <w:spacing w:after="0" w:line="276" w:lineRule="auto"/>
        <w:rPr>
          <w:sz w:val="20"/>
          <w:szCs w:val="20"/>
          <w:color w:val="auto"/>
        </w:rPr>
      </w:pPr>
      <w:r>
        <w:rPr>
          <w:rFonts w:ascii="Times New Roman" w:cs="Times New Roman" w:eastAsia="Times New Roman" w:hAnsi="Times New Roman"/>
          <w:sz w:val="16"/>
          <w:szCs w:val="16"/>
          <w:color w:val="auto"/>
        </w:rPr>
        <w:t>Ms. Grisewood holds a Bachelor of Science degree (Highest Honors, 4.0GPA) in Life Science from Ramapo College of New Jersey. She is a member of the American Society of Gene and Cell Therapy, the Tissue Engineering and Regenerative Medicine Society International, the Society of Biomaterials, the CFA Institute and the NY Society of Security Analysts.</w:t>
      </w:r>
    </w:p>
    <w:p>
      <w:pPr>
        <w:spacing w:after="0" w:line="15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David Laskow-Pooley</w:t>
      </w:r>
    </w:p>
    <w:p>
      <w:pPr>
        <w:spacing w:after="0" w:line="214" w:lineRule="exact"/>
        <w:rPr>
          <w:sz w:val="20"/>
          <w:szCs w:val="20"/>
          <w:color w:val="auto"/>
        </w:rPr>
      </w:pPr>
    </w:p>
    <w:p>
      <w:pPr>
        <w:jc w:val="both"/>
        <w:ind w:left="1"/>
        <w:spacing w:after="0" w:line="266" w:lineRule="auto"/>
        <w:rPr>
          <w:sz w:val="20"/>
          <w:szCs w:val="20"/>
          <w:color w:val="auto"/>
        </w:rPr>
      </w:pPr>
      <w:r>
        <w:rPr>
          <w:rFonts w:ascii="Times New Roman" w:cs="Times New Roman" w:eastAsia="Times New Roman" w:hAnsi="Times New Roman"/>
          <w:sz w:val="16"/>
          <w:szCs w:val="16"/>
          <w:color w:val="auto"/>
        </w:rPr>
        <w:t>Mr. Laskow-Pooley is currently CEO of LondonPharma Ltd, a clinical stage company re-purposing approved drugs through novel drug delivery technologies and is the Co-founder of Pharmafor Ltd. He was formerly Managing Director (UK) of Nasdaq- listed drug discovery platform company, OSI, and was part of the corporate team that developed and launched Tarceva for the treatment of lung cancer with marketing partners Roche and Genentech. He has had a distinguished career in multinational pharmaceutical companies including Glaxo SmithKline and Abbott, in addition to InVitrogen (Biotech Life Sciences) and Amersham, now GE Healthcare (Diagnostic Imaging). He currently serves as a non-executive director and Chairman of OBN Ltd, an industry representative for small to medium enterprises (SME's) in the UK.</w:t>
      </w:r>
    </w:p>
    <w:p>
      <w:pPr>
        <w:spacing w:after="0" w:line="15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Term of Office</w:t>
      </w:r>
    </w:p>
    <w:p>
      <w:pPr>
        <w:spacing w:after="0" w:line="214" w:lineRule="exact"/>
        <w:rPr>
          <w:sz w:val="20"/>
          <w:szCs w:val="20"/>
          <w:color w:val="auto"/>
        </w:rPr>
      </w:pPr>
    </w:p>
    <w:p>
      <w:pPr>
        <w:jc w:val="both"/>
        <w:ind w:left="1"/>
        <w:spacing w:after="0" w:line="296" w:lineRule="auto"/>
        <w:rPr>
          <w:sz w:val="20"/>
          <w:szCs w:val="20"/>
          <w:color w:val="auto"/>
        </w:rPr>
      </w:pPr>
      <w:r>
        <w:rPr>
          <w:rFonts w:ascii="Times New Roman" w:cs="Times New Roman" w:eastAsia="Times New Roman" w:hAnsi="Times New Roman"/>
          <w:sz w:val="16"/>
          <w:szCs w:val="16"/>
          <w:color w:val="auto"/>
        </w:rPr>
        <w:t>Our directors are appointed for a one-year term to hold office until the next annual general meeting of our stockholders or until they resign or are removed from the board in accordance with our bylaws. Our officers are appointed by our Board of Directors and hold office until they resign or are removed from office by the Board of Directors.</w:t>
      </w:r>
    </w:p>
    <w:p>
      <w:pPr>
        <w:spacing w:after="0" w:line="13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Significant Employees</w:t>
      </w:r>
    </w:p>
    <w:p>
      <w:pPr>
        <w:spacing w:after="0" w:line="21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On December 31, 2014 we had one full-time employee and a number of management and scientific consultants.</w:t>
      </w:r>
    </w:p>
    <w:p>
      <w:pPr>
        <w:spacing w:after="0" w:line="20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Audit Committee</w:t>
      </w:r>
    </w:p>
    <w:p>
      <w:pPr>
        <w:spacing w:after="0" w:line="214" w:lineRule="exact"/>
        <w:rPr>
          <w:sz w:val="20"/>
          <w:szCs w:val="20"/>
          <w:color w:val="auto"/>
        </w:rPr>
      </w:pPr>
    </w:p>
    <w:p>
      <w:pPr>
        <w:jc w:val="both"/>
        <w:ind w:left="1"/>
        <w:spacing w:after="0" w:line="296" w:lineRule="auto"/>
        <w:rPr>
          <w:sz w:val="20"/>
          <w:szCs w:val="20"/>
          <w:color w:val="auto"/>
        </w:rPr>
      </w:pPr>
      <w:r>
        <w:rPr>
          <w:rFonts w:ascii="Times New Roman" w:cs="Times New Roman" w:eastAsia="Times New Roman" w:hAnsi="Times New Roman"/>
          <w:sz w:val="16"/>
          <w:szCs w:val="16"/>
          <w:color w:val="auto"/>
        </w:rPr>
        <w:t>Our Board of Directors has established an Audit Committee which functions pursuant to a written charter adopted by our Board of Directors in March 2004. The members of our Audit Committee as of December 31, 2014 were Dr. Wilson, Mr. Reddish and Ms. Grisewood.</w:t>
      </w:r>
    </w:p>
    <w:p>
      <w:pPr>
        <w:spacing w:after="0" w:line="16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Our Board of Directors has determined that our Audit Committee does not have a member that qualifies as an “audit committee financial expert” as defined in Item 407(d)(5)</w:t>
      </w:r>
    </w:p>
    <w:p>
      <w:pPr>
        <w:spacing w:after="0" w:line="30" w:lineRule="exact"/>
        <w:rPr>
          <w:sz w:val="20"/>
          <w:szCs w:val="20"/>
          <w:color w:val="auto"/>
        </w:rPr>
      </w:pPr>
    </w:p>
    <w:p>
      <w:pPr>
        <w:jc w:val="both"/>
        <w:ind w:left="1" w:hanging="1"/>
        <w:spacing w:after="0" w:line="262" w:lineRule="auto"/>
        <w:tabs>
          <w:tab w:leader="none" w:pos="267"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Regulation S-K. Our Board of Directors believes that it is capable of analyzing and evaluating our financial statements and understanding internal controls and procedures for financial reporting and that retaining an independent director who would qualify as an “audit committee financial expert” would be overly costly and burdensome at this time. In March 2013, the Company appointed Sherry Grisewood to the Board of Directors. Ms. Grisewood has over 25 years of securities industry experience in a range of investment banking, advisory and research-related activities. Ms. Grisewood is leading the audit committee.</w:t>
      </w:r>
    </w:p>
    <w:p>
      <w:pPr>
        <w:spacing w:after="0" w:line="16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Compensation Committee</w:t>
      </w:r>
    </w:p>
    <w:p>
      <w:pPr>
        <w:spacing w:after="0" w:line="21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Dr. Wilson and Ms. Grisewood serve on our compensation committee, which is now led by Ms. Grisewood.</w:t>
      </w:r>
    </w:p>
    <w:p>
      <w:pPr>
        <w:spacing w:after="0" w:line="20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Scientific Advisory Board</w:t>
      </w:r>
    </w:p>
    <w:p>
      <w:pPr>
        <w:spacing w:after="0" w:line="21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On March 19, 2014, we established the scientific advisory board. Also, on that date, Dr. Keith Knutson was appointed as chairman of the Scientific Advisory Board.</w:t>
      </w:r>
    </w:p>
    <w:p>
      <w:pPr>
        <w:spacing w:after="0" w:line="20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Involvement in Certain Legal Proceedings</w:t>
      </w:r>
    </w:p>
    <w:p>
      <w:pPr>
        <w:spacing w:after="0" w:line="214" w:lineRule="exact"/>
        <w:rPr>
          <w:sz w:val="20"/>
          <w:szCs w:val="20"/>
          <w:color w:val="auto"/>
        </w:rPr>
      </w:pPr>
    </w:p>
    <w:p>
      <w:pPr>
        <w:jc w:val="both"/>
        <w:ind w:left="1"/>
        <w:spacing w:after="0" w:line="264" w:lineRule="auto"/>
        <w:rPr>
          <w:sz w:val="20"/>
          <w:szCs w:val="20"/>
          <w:color w:val="auto"/>
        </w:rPr>
      </w:pPr>
      <w:r>
        <w:rPr>
          <w:rFonts w:ascii="Times New Roman" w:cs="Times New Roman" w:eastAsia="Times New Roman" w:hAnsi="Times New Roman"/>
          <w:sz w:val="16"/>
          <w:szCs w:val="16"/>
          <w:color w:val="auto"/>
        </w:rPr>
        <w:t>None of our directors, executive officers or control persons has been involved in any of the following events during the past five years: (i) any bankruptcy petition filed by or against any business of which such person was a general partner or executive officer either at the time of the bankruptcy or within two years prior to that time; (ii) any conviction in a criminal proceeding or being subject to a pending criminal proceeding (excluding traffic violations and other minor offences); (iii) being subject to any order, judgment or decree, not subsequently reversed, suspended or vacated, of any court of competent jurisdiction, permanently or temporarily enjoining, barring, suspending or otherwise limiting his involvement in any type of business, securities or banking activities; or (iv) being found by a court of competent jurisdiction (in a civil action), the SEC or the Commodity Futures Trading Commission to have violated a federal or state securities or commodities law, and the judgment has not been reversed, suspended or vacated.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63765"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480"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color w:val="auto"/>
        </w:rPr>
        <w:t>Code of Conduct</w:t>
      </w:r>
    </w:p>
    <w:p>
      <w:pPr>
        <w:spacing w:after="0" w:line="2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We have adopted a Code of Conduct policy that applies to all directors and officers. The code describes the legal, ethical and regulatory standards that must be followed by the directors and officers of the Company and sets forth high standards of business conduct applicable to each director and officer. A copy of the Code of Conduct can be viewed on our website at the following URL: http://www.tapimmune.com/investors/corporate_info/</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TRANSACTIONS WITH RELATED PERSONS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2014, we had outstanding promissory notes in the amount of $52,942, of which $23,000 of promissory notes were from one of our officers and directors.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promissory notes bear no interest charges and have no fixed repayment terms.</w:t>
      </w:r>
    </w:p>
    <w:p>
      <w:pPr>
        <w:spacing w:after="0" w:line="19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During the year ended December 31, 2014, a note holder converted outstanding principal of $210,000 and accrued interest of $12,000 into preferred stock which was immediately converted into common shares. During the year ended December 31, 2014, $15,000 of the promissory notes were repaid to one of our officers and directors.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compensation paid to our executive officers for their services as executive officers during our fiscal years ended December 31, 2014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2013: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1200" w:type="dxa"/>
            <w:vAlign w:val="bottom"/>
            <w:tcBorders>
              <w:top w:val="single" w:sz="8" w:color="auto"/>
            </w:tcBorders>
          </w:tcPr>
          <w:p>
            <w:pPr>
              <w:jc w:val="center"/>
              <w:ind w:left="58"/>
              <w:spacing w:after="0" w:line="181" w:lineRule="exact"/>
              <w:rPr>
                <w:sz w:val="20"/>
                <w:szCs w:val="20"/>
                <w:color w:val="auto"/>
              </w:rPr>
            </w:pPr>
            <w:r>
              <w:rPr>
                <w:rFonts w:ascii="Times New Roman" w:cs="Times New Roman" w:eastAsia="Times New Roman" w:hAnsi="Times New Roman"/>
                <w:sz w:val="16"/>
                <w:szCs w:val="16"/>
                <w:b w:val="1"/>
                <w:bCs w:val="1"/>
                <w:color w:val="auto"/>
              </w:rPr>
              <w:t>Option</w:t>
            </w:r>
          </w:p>
        </w:tc>
        <w:tc>
          <w:tcPr>
            <w:tcW w:w="158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All Other</w:t>
            </w:r>
          </w:p>
        </w:tc>
        <w:tc>
          <w:tcPr>
            <w:tcW w:w="1140" w:type="dxa"/>
            <w:vAlign w:val="bottom"/>
            <w:tcBorders>
              <w:top w:val="single" w:sz="8" w:color="auto"/>
            </w:tcBorders>
          </w:tcPr>
          <w:p>
            <w:pPr>
              <w:spacing w:after="0"/>
              <w:rPr>
                <w:sz w:val="15"/>
                <w:szCs w:val="15"/>
                <w:color w:val="auto"/>
              </w:rPr>
            </w:pPr>
          </w:p>
        </w:tc>
      </w:tr>
      <w:tr>
        <w:trPr>
          <w:trHeight w:val="197"/>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Principal</w:t>
            </w:r>
          </w:p>
        </w:tc>
        <w:tc>
          <w:tcPr>
            <w:tcW w:w="860" w:type="dxa"/>
            <w:vAlign w:val="bottom"/>
          </w:tcPr>
          <w:p>
            <w:pPr>
              <w:spacing w:after="0"/>
              <w:rPr>
                <w:sz w:val="17"/>
                <w:szCs w:val="17"/>
                <w:color w:val="auto"/>
              </w:rPr>
            </w:pPr>
          </w:p>
        </w:tc>
        <w:tc>
          <w:tcPr>
            <w:tcW w:w="11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Bonus</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200" w:type="dxa"/>
            <w:vAlign w:val="bottom"/>
          </w:tcPr>
          <w:p>
            <w:pPr>
              <w:jc w:val="center"/>
              <w:ind w:left="58"/>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14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8"/>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200" w:type="dxa"/>
            <w:vAlign w:val="bottom"/>
            <w:tcBorders>
              <w:bottom w:val="single" w:sz="8" w:color="auto"/>
            </w:tcBorders>
          </w:tcPr>
          <w:p>
            <w:pPr>
              <w:jc w:val="center"/>
              <w:ind w:left="38"/>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1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w:t>
            </w: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8"/>
        </w:trPr>
        <w:tc>
          <w:tcPr>
            <w:tcW w:w="296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Glynn Wilson</w:t>
            </w: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7"/>
        </w:trPr>
        <w:tc>
          <w:tcPr>
            <w:tcW w:w="29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Chairman, CEO and Principal Executive</w:t>
            </w:r>
          </w:p>
        </w:tc>
        <w:tc>
          <w:tcPr>
            <w:tcW w:w="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2014</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180,000</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Nil</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Nil</w:t>
            </w:r>
          </w:p>
        </w:tc>
        <w:tc>
          <w:tcPr>
            <w:tcW w:w="1200" w:type="dxa"/>
            <w:vAlign w:val="bottom"/>
          </w:tcPr>
          <w:p>
            <w:pPr>
              <w:jc w:val="center"/>
              <w:ind w:left="58"/>
              <w:spacing w:after="0"/>
              <w:rPr>
                <w:sz w:val="20"/>
                <w:szCs w:val="20"/>
                <w:color w:val="auto"/>
              </w:rPr>
            </w:pPr>
            <w:r>
              <w:rPr>
                <w:rFonts w:ascii="Times New Roman" w:cs="Times New Roman" w:eastAsia="Times New Roman" w:hAnsi="Times New Roman"/>
                <w:sz w:val="16"/>
                <w:szCs w:val="16"/>
                <w:color w:val="auto"/>
              </w:rPr>
              <w:t>Nil</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Nil</w:t>
            </w:r>
          </w:p>
        </w:tc>
        <w:tc>
          <w:tcPr>
            <w:tcW w:w="1140" w:type="dxa"/>
            <w:vAlign w:val="bottom"/>
          </w:tcPr>
          <w:p>
            <w:pPr>
              <w:jc w:val="center"/>
              <w:ind w:right="38"/>
              <w:spacing w:after="0"/>
              <w:rPr>
                <w:sz w:val="20"/>
                <w:szCs w:val="20"/>
                <w:color w:val="auto"/>
              </w:rPr>
            </w:pPr>
            <w:r>
              <w:rPr>
                <w:rFonts w:ascii="Times New Roman" w:cs="Times New Roman" w:eastAsia="Times New Roman" w:hAnsi="Times New Roman"/>
                <w:sz w:val="16"/>
                <w:szCs w:val="16"/>
                <w:color w:val="auto"/>
              </w:rPr>
              <w:t>180,000</w:t>
            </w:r>
          </w:p>
        </w:tc>
      </w:tr>
      <w:tr>
        <w:trPr>
          <w:trHeight w:val="197"/>
        </w:trPr>
        <w:tc>
          <w:tcPr>
            <w:tcW w:w="29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Officer and Acting Principal Accounting</w:t>
            </w:r>
          </w:p>
        </w:tc>
        <w:tc>
          <w:tcPr>
            <w:tcW w:w="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2013</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180,000</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Nil</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Nil</w:t>
            </w:r>
          </w:p>
        </w:tc>
        <w:tc>
          <w:tcPr>
            <w:tcW w:w="1200" w:type="dxa"/>
            <w:vAlign w:val="bottom"/>
          </w:tcPr>
          <w:p>
            <w:pPr>
              <w:jc w:val="center"/>
              <w:ind w:left="58"/>
              <w:spacing w:after="0"/>
              <w:rPr>
                <w:sz w:val="20"/>
                <w:szCs w:val="20"/>
                <w:color w:val="auto"/>
              </w:rPr>
            </w:pPr>
            <w:r>
              <w:rPr>
                <w:rFonts w:ascii="Times New Roman" w:cs="Times New Roman" w:eastAsia="Times New Roman" w:hAnsi="Times New Roman"/>
                <w:sz w:val="16"/>
                <w:szCs w:val="16"/>
                <w:color w:val="auto"/>
              </w:rPr>
              <w:t>Nil</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Nil</w:t>
            </w:r>
          </w:p>
        </w:tc>
        <w:tc>
          <w:tcPr>
            <w:tcW w:w="1140" w:type="dxa"/>
            <w:vAlign w:val="bottom"/>
          </w:tcPr>
          <w:p>
            <w:pPr>
              <w:jc w:val="center"/>
              <w:ind w:right="38"/>
              <w:spacing w:after="0"/>
              <w:rPr>
                <w:sz w:val="20"/>
                <w:szCs w:val="20"/>
                <w:color w:val="auto"/>
              </w:rPr>
            </w:pPr>
            <w:r>
              <w:rPr>
                <w:rFonts w:ascii="Times New Roman" w:cs="Times New Roman" w:eastAsia="Times New Roman" w:hAnsi="Times New Roman"/>
                <w:sz w:val="16"/>
                <w:szCs w:val="16"/>
                <w:color w:val="auto"/>
              </w:rPr>
              <w:t>180,000</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75"/>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Mark Reddish</w:t>
            </w:r>
          </w:p>
        </w:tc>
        <w:tc>
          <w:tcPr>
            <w:tcW w:w="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2014</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15,000</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Nil</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Nil</w:t>
            </w:r>
          </w:p>
        </w:tc>
        <w:tc>
          <w:tcPr>
            <w:tcW w:w="1200" w:type="dxa"/>
            <w:vAlign w:val="bottom"/>
          </w:tcPr>
          <w:p>
            <w:pPr>
              <w:jc w:val="center"/>
              <w:ind w:left="58"/>
              <w:spacing w:after="0"/>
              <w:rPr>
                <w:sz w:val="20"/>
                <w:szCs w:val="20"/>
                <w:color w:val="auto"/>
              </w:rPr>
            </w:pPr>
            <w:r>
              <w:rPr>
                <w:rFonts w:ascii="Times New Roman" w:cs="Times New Roman" w:eastAsia="Times New Roman" w:hAnsi="Times New Roman"/>
                <w:sz w:val="16"/>
                <w:szCs w:val="16"/>
                <w:color w:val="auto"/>
              </w:rPr>
              <w:t>Nil</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Nil</w:t>
            </w:r>
          </w:p>
        </w:tc>
        <w:tc>
          <w:tcPr>
            <w:tcW w:w="1140" w:type="dxa"/>
            <w:vAlign w:val="bottom"/>
          </w:tcPr>
          <w:p>
            <w:pPr>
              <w:jc w:val="center"/>
              <w:ind w:right="38"/>
              <w:spacing w:after="0"/>
              <w:rPr>
                <w:sz w:val="20"/>
                <w:szCs w:val="20"/>
                <w:color w:val="auto"/>
              </w:rPr>
            </w:pPr>
            <w:r>
              <w:rPr>
                <w:rFonts w:ascii="Times New Roman" w:cs="Times New Roman" w:eastAsia="Times New Roman" w:hAnsi="Times New Roman"/>
                <w:sz w:val="16"/>
                <w:szCs w:val="16"/>
                <w:color w:val="auto"/>
              </w:rPr>
              <w:t>15,000</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VP Development</w:t>
            </w:r>
          </w:p>
        </w:tc>
        <w:tc>
          <w:tcPr>
            <w:tcW w:w="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2013</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60,000</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Nil</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Nil</w:t>
            </w:r>
          </w:p>
        </w:tc>
        <w:tc>
          <w:tcPr>
            <w:tcW w:w="1200" w:type="dxa"/>
            <w:vAlign w:val="bottom"/>
          </w:tcPr>
          <w:p>
            <w:pPr>
              <w:jc w:val="center"/>
              <w:ind w:left="58"/>
              <w:spacing w:after="0"/>
              <w:rPr>
                <w:sz w:val="20"/>
                <w:szCs w:val="20"/>
                <w:color w:val="auto"/>
              </w:rPr>
            </w:pPr>
            <w:r>
              <w:rPr>
                <w:rFonts w:ascii="Times New Roman" w:cs="Times New Roman" w:eastAsia="Times New Roman" w:hAnsi="Times New Roman"/>
                <w:sz w:val="16"/>
                <w:szCs w:val="16"/>
                <w:color w:val="auto"/>
              </w:rPr>
              <w:t>Nil</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Nil</w:t>
            </w:r>
          </w:p>
        </w:tc>
        <w:tc>
          <w:tcPr>
            <w:tcW w:w="1140" w:type="dxa"/>
            <w:vAlign w:val="bottom"/>
          </w:tcPr>
          <w:p>
            <w:pPr>
              <w:jc w:val="center"/>
              <w:ind w:right="38"/>
              <w:spacing w:after="0"/>
              <w:rPr>
                <w:sz w:val="20"/>
                <w:szCs w:val="20"/>
                <w:color w:val="auto"/>
              </w:rPr>
            </w:pPr>
            <w:r>
              <w:rPr>
                <w:rFonts w:ascii="Times New Roman" w:cs="Times New Roman" w:eastAsia="Times New Roman" w:hAnsi="Times New Roman"/>
                <w:sz w:val="16"/>
                <w:szCs w:val="16"/>
                <w:color w:val="auto"/>
              </w:rPr>
              <w:t>60,000</w:t>
            </w:r>
          </w:p>
        </w:tc>
      </w:tr>
      <w:tr>
        <w:trPr>
          <w:trHeight w:val="196"/>
        </w:trPr>
        <w:tc>
          <w:tcPr>
            <w:tcW w:w="29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amounts represent fees paid or accrued by us to the executive officers during the past year pursuant to various employment and consulting services agreements, as between us and the executive officers, which are described below. Our executive officers are also reimbursed for any out-of-pocket expenses incurred in connection with corporate duties. We presently have no pension, health, annuity, insurance, profit sharing or similar benefit plans.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information as at December 31, 2014 relating to outstanding equity awards for each Named Executive Officer:</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6"/>
          <w:szCs w:val="16"/>
          <w:b w:val="1"/>
          <w:bCs w:val="1"/>
          <w:color w:val="auto"/>
        </w:rPr>
        <w:t>Outstanding Equity Awards at Year End Table</w:t>
      </w:r>
    </w:p>
    <w:p>
      <w:pPr>
        <w:spacing w:after="0" w:line="3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84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jc w:val="center"/>
              <w:ind w:left="218"/>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72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54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2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r>
      <w:tr>
        <w:trPr>
          <w:trHeight w:val="197"/>
        </w:trPr>
        <w:tc>
          <w:tcPr>
            <w:tcW w:w="3840" w:type="dxa"/>
            <w:vAlign w:val="bottom"/>
          </w:tcPr>
          <w:p>
            <w:pPr>
              <w:spacing w:after="0"/>
              <w:rPr>
                <w:sz w:val="17"/>
                <w:szCs w:val="17"/>
                <w:color w:val="auto"/>
              </w:rPr>
            </w:pPr>
          </w:p>
        </w:tc>
        <w:tc>
          <w:tcPr>
            <w:tcW w:w="1860" w:type="dxa"/>
            <w:vAlign w:val="bottom"/>
          </w:tcPr>
          <w:p>
            <w:pPr>
              <w:jc w:val="center"/>
              <w:ind w:left="218"/>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7"/>
        </w:trPr>
        <w:tc>
          <w:tcPr>
            <w:tcW w:w="3840" w:type="dxa"/>
            <w:vAlign w:val="bottom"/>
          </w:tcPr>
          <w:p>
            <w:pPr>
              <w:spacing w:after="0"/>
              <w:rPr>
                <w:sz w:val="17"/>
                <w:szCs w:val="17"/>
                <w:color w:val="auto"/>
              </w:rPr>
            </w:pPr>
          </w:p>
        </w:tc>
        <w:tc>
          <w:tcPr>
            <w:tcW w:w="1860" w:type="dxa"/>
            <w:vAlign w:val="bottom"/>
          </w:tcPr>
          <w:p>
            <w:pPr>
              <w:jc w:val="center"/>
              <w:ind w:left="218"/>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7"/>
        </w:trPr>
        <w:tc>
          <w:tcPr>
            <w:tcW w:w="3840" w:type="dxa"/>
            <w:vAlign w:val="bottom"/>
          </w:tcPr>
          <w:p>
            <w:pPr>
              <w:spacing w:after="0"/>
              <w:rPr>
                <w:sz w:val="17"/>
                <w:szCs w:val="17"/>
                <w:color w:val="auto"/>
              </w:rPr>
            </w:pPr>
          </w:p>
        </w:tc>
        <w:tc>
          <w:tcPr>
            <w:tcW w:w="1860" w:type="dxa"/>
            <w:vAlign w:val="bottom"/>
          </w:tcPr>
          <w:p>
            <w:pPr>
              <w:jc w:val="center"/>
              <w:ind w:left="238"/>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r>
      <w:tr>
        <w:trPr>
          <w:trHeight w:val="197"/>
        </w:trPr>
        <w:tc>
          <w:tcPr>
            <w:tcW w:w="3840" w:type="dxa"/>
            <w:vAlign w:val="bottom"/>
          </w:tcPr>
          <w:p>
            <w:pPr>
              <w:spacing w:after="0"/>
              <w:rPr>
                <w:sz w:val="17"/>
                <w:szCs w:val="17"/>
                <w:color w:val="auto"/>
              </w:rPr>
            </w:pPr>
          </w:p>
        </w:tc>
        <w:tc>
          <w:tcPr>
            <w:tcW w:w="1860" w:type="dxa"/>
            <w:vAlign w:val="bottom"/>
          </w:tcPr>
          <w:p>
            <w:pPr>
              <w:jc w:val="center"/>
              <w:ind w:left="218"/>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r>
      <w:tr>
        <w:trPr>
          <w:trHeight w:val="218"/>
        </w:trPr>
        <w:tc>
          <w:tcPr>
            <w:tcW w:w="384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860" w:type="dxa"/>
            <w:vAlign w:val="bottom"/>
            <w:tcBorders>
              <w:bottom w:val="single" w:sz="8" w:color="auto"/>
            </w:tcBorders>
          </w:tcPr>
          <w:p>
            <w:pPr>
              <w:jc w:val="center"/>
              <w:ind w:left="218"/>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(unexercisable)</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0"/>
        </w:trPr>
        <w:tc>
          <w:tcPr>
            <w:tcW w:w="3840" w:type="dxa"/>
            <w:vAlign w:val="bottom"/>
          </w:tcPr>
          <w:p>
            <w:pPr>
              <w:spacing w:after="0"/>
              <w:rPr>
                <w:sz w:val="14"/>
                <w:szCs w:val="14"/>
                <w:color w:val="auto"/>
              </w:rPr>
            </w:pPr>
          </w:p>
        </w:tc>
        <w:tc>
          <w:tcPr>
            <w:tcW w:w="1860" w:type="dxa"/>
            <w:vAlign w:val="bottom"/>
          </w:tcPr>
          <w:p>
            <w:pPr>
              <w:jc w:val="right"/>
              <w:ind w:right="558"/>
              <w:spacing w:after="0" w:line="170" w:lineRule="exact"/>
              <w:rPr>
                <w:sz w:val="20"/>
                <w:szCs w:val="20"/>
                <w:color w:val="auto"/>
              </w:rPr>
            </w:pPr>
            <w:r>
              <w:rPr>
                <w:rFonts w:ascii="Times New Roman" w:cs="Times New Roman" w:eastAsia="Times New Roman" w:hAnsi="Times New Roman"/>
                <w:sz w:val="16"/>
                <w:szCs w:val="16"/>
                <w:color w:val="auto"/>
              </w:rPr>
              <w:t>400</w:t>
            </w:r>
          </w:p>
        </w:tc>
        <w:tc>
          <w:tcPr>
            <w:tcW w:w="172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color w:val="auto"/>
              </w:rPr>
              <w:t>Nil</w:t>
            </w:r>
          </w:p>
        </w:tc>
        <w:tc>
          <w:tcPr>
            <w:tcW w:w="154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color w:val="auto"/>
                <w:w w:val="97"/>
              </w:rPr>
              <w:t>Nil</w:t>
            </w:r>
          </w:p>
        </w:tc>
        <w:tc>
          <w:tcPr>
            <w:tcW w:w="1240" w:type="dxa"/>
            <w:vAlign w:val="bottom"/>
          </w:tcPr>
          <w:p>
            <w:pPr>
              <w:jc w:val="right"/>
              <w:ind w:right="158"/>
              <w:spacing w:after="0" w:line="170" w:lineRule="exact"/>
              <w:rPr>
                <w:sz w:val="20"/>
                <w:szCs w:val="20"/>
                <w:color w:val="auto"/>
              </w:rPr>
            </w:pPr>
            <w:r>
              <w:rPr>
                <w:rFonts w:ascii="Times New Roman" w:cs="Times New Roman" w:eastAsia="Times New Roman" w:hAnsi="Times New Roman"/>
                <w:sz w:val="16"/>
                <w:szCs w:val="16"/>
                <w:color w:val="auto"/>
              </w:rPr>
              <w:t>$17.00(2)</w:t>
            </w:r>
          </w:p>
        </w:tc>
        <w:tc>
          <w:tcPr>
            <w:tcW w:w="122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color w:val="auto"/>
              </w:rPr>
              <w:t>07/06/17</w:t>
            </w:r>
          </w:p>
        </w:tc>
      </w:tr>
      <w:tr>
        <w:trPr>
          <w:trHeight w:val="197"/>
        </w:trPr>
        <w:tc>
          <w:tcPr>
            <w:tcW w:w="3840" w:type="dxa"/>
            <w:vAlign w:val="bottom"/>
          </w:tcPr>
          <w:p>
            <w:pPr>
              <w:spacing w:after="0"/>
              <w:rPr>
                <w:sz w:val="17"/>
                <w:szCs w:val="17"/>
                <w:color w:val="auto"/>
              </w:rPr>
            </w:pPr>
          </w:p>
        </w:tc>
        <w:tc>
          <w:tcPr>
            <w:tcW w:w="1860" w:type="dxa"/>
            <w:vAlign w:val="bottom"/>
          </w:tcPr>
          <w:p>
            <w:pPr>
              <w:jc w:val="center"/>
              <w:ind w:left="218"/>
              <w:spacing w:after="0"/>
              <w:rPr>
                <w:sz w:val="20"/>
                <w:szCs w:val="20"/>
                <w:color w:val="auto"/>
              </w:rPr>
            </w:pPr>
            <w:r>
              <w:rPr>
                <w:rFonts w:ascii="Times New Roman" w:cs="Times New Roman" w:eastAsia="Times New Roman" w:hAnsi="Times New Roman"/>
                <w:sz w:val="16"/>
                <w:szCs w:val="16"/>
                <w:color w:val="auto"/>
              </w:rPr>
              <w:t>16,000(1)</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Nil</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Nil</w:t>
            </w:r>
          </w:p>
        </w:tc>
        <w:tc>
          <w:tcPr>
            <w:tcW w:w="12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$17.00(2)</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10/14/19</w:t>
            </w:r>
          </w:p>
        </w:tc>
      </w:tr>
      <w:tr>
        <w:trPr>
          <w:trHeight w:val="195"/>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Glynn Wilson</w:t>
            </w:r>
          </w:p>
        </w:tc>
        <w:tc>
          <w:tcPr>
            <w:tcW w:w="186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rPr>
              <w:t>1,600(1)</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Nil</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Nil</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$17.00</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02/16/21</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Chairman, CEO and Principal Executive Officer</w:t>
            </w:r>
          </w:p>
        </w:tc>
        <w:tc>
          <w:tcPr>
            <w:tcW w:w="186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rPr>
              <w:t>20,000(1)</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Nil</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Nil</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$19.00</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03/16/16</w:t>
            </w:r>
          </w:p>
        </w:tc>
      </w:tr>
      <w:tr>
        <w:trPr>
          <w:trHeight w:val="375"/>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Mark Reddish</w:t>
            </w:r>
          </w:p>
        </w:tc>
        <w:tc>
          <w:tcPr>
            <w:tcW w:w="1860" w:type="dxa"/>
            <w:vAlign w:val="bottom"/>
          </w:tcPr>
          <w:p>
            <w:pPr>
              <w:jc w:val="center"/>
              <w:ind w:left="238"/>
              <w:spacing w:after="0"/>
              <w:rPr>
                <w:sz w:val="20"/>
                <w:szCs w:val="20"/>
                <w:color w:val="auto"/>
              </w:rPr>
            </w:pPr>
            <w:r>
              <w:rPr>
                <w:rFonts w:ascii="Times New Roman" w:cs="Times New Roman" w:eastAsia="Times New Roman" w:hAnsi="Times New Roman"/>
                <w:sz w:val="16"/>
                <w:szCs w:val="16"/>
                <w:color w:val="auto"/>
              </w:rPr>
              <w:t>2,000</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Nil</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Nil</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$17.00</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02/16/21</w:t>
            </w:r>
          </w:p>
        </w:tc>
      </w:tr>
      <w:tr>
        <w:trPr>
          <w:trHeight w:val="216"/>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VP Development</w:t>
            </w:r>
          </w:p>
        </w:tc>
        <w:tc>
          <w:tcPr>
            <w:tcW w:w="1860" w:type="dxa"/>
            <w:vAlign w:val="bottom"/>
            <w:tcBorders>
              <w:bottom w:val="single" w:sz="8" w:color="auto"/>
            </w:tcBorders>
          </w:tcPr>
          <w:p>
            <w:pPr>
              <w:jc w:val="center"/>
              <w:ind w:left="238"/>
              <w:spacing w:after="0"/>
              <w:rPr>
                <w:sz w:val="20"/>
                <w:szCs w:val="20"/>
                <w:color w:val="auto"/>
              </w:rPr>
            </w:pPr>
            <w:r>
              <w:rPr>
                <w:rFonts w:ascii="Times New Roman" w:cs="Times New Roman" w:eastAsia="Times New Roman" w:hAnsi="Times New Roman"/>
                <w:sz w:val="16"/>
                <w:szCs w:val="16"/>
                <w:color w:val="auto"/>
              </w:rPr>
              <w:t>2,500</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Nil</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Nil</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$18.00</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04/30/22</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ind w:left="881" w:right="40" w:hanging="881"/>
        <w:spacing w:after="0" w:line="275" w:lineRule="auto"/>
        <w:tabs>
          <w:tab w:leader="none" w:pos="88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under which these shares were issued was approved by the Board of Directors and the shareholders in 2009 but did not come into effect until February 22, 2010.</w:t>
      </w:r>
    </w:p>
    <w:p>
      <w:pPr>
        <w:spacing w:after="0" w:line="177" w:lineRule="exact"/>
        <w:rPr>
          <w:rFonts w:ascii="Times New Roman" w:cs="Times New Roman" w:eastAsia="Times New Roman" w:hAnsi="Times New Roman"/>
          <w:sz w:val="16"/>
          <w:szCs w:val="16"/>
          <w:color w:val="auto"/>
        </w:rPr>
      </w:pPr>
    </w:p>
    <w:p>
      <w:pPr>
        <w:ind w:left="401" w:hanging="401"/>
        <w:spacing w:after="0"/>
        <w:tabs>
          <w:tab w:leader="none" w:pos="40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February 16, 2011, the option exercise price was reduced to $17.00.</w:t>
      </w:r>
    </w:p>
    <w:p>
      <w:pPr>
        <w:spacing w:after="0" w:line="235" w:lineRule="exact"/>
        <w:rPr>
          <w:sz w:val="20"/>
          <w:szCs w:val="20"/>
          <w:color w:val="auto"/>
        </w:rPr>
      </w:pPr>
    </w:p>
    <w:p>
      <w:pPr>
        <w:jc w:val="both"/>
        <w:ind w:left="1" w:firstLine="53"/>
        <w:spacing w:after="0" w:line="296" w:lineRule="auto"/>
        <w:rPr>
          <w:sz w:val="20"/>
          <w:szCs w:val="20"/>
          <w:color w:val="auto"/>
        </w:rPr>
      </w:pPr>
      <w:r>
        <w:rPr>
          <w:rFonts w:ascii="Times New Roman" w:cs="Times New Roman" w:eastAsia="Times New Roman" w:hAnsi="Times New Roman"/>
          <w:sz w:val="16"/>
          <w:szCs w:val="16"/>
          <w:color w:val="auto"/>
        </w:rPr>
        <w:t>The following table sets forth information relating to compensation paid to our directors for their services as directors in the fiscal year ended December 31, 2014, and excludes compensation paid to our directors for their services as executive officers: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Director Compensation Table</w:t>
      </w:r>
    </w:p>
    <w:p>
      <w:pPr>
        <w:spacing w:after="0" w:line="3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600" w:type="dxa"/>
            <w:vAlign w:val="bottom"/>
            <w:tcBorders>
              <w:top w:val="single" w:sz="8" w:color="auto"/>
            </w:tcBorders>
          </w:tcPr>
          <w:p>
            <w:pPr>
              <w:spacing w:after="0"/>
              <w:rPr>
                <w:sz w:val="15"/>
                <w:szCs w:val="15"/>
                <w:color w:val="auto"/>
              </w:rPr>
            </w:pPr>
          </w:p>
        </w:tc>
        <w:tc>
          <w:tcPr>
            <w:tcW w:w="2400" w:type="dxa"/>
            <w:vAlign w:val="bottom"/>
            <w:tcBorders>
              <w:top w:val="single" w:sz="8" w:color="auto"/>
            </w:tcBorders>
          </w:tcPr>
          <w:p>
            <w:pPr>
              <w:jc w:val="center"/>
              <w:ind w:left="638"/>
              <w:spacing w:after="0" w:line="181" w:lineRule="exact"/>
              <w:rPr>
                <w:sz w:val="20"/>
                <w:szCs w:val="20"/>
                <w:color w:val="auto"/>
              </w:rPr>
            </w:pPr>
            <w:r>
              <w:rPr>
                <w:rFonts w:ascii="Times New Roman" w:cs="Times New Roman" w:eastAsia="Times New Roman" w:hAnsi="Times New Roman"/>
                <w:sz w:val="16"/>
                <w:szCs w:val="16"/>
                <w:b w:val="1"/>
                <w:bCs w:val="1"/>
                <w:color w:val="auto"/>
              </w:rPr>
              <w:t>Fees</w:t>
            </w:r>
          </w:p>
        </w:tc>
        <w:tc>
          <w:tcPr>
            <w:tcW w:w="15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r>
      <w:tr>
        <w:trPr>
          <w:trHeight w:val="197"/>
        </w:trPr>
        <w:tc>
          <w:tcPr>
            <w:tcW w:w="2600" w:type="dxa"/>
            <w:vAlign w:val="bottom"/>
          </w:tcPr>
          <w:p>
            <w:pPr>
              <w:spacing w:after="0"/>
              <w:rPr>
                <w:sz w:val="17"/>
                <w:szCs w:val="17"/>
                <w:color w:val="auto"/>
              </w:rPr>
            </w:pPr>
          </w:p>
        </w:tc>
        <w:tc>
          <w:tcPr>
            <w:tcW w:w="2400" w:type="dxa"/>
            <w:vAlign w:val="bottom"/>
          </w:tcPr>
          <w:p>
            <w:pPr>
              <w:jc w:val="center"/>
              <w:ind w:left="638"/>
              <w:spacing w:after="0"/>
              <w:rPr>
                <w:sz w:val="20"/>
                <w:szCs w:val="20"/>
                <w:color w:val="auto"/>
              </w:rPr>
            </w:pPr>
            <w:r>
              <w:rPr>
                <w:rFonts w:ascii="Times New Roman" w:cs="Times New Roman" w:eastAsia="Times New Roman" w:hAnsi="Times New Roman"/>
                <w:sz w:val="16"/>
                <w:szCs w:val="16"/>
                <w:b w:val="1"/>
                <w:bCs w:val="1"/>
                <w:color w:val="auto"/>
              </w:rPr>
              <w:t>Earned or</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500" w:type="dxa"/>
            <w:vAlign w:val="bottom"/>
          </w:tcPr>
          <w:p>
            <w:pPr>
              <w:jc w:val="center"/>
              <w:ind w:left="18"/>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440" w:type="dxa"/>
            <w:vAlign w:val="bottom"/>
          </w:tcPr>
          <w:p>
            <w:pPr>
              <w:spacing w:after="0"/>
              <w:rPr>
                <w:sz w:val="17"/>
                <w:szCs w:val="17"/>
                <w:color w:val="auto"/>
              </w:rPr>
            </w:pPr>
          </w:p>
        </w:tc>
      </w:tr>
      <w:tr>
        <w:trPr>
          <w:trHeight w:val="197"/>
        </w:trPr>
        <w:tc>
          <w:tcPr>
            <w:tcW w:w="2600" w:type="dxa"/>
            <w:vAlign w:val="bottom"/>
          </w:tcPr>
          <w:p>
            <w:pPr>
              <w:spacing w:after="0"/>
              <w:rPr>
                <w:sz w:val="17"/>
                <w:szCs w:val="17"/>
                <w:color w:val="auto"/>
              </w:rPr>
            </w:pPr>
          </w:p>
        </w:tc>
        <w:tc>
          <w:tcPr>
            <w:tcW w:w="2400" w:type="dxa"/>
            <w:vAlign w:val="bottom"/>
          </w:tcPr>
          <w:p>
            <w:pPr>
              <w:jc w:val="center"/>
              <w:ind w:left="618"/>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500" w:type="dxa"/>
            <w:vAlign w:val="bottom"/>
          </w:tcPr>
          <w:p>
            <w:pPr>
              <w:jc w:val="center"/>
              <w:ind w:left="38"/>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4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18"/>
        </w:trPr>
        <w:tc>
          <w:tcPr>
            <w:tcW w:w="26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400" w:type="dxa"/>
            <w:vAlign w:val="bottom"/>
            <w:tcBorders>
              <w:bottom w:val="single" w:sz="8" w:color="auto"/>
            </w:tcBorders>
          </w:tcPr>
          <w:p>
            <w:pPr>
              <w:jc w:val="center"/>
              <w:ind w:left="638"/>
              <w:spacing w:after="0"/>
              <w:rPr>
                <w:sz w:val="20"/>
                <w:szCs w:val="20"/>
                <w:color w:val="auto"/>
              </w:rPr>
            </w:pPr>
            <w:r>
              <w:rPr>
                <w:rFonts w:ascii="Times New Roman" w:cs="Times New Roman" w:eastAsia="Times New Roman" w:hAnsi="Times New Roman"/>
                <w:sz w:val="16"/>
                <w:szCs w:val="16"/>
                <w:b w:val="1"/>
                <w:bCs w:val="1"/>
                <w:color w:val="auto"/>
              </w:rPr>
              <w:t>Cash</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500" w:type="dxa"/>
            <w:vAlign w:val="bottom"/>
            <w:tcBorders>
              <w:bottom w:val="single" w:sz="8" w:color="auto"/>
            </w:tcBorders>
          </w:tcPr>
          <w:p>
            <w:pPr>
              <w:jc w:val="center"/>
              <w:ind w:left="18"/>
              <w:spacing w:after="0"/>
              <w:rPr>
                <w:sz w:val="20"/>
                <w:szCs w:val="20"/>
                <w:color w:val="auto"/>
              </w:rPr>
            </w:pPr>
            <w:r>
              <w:rPr>
                <w:rFonts w:ascii="Times New Roman" w:cs="Times New Roman" w:eastAsia="Times New Roman" w:hAnsi="Times New Roman"/>
                <w:sz w:val="16"/>
                <w:szCs w:val="16"/>
                <w:b w:val="1"/>
                <w:bCs w:val="1"/>
                <w:color w:val="auto"/>
              </w:rPr>
              <w:t>($)</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04"/>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Glynn Wilson</w:t>
            </w:r>
          </w:p>
        </w:tc>
        <w:tc>
          <w:tcPr>
            <w:tcW w:w="2400" w:type="dxa"/>
            <w:vAlign w:val="bottom"/>
          </w:tcPr>
          <w:p>
            <w:pPr>
              <w:jc w:val="center"/>
              <w:ind w:left="638"/>
              <w:spacing w:after="0"/>
              <w:rPr>
                <w:sz w:val="20"/>
                <w:szCs w:val="20"/>
                <w:color w:val="auto"/>
              </w:rPr>
            </w:pPr>
            <w:r>
              <w:rPr>
                <w:rFonts w:ascii="Times New Roman" w:cs="Times New Roman" w:eastAsia="Times New Roman" w:hAnsi="Times New Roman"/>
                <w:sz w:val="16"/>
                <w:szCs w:val="16"/>
                <w:color w:val="auto"/>
                <w:w w:val="97"/>
              </w:rPr>
              <w:t>Nil</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Nil</w:t>
            </w:r>
          </w:p>
        </w:tc>
        <w:tc>
          <w:tcPr>
            <w:tcW w:w="1500" w:type="dxa"/>
            <w:vAlign w:val="bottom"/>
          </w:tcPr>
          <w:p>
            <w:pPr>
              <w:jc w:val="center"/>
              <w:ind w:left="18"/>
              <w:spacing w:after="0"/>
              <w:rPr>
                <w:sz w:val="20"/>
                <w:szCs w:val="20"/>
                <w:color w:val="auto"/>
              </w:rPr>
            </w:pPr>
            <w:r>
              <w:rPr>
                <w:rFonts w:ascii="Times New Roman" w:cs="Times New Roman" w:eastAsia="Times New Roman" w:hAnsi="Times New Roman"/>
                <w:sz w:val="16"/>
                <w:szCs w:val="16"/>
                <w:color w:val="auto"/>
                <w:w w:val="97"/>
              </w:rPr>
              <w:t>Nil</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Nil</w:t>
            </w:r>
          </w:p>
        </w:tc>
        <w:tc>
          <w:tcPr>
            <w:tcW w:w="1440" w:type="dxa"/>
            <w:vAlign w:val="bottom"/>
          </w:tcPr>
          <w:p>
            <w:pPr>
              <w:jc w:val="center"/>
              <w:ind w:right="78"/>
              <w:spacing w:after="0"/>
              <w:rPr>
                <w:sz w:val="20"/>
                <w:szCs w:val="20"/>
                <w:color w:val="auto"/>
              </w:rPr>
            </w:pPr>
            <w:r>
              <w:rPr>
                <w:rFonts w:ascii="Times New Roman" w:cs="Times New Roman" w:eastAsia="Times New Roman" w:hAnsi="Times New Roman"/>
                <w:sz w:val="16"/>
                <w:szCs w:val="16"/>
                <w:color w:val="auto"/>
                <w:w w:val="97"/>
              </w:rPr>
              <w:t>Nil</w:t>
            </w:r>
          </w:p>
        </w:tc>
      </w:tr>
      <w:tr>
        <w:trPr>
          <w:trHeight w:val="378"/>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Sherry Grisewood</w:t>
            </w:r>
          </w:p>
        </w:tc>
        <w:tc>
          <w:tcPr>
            <w:tcW w:w="2400" w:type="dxa"/>
            <w:vAlign w:val="bottom"/>
          </w:tcPr>
          <w:p>
            <w:pPr>
              <w:jc w:val="center"/>
              <w:ind w:left="638"/>
              <w:spacing w:after="0"/>
              <w:rPr>
                <w:sz w:val="20"/>
                <w:szCs w:val="20"/>
                <w:color w:val="auto"/>
              </w:rPr>
            </w:pPr>
            <w:r>
              <w:rPr>
                <w:rFonts w:ascii="Times New Roman" w:cs="Times New Roman" w:eastAsia="Times New Roman" w:hAnsi="Times New Roman"/>
                <w:sz w:val="16"/>
                <w:szCs w:val="16"/>
                <w:color w:val="auto"/>
                <w:w w:val="97"/>
              </w:rPr>
              <w:t>Nil</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Nil</w:t>
            </w:r>
          </w:p>
        </w:tc>
        <w:tc>
          <w:tcPr>
            <w:tcW w:w="1500" w:type="dxa"/>
            <w:vAlign w:val="bottom"/>
          </w:tcPr>
          <w:p>
            <w:pPr>
              <w:jc w:val="center"/>
              <w:ind w:left="18"/>
              <w:spacing w:after="0"/>
              <w:rPr>
                <w:sz w:val="20"/>
                <w:szCs w:val="20"/>
                <w:color w:val="auto"/>
              </w:rPr>
            </w:pPr>
            <w:r>
              <w:rPr>
                <w:rFonts w:ascii="Times New Roman" w:cs="Times New Roman" w:eastAsia="Times New Roman" w:hAnsi="Times New Roman"/>
                <w:sz w:val="16"/>
                <w:szCs w:val="16"/>
                <w:color w:val="auto"/>
                <w:w w:val="97"/>
              </w:rPr>
              <w:t>Nil</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Nil</w:t>
            </w:r>
          </w:p>
        </w:tc>
        <w:tc>
          <w:tcPr>
            <w:tcW w:w="1440" w:type="dxa"/>
            <w:vAlign w:val="bottom"/>
          </w:tcPr>
          <w:p>
            <w:pPr>
              <w:jc w:val="center"/>
              <w:ind w:right="78"/>
              <w:spacing w:after="0"/>
              <w:rPr>
                <w:sz w:val="20"/>
                <w:szCs w:val="20"/>
                <w:color w:val="auto"/>
              </w:rPr>
            </w:pPr>
            <w:r>
              <w:rPr>
                <w:rFonts w:ascii="Times New Roman" w:cs="Times New Roman" w:eastAsia="Times New Roman" w:hAnsi="Times New Roman"/>
                <w:sz w:val="16"/>
                <w:szCs w:val="16"/>
                <w:color w:val="auto"/>
                <w:w w:val="97"/>
              </w:rPr>
              <w:t>Nil</w:t>
            </w:r>
          </w:p>
        </w:tc>
      </w:tr>
      <w:tr>
        <w:trPr>
          <w:trHeight w:val="394"/>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Mark Reddish</w:t>
            </w:r>
          </w:p>
        </w:tc>
        <w:tc>
          <w:tcPr>
            <w:tcW w:w="2400" w:type="dxa"/>
            <w:vAlign w:val="bottom"/>
          </w:tcPr>
          <w:p>
            <w:pPr>
              <w:jc w:val="center"/>
              <w:ind w:left="638"/>
              <w:spacing w:after="0"/>
              <w:rPr>
                <w:sz w:val="20"/>
                <w:szCs w:val="20"/>
                <w:color w:val="auto"/>
              </w:rPr>
            </w:pPr>
            <w:r>
              <w:rPr>
                <w:rFonts w:ascii="Times New Roman" w:cs="Times New Roman" w:eastAsia="Times New Roman" w:hAnsi="Times New Roman"/>
                <w:sz w:val="16"/>
                <w:szCs w:val="16"/>
                <w:color w:val="auto"/>
                <w:w w:val="97"/>
              </w:rPr>
              <w:t>Nil</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Nil</w:t>
            </w:r>
          </w:p>
        </w:tc>
        <w:tc>
          <w:tcPr>
            <w:tcW w:w="1500" w:type="dxa"/>
            <w:vAlign w:val="bottom"/>
          </w:tcPr>
          <w:p>
            <w:pPr>
              <w:jc w:val="center"/>
              <w:ind w:left="18"/>
              <w:spacing w:after="0"/>
              <w:rPr>
                <w:sz w:val="20"/>
                <w:szCs w:val="20"/>
                <w:color w:val="auto"/>
              </w:rPr>
            </w:pPr>
            <w:r>
              <w:rPr>
                <w:rFonts w:ascii="Times New Roman" w:cs="Times New Roman" w:eastAsia="Times New Roman" w:hAnsi="Times New Roman"/>
                <w:sz w:val="16"/>
                <w:szCs w:val="16"/>
                <w:color w:val="auto"/>
                <w:w w:val="97"/>
              </w:rPr>
              <w:t>Nil</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Nil</w:t>
            </w:r>
          </w:p>
        </w:tc>
        <w:tc>
          <w:tcPr>
            <w:tcW w:w="1440" w:type="dxa"/>
            <w:vAlign w:val="bottom"/>
          </w:tcPr>
          <w:p>
            <w:pPr>
              <w:jc w:val="center"/>
              <w:ind w:right="78"/>
              <w:spacing w:after="0"/>
              <w:rPr>
                <w:sz w:val="20"/>
                <w:szCs w:val="20"/>
                <w:color w:val="auto"/>
              </w:rPr>
            </w:pPr>
            <w:r>
              <w:rPr>
                <w:rFonts w:ascii="Times New Roman" w:cs="Times New Roman" w:eastAsia="Times New Roman" w:hAnsi="Times New Roman"/>
                <w:sz w:val="16"/>
                <w:szCs w:val="16"/>
                <w:color w:val="auto"/>
                <w:w w:val="97"/>
              </w:rPr>
              <w:t>Nil</w:t>
            </w:r>
          </w:p>
        </w:tc>
      </w:tr>
      <w:tr>
        <w:trPr>
          <w:trHeight w:val="196"/>
        </w:trPr>
        <w:tc>
          <w:tcPr>
            <w:tcW w:w="26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Employment, Consulting and Services Agreements</w:t>
      </w:r>
    </w:p>
    <w:p>
      <w:pPr>
        <w:spacing w:after="0" w:line="214" w:lineRule="exact"/>
        <w:rPr>
          <w:sz w:val="20"/>
          <w:szCs w:val="20"/>
          <w:color w:val="auto"/>
        </w:rPr>
      </w:pPr>
    </w:p>
    <w:p>
      <w:pPr>
        <w:jc w:val="both"/>
        <w:ind w:left="1"/>
        <w:spacing w:after="0" w:line="270" w:lineRule="auto"/>
        <w:rPr>
          <w:sz w:val="20"/>
          <w:szCs w:val="20"/>
          <w:color w:val="auto"/>
        </w:rPr>
      </w:pPr>
      <w:r>
        <w:rPr>
          <w:rFonts w:ascii="Times New Roman" w:cs="Times New Roman" w:eastAsia="Times New Roman" w:hAnsi="Times New Roman"/>
          <w:sz w:val="16"/>
          <w:szCs w:val="16"/>
          <w:color w:val="auto"/>
        </w:rPr>
        <w:t>In November 2013, the Company entered into an advisory agreement with a consultant to provide expertise in the areas of finance, corporate restructuring and corporate development to the management and board of TapImmune for a one year term. The advisory agreement provides for an advisory fee of $10,000 per month from November 2013 to May 2014 for six months, extended for additional six months. The advisory agreement has been renewed for another 12 months expiring December 31, 2015. The Company also granted 250,000 shares to the consultant (via his company).</w:t>
      </w:r>
    </w:p>
    <w:p>
      <w:pPr>
        <w:spacing w:after="0" w:line="157" w:lineRule="exact"/>
        <w:rPr>
          <w:sz w:val="20"/>
          <w:szCs w:val="20"/>
          <w:color w:val="auto"/>
        </w:rPr>
      </w:pPr>
    </w:p>
    <w:p>
      <w:pPr>
        <w:jc w:val="both"/>
        <w:ind w:left="1"/>
        <w:spacing w:after="0" w:line="296" w:lineRule="auto"/>
        <w:rPr>
          <w:sz w:val="20"/>
          <w:szCs w:val="20"/>
          <w:color w:val="auto"/>
        </w:rPr>
      </w:pPr>
      <w:r>
        <w:rPr>
          <w:rFonts w:ascii="Times New Roman" w:cs="Times New Roman" w:eastAsia="Times New Roman" w:hAnsi="Times New Roman"/>
          <w:sz w:val="16"/>
          <w:szCs w:val="16"/>
          <w:color w:val="auto"/>
        </w:rPr>
        <w:t>We have a compensation committee that is comprised of Dr. Wilson and Ms. Grisewood. All compensation is recommended and resolved by the compensation committee and board of directors.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63765"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895" w:right="2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6"/>
          <w:szCs w:val="16"/>
          <w:b w:val="1"/>
          <w:bCs w:val="1"/>
          <w:color w:val="auto"/>
        </w:rPr>
        <w:t>BENEFICIAL OWNERSHIP OF PRINCIPAL STOCKHOLDERS, OFFICERS AND DIRECTORS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following table sets forth, as of the date of this Annual Report certain information regarding the ownership of our common stock by (i) each person known by us to be the beneficial owner of more than 5% of our outstanding shares of common stock, (ii) each of our directors, (iii) our Principal Executive Officer and (iv) all of our executive officers and directors as a group. Unless otherwise indicated, the address of each person shown is c/o TapImmune Inc., 1551 Eastlake Avenue East, Suite 100, Seattle, Washington, 98102. Beneficial ownership, for purposes of this table, includes options to purchase common stock that are either currently exercisable or will be exercisable within 60 days of the date of this annual report.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5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Amount and</w:t>
            </w:r>
          </w:p>
        </w:tc>
        <w:tc>
          <w:tcPr>
            <w:tcW w:w="1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r>
      <w:tr>
        <w:trPr>
          <w:trHeight w:val="197"/>
        </w:trPr>
        <w:tc>
          <w:tcPr>
            <w:tcW w:w="8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Nature of</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7"/>
        </w:trPr>
        <w:tc>
          <w:tcPr>
            <w:tcW w:w="8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Beneficial</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8"/>
        </w:trPr>
        <w:tc>
          <w:tcPr>
            <w:tcW w:w="8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12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Owner</w:t>
            </w:r>
            <w:r>
              <w:rPr>
                <w:rFonts w:ascii="Times New Roman" w:cs="Times New Roman" w:eastAsia="Times New Roman" w:hAnsi="Times New Roman"/>
                <w:sz w:val="16"/>
                <w:szCs w:val="16"/>
                <w:color w:val="auto"/>
              </w:rPr>
              <w:t>(1)</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9"/>
              </w:rPr>
              <w:t>Percent of Class</w:t>
            </w:r>
          </w:p>
        </w:tc>
      </w:tr>
      <w:tr>
        <w:trPr>
          <w:trHeight w:val="20"/>
        </w:trPr>
        <w:tc>
          <w:tcPr>
            <w:tcW w:w="8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0"/>
        </w:trPr>
        <w:tc>
          <w:tcPr>
            <w:tcW w:w="8520" w:type="dxa"/>
            <w:vAlign w:val="bottom"/>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Directors and Officers:</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7"/>
        </w:trPr>
        <w:tc>
          <w:tcPr>
            <w:tcW w:w="8520" w:type="dxa"/>
            <w:vAlign w:val="bottom"/>
          </w:tcPr>
          <w:p>
            <w:pPr>
              <w:spacing w:after="0"/>
              <w:rPr>
                <w:sz w:val="20"/>
                <w:szCs w:val="20"/>
                <w:color w:val="auto"/>
              </w:rPr>
            </w:pPr>
            <w:r>
              <w:rPr>
                <w:rFonts w:ascii="Times New Roman" w:cs="Times New Roman" w:eastAsia="Times New Roman" w:hAnsi="Times New Roman"/>
                <w:sz w:val="16"/>
                <w:szCs w:val="16"/>
                <w:color w:val="auto"/>
              </w:rPr>
              <w:t>Glynn Wilson</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844,970(2)</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2.59%</w:t>
            </w:r>
          </w:p>
        </w:tc>
      </w:tr>
      <w:tr>
        <w:trPr>
          <w:trHeight w:val="197"/>
        </w:trPr>
        <w:tc>
          <w:tcPr>
            <w:tcW w:w="8520" w:type="dxa"/>
            <w:vAlign w:val="bottom"/>
          </w:tcPr>
          <w:p>
            <w:pPr>
              <w:spacing w:after="0"/>
              <w:rPr>
                <w:sz w:val="20"/>
                <w:szCs w:val="20"/>
                <w:color w:val="auto"/>
              </w:rPr>
            </w:pPr>
            <w:r>
              <w:rPr>
                <w:rFonts w:ascii="Times New Roman" w:cs="Times New Roman" w:eastAsia="Times New Roman" w:hAnsi="Times New Roman"/>
                <w:sz w:val="16"/>
                <w:szCs w:val="16"/>
                <w:color w:val="auto"/>
              </w:rPr>
              <w:t>Mark Reddish, VP Development</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229,500(3)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&lt;1.00 %</w:t>
            </w:r>
          </w:p>
        </w:tc>
      </w:tr>
      <w:tr>
        <w:trPr>
          <w:trHeight w:val="197"/>
        </w:trPr>
        <w:tc>
          <w:tcPr>
            <w:tcW w:w="8520" w:type="dxa"/>
            <w:vAlign w:val="bottom"/>
          </w:tcPr>
          <w:p>
            <w:pPr>
              <w:spacing w:after="0"/>
              <w:rPr>
                <w:sz w:val="20"/>
                <w:szCs w:val="20"/>
                <w:color w:val="auto"/>
              </w:rPr>
            </w:pPr>
            <w:r>
              <w:rPr>
                <w:rFonts w:ascii="Times New Roman" w:cs="Times New Roman" w:eastAsia="Times New Roman" w:hAnsi="Times New Roman"/>
                <w:sz w:val="16"/>
                <w:szCs w:val="16"/>
                <w:color w:val="auto"/>
              </w:rPr>
              <w:t>Sherry Grisewood</w:t>
            </w:r>
          </w:p>
        </w:tc>
        <w:tc>
          <w:tcPr>
            <w:tcW w:w="160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28,329</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&lt;1.0%</w:t>
            </w:r>
          </w:p>
        </w:tc>
      </w:tr>
      <w:tr>
        <w:trPr>
          <w:trHeight w:val="197"/>
        </w:trPr>
        <w:tc>
          <w:tcPr>
            <w:tcW w:w="8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David Laskow-Pooley</w:t>
            </w:r>
          </w:p>
        </w:tc>
        <w:tc>
          <w:tcPr>
            <w:tcW w:w="160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520" w:type="dxa"/>
            <w:vAlign w:val="bottom"/>
          </w:tcPr>
          <w:p>
            <w:pPr>
              <w:spacing w:after="0"/>
              <w:rPr>
                <w:sz w:val="20"/>
                <w:szCs w:val="20"/>
                <w:color w:val="auto"/>
              </w:rPr>
            </w:pPr>
            <w:r>
              <w:rPr>
                <w:rFonts w:ascii="Times New Roman" w:cs="Times New Roman" w:eastAsia="Times New Roman" w:hAnsi="Times New Roman"/>
                <w:sz w:val="16"/>
                <w:szCs w:val="16"/>
                <w:color w:val="auto"/>
              </w:rPr>
              <w:t>All executive officers and directors as a group (3 persons)</w:t>
            </w:r>
          </w:p>
        </w:tc>
        <w:tc>
          <w:tcPr>
            <w:tcW w:w="160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1,102,799</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3.38%</w:t>
            </w:r>
          </w:p>
        </w:tc>
      </w:tr>
      <w:tr>
        <w:trPr>
          <w:trHeight w:val="377"/>
        </w:trPr>
        <w:tc>
          <w:tcPr>
            <w:tcW w:w="8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Major Stockholders: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7"/>
        </w:trPr>
        <w:tc>
          <w:tcPr>
            <w:tcW w:w="8520" w:type="dxa"/>
            <w:vAlign w:val="bottom"/>
          </w:tcPr>
          <w:p>
            <w:pPr>
              <w:spacing w:after="0"/>
              <w:rPr>
                <w:sz w:val="20"/>
                <w:szCs w:val="20"/>
                <w:color w:val="auto"/>
              </w:rPr>
            </w:pPr>
            <w:r>
              <w:rPr>
                <w:rFonts w:ascii="Times New Roman" w:cs="Times New Roman" w:eastAsia="Times New Roman" w:hAnsi="Times New Roman"/>
                <w:sz w:val="16"/>
                <w:szCs w:val="16"/>
                <w:color w:val="auto"/>
              </w:rPr>
              <w:t>Eastern Capital Limited</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27,528,476(4)</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49.9%</w:t>
            </w:r>
          </w:p>
        </w:tc>
      </w:tr>
      <w:tr>
        <w:trPr>
          <w:trHeight w:val="197"/>
        </w:trPr>
        <w:tc>
          <w:tcPr>
            <w:tcW w:w="8520" w:type="dxa"/>
            <w:vAlign w:val="bottom"/>
          </w:tcPr>
          <w:p>
            <w:pPr>
              <w:spacing w:after="0"/>
              <w:rPr>
                <w:sz w:val="20"/>
                <w:szCs w:val="20"/>
                <w:color w:val="auto"/>
              </w:rPr>
            </w:pPr>
            <w:r>
              <w:rPr>
                <w:rFonts w:ascii="Times New Roman" w:cs="Times New Roman" w:eastAsia="Times New Roman" w:hAnsi="Times New Roman"/>
                <w:sz w:val="16"/>
                <w:szCs w:val="16"/>
                <w:color w:val="auto"/>
              </w:rPr>
              <w:t>Empery Asset Master, Ltd</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4,057,149(5)</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9.9%</w:t>
            </w:r>
          </w:p>
        </w:tc>
      </w:tr>
      <w:tr>
        <w:trPr>
          <w:trHeight w:val="197"/>
        </w:trPr>
        <w:tc>
          <w:tcPr>
            <w:tcW w:w="8520" w:type="dxa"/>
            <w:vAlign w:val="bottom"/>
          </w:tcPr>
          <w:p>
            <w:pPr>
              <w:spacing w:after="0"/>
              <w:rPr>
                <w:sz w:val="20"/>
                <w:szCs w:val="20"/>
                <w:color w:val="auto"/>
              </w:rPr>
            </w:pPr>
            <w:r>
              <w:rPr>
                <w:rFonts w:ascii="Times New Roman" w:cs="Times New Roman" w:eastAsia="Times New Roman" w:hAnsi="Times New Roman"/>
                <w:sz w:val="16"/>
                <w:szCs w:val="16"/>
                <w:color w:val="auto"/>
              </w:rPr>
              <w:t>Empery Tax Efficient II, LP</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3,978,059(6)</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9.9%</w:t>
            </w:r>
          </w:p>
        </w:tc>
      </w:tr>
      <w:tr>
        <w:trPr>
          <w:trHeight w:val="197"/>
        </w:trPr>
        <w:tc>
          <w:tcPr>
            <w:tcW w:w="8520" w:type="dxa"/>
            <w:vAlign w:val="bottom"/>
          </w:tcPr>
          <w:p>
            <w:pPr>
              <w:spacing w:after="0"/>
              <w:rPr>
                <w:sz w:val="20"/>
                <w:szCs w:val="20"/>
                <w:color w:val="auto"/>
              </w:rPr>
            </w:pPr>
            <w:r>
              <w:rPr>
                <w:rFonts w:ascii="Times New Roman" w:cs="Times New Roman" w:eastAsia="Times New Roman" w:hAnsi="Times New Roman"/>
                <w:sz w:val="16"/>
                <w:szCs w:val="16"/>
                <w:color w:val="auto"/>
              </w:rPr>
              <w:t>Brio Capital Master Fund</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3,860,979(7)</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9.9%</w:t>
            </w:r>
          </w:p>
        </w:tc>
      </w:tr>
      <w:tr>
        <w:trPr>
          <w:trHeight w:val="197"/>
        </w:trPr>
        <w:tc>
          <w:tcPr>
            <w:tcW w:w="8520" w:type="dxa"/>
            <w:vAlign w:val="bottom"/>
          </w:tcPr>
          <w:p>
            <w:pPr>
              <w:spacing w:after="0"/>
              <w:rPr>
                <w:sz w:val="20"/>
                <w:szCs w:val="20"/>
                <w:color w:val="auto"/>
              </w:rPr>
            </w:pPr>
            <w:r>
              <w:rPr>
                <w:rFonts w:ascii="Times New Roman" w:cs="Times New Roman" w:eastAsia="Times New Roman" w:hAnsi="Times New Roman"/>
                <w:sz w:val="16"/>
                <w:szCs w:val="16"/>
                <w:color w:val="auto"/>
              </w:rPr>
              <w:t>Iroquois Capital Management</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4,135,674(8)</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9.9%</w:t>
            </w:r>
          </w:p>
        </w:tc>
      </w:tr>
      <w:tr>
        <w:trPr>
          <w:trHeight w:val="214"/>
        </w:trPr>
        <w:tc>
          <w:tcPr>
            <w:tcW w:w="8520" w:type="dxa"/>
            <w:vAlign w:val="bottom"/>
          </w:tcPr>
          <w:p>
            <w:pPr>
              <w:spacing w:after="0"/>
              <w:rPr>
                <w:sz w:val="20"/>
                <w:szCs w:val="20"/>
                <w:color w:val="auto"/>
              </w:rPr>
            </w:pPr>
            <w:r>
              <w:rPr>
                <w:rFonts w:ascii="Times New Roman" w:cs="Times New Roman" w:eastAsia="Times New Roman" w:hAnsi="Times New Roman"/>
                <w:sz w:val="16"/>
                <w:szCs w:val="16"/>
                <w:color w:val="auto"/>
              </w:rPr>
              <w:t>American Capital Management LLC</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4,053,266(9)</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9.9%</w:t>
            </w:r>
          </w:p>
        </w:tc>
      </w:tr>
      <w:tr>
        <w:trPr>
          <w:trHeight w:val="20"/>
        </w:trPr>
        <w:tc>
          <w:tcPr>
            <w:tcW w:w="8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left="260" w:hanging="220"/>
        <w:spacing w:after="0" w:line="259" w:lineRule="auto"/>
        <w:tabs>
          <w:tab w:leader="none" w:pos="2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Rule 13d-3,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amount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 as of the date of this Annual Report. As of the date of this Annual Report, there were 37,638,810 shares of common stock issued and outstanding.</w:t>
      </w:r>
    </w:p>
    <w:p>
      <w:pPr>
        <w:spacing w:after="0" w:line="4" w:lineRule="exact"/>
        <w:rPr>
          <w:rFonts w:ascii="Times New Roman" w:cs="Times New Roman" w:eastAsia="Times New Roman" w:hAnsi="Times New Roman"/>
          <w:sz w:val="16"/>
          <w:szCs w:val="16"/>
          <w:color w:val="auto"/>
        </w:rPr>
      </w:pPr>
    </w:p>
    <w:p>
      <w:pPr>
        <w:ind w:left="260" w:hanging="220"/>
        <w:spacing w:after="0" w:line="191" w:lineRule="auto"/>
        <w:tabs>
          <w:tab w:leader="none" w:pos="260" w:val="left"/>
        </w:tabs>
        <w:numPr>
          <w:ilvl w:val="0"/>
          <w:numId w:val="36"/>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5"/>
          <w:szCs w:val="15"/>
          <w:color w:val="auto"/>
        </w:rPr>
        <w:t>This figure includes (i) 806,970 shares of common stock; and (ii) 18,000 options to acquire an equivalent number of common shares at $17 for 5 years and 20,000 options to acquire an equivalent number of common shares at $19 for 5 years.</w:t>
      </w:r>
    </w:p>
    <w:p>
      <w:pPr>
        <w:ind w:left="260" w:hanging="220"/>
        <w:spacing w:after="0"/>
        <w:tabs>
          <w:tab w:leader="none" w:pos="2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figure includes (i) 225,000 shares of common stock; and (ii) 2,000 vested options exercisable at $17 and 2,500 vested options exercisable at $18.</w:t>
      </w:r>
    </w:p>
    <w:p>
      <w:pPr>
        <w:spacing w:after="0" w:line="13" w:lineRule="exact"/>
        <w:rPr>
          <w:rFonts w:ascii="Times New Roman" w:cs="Times New Roman" w:eastAsia="Times New Roman" w:hAnsi="Times New Roman"/>
          <w:sz w:val="16"/>
          <w:szCs w:val="16"/>
          <w:color w:val="auto"/>
        </w:rPr>
      </w:pPr>
    </w:p>
    <w:p>
      <w:pPr>
        <w:jc w:val="both"/>
        <w:ind w:left="260" w:hanging="220"/>
        <w:spacing w:after="0" w:line="261" w:lineRule="auto"/>
        <w:tabs>
          <w:tab w:leader="none" w:pos="2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figure includes 5,000,000 shares of common stock issued to Eastern Capital Limited in March 2015 (we have not verified that Eastern Capital Limited still holds these shares), 5,000,000 shares of common stock issued to Eastern Capital Limited in June 2015 upon the exercise of 5,000,000 Series C-1 Warrants and 17,528,476 shares of common stock underlying the warrants. The remaining warrants held by the shareholders are subject to a “blocker provision” contained in each warrant under which the holder thereof does not have the right to exercise each such warrant to the extent (but only to the extent) that such exercise would result in beneficial ownership by the holder thereof, or any of its affiliates, of more than 49.9% of the common stock.</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9" w:name="page50"/>
    <w:bookmarkEnd w:id="49"/>
    <w:p>
      <w:pPr>
        <w:jc w:val="both"/>
        <w:ind w:left="261" w:hanging="261"/>
        <w:spacing w:after="0" w:line="262" w:lineRule="auto"/>
        <w:tabs>
          <w:tab w:leader="none" w:pos="261"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figure consists of shares underlying warrants. All warrants held by this shareholder are subject to a 4.9% or 9.9% “blocker” such that at no time may it exercise any such warrants if that exercise would increase its beneficial ownership over 4.9% or 9.9%, as applicable, of the then outstanding shares of common stock. We have not verified that this shareholder has not transferred its Series B or Series C Warrants, and this table does not take into account any shares underlying warrants that we deem would make the shareholder’s beneficial ownership of our common stock exceed any blockers in warrants held by this shareholder.</w:t>
      </w:r>
    </w:p>
    <w:p>
      <w:pPr>
        <w:spacing w:after="0" w:line="2" w:lineRule="exact"/>
        <w:rPr>
          <w:rFonts w:ascii="Times New Roman" w:cs="Times New Roman" w:eastAsia="Times New Roman" w:hAnsi="Times New Roman"/>
          <w:sz w:val="16"/>
          <w:szCs w:val="16"/>
          <w:color w:val="auto"/>
        </w:rPr>
      </w:pPr>
    </w:p>
    <w:p>
      <w:pPr>
        <w:jc w:val="both"/>
        <w:ind w:left="261" w:hanging="220"/>
        <w:spacing w:after="0" w:line="257" w:lineRule="auto"/>
        <w:tabs>
          <w:tab w:leader="none" w:pos="261"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figure consists of shares underlying warrants. All warrants held by this shareholder are subject to a 4.9% or 9.9% “blocker” such that at no time may it exercise any such warrants if that exercise would increase its beneficial ownership over 4.9% or 9.9%, as applicable, of the then outstanding shares of common stock. We have not verified that this shareholder has not transferred its Series B or Series C Warrants, and this table does not take into account any shares underlying warrants that we deem would make the shareholder’s beneficial ownership of our common stock exceed any blockers in warrants held by this shareholder.</w:t>
      </w:r>
    </w:p>
    <w:p>
      <w:pPr>
        <w:jc w:val="both"/>
        <w:ind w:left="261" w:hanging="220"/>
        <w:spacing w:after="0" w:line="257" w:lineRule="auto"/>
        <w:tabs>
          <w:tab w:leader="none" w:pos="261"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figure consists of shares underlying warrants. All warrants held by this shareholder are subject to a 4.9% or 9.9% “blocker” such that at no time may it exercise any such warrants if that exercise would increase its beneficial ownership over 4.9% or 9.9%, as applicable, of the then outstanding shares of common stock. We have not verified that this shareholder has not transferred its Series B or Series C Warrants, and this table does not take into account any shares underlying warrants that we deem would make the shareholder’s beneficial ownership of our common stock exceed any blockers in warrants held by this shareholder.</w:t>
      </w:r>
    </w:p>
    <w:p>
      <w:pPr>
        <w:jc w:val="both"/>
        <w:ind w:left="261" w:hanging="220"/>
        <w:spacing w:after="0" w:line="257" w:lineRule="auto"/>
        <w:tabs>
          <w:tab w:leader="none" w:pos="261"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figure includes 4,135,674 shares underlying warrants. All warrants held by this shareholder are subject to a 4.9% or 9.9% “blocker” such that at no time may it exercise any such warrants if that exercise would increase its beneficial ownership over 4.9% or 9.9%, as applicable, of the then outstanding shares of common</w:t>
      </w:r>
    </w:p>
    <w:p>
      <w:pPr>
        <w:ind w:left="261"/>
        <w:spacing w:after="0" w:line="257" w:lineRule="auto"/>
        <w:rPr>
          <w:sz w:val="20"/>
          <w:szCs w:val="20"/>
          <w:color w:val="auto"/>
        </w:rPr>
      </w:pPr>
      <w:r>
        <w:rPr>
          <w:rFonts w:ascii="Times New Roman" w:cs="Times New Roman" w:eastAsia="Times New Roman" w:hAnsi="Times New Roman"/>
          <w:sz w:val="16"/>
          <w:szCs w:val="16"/>
          <w:color w:val="auto"/>
        </w:rPr>
        <w:t>stock. We have not verified that this shareholder has not transferred its Series B or Series C Warrants, and this table does not take into account any shares underlying warrants that we deem would make the shareholder’s beneficial ownership of our common stock exceed any blockers in warrants held by this shareholder.</w:t>
      </w:r>
    </w:p>
    <w:p>
      <w:pPr>
        <w:jc w:val="both"/>
        <w:ind w:left="261" w:hanging="261"/>
        <w:spacing w:after="0" w:line="261" w:lineRule="auto"/>
        <w:tabs>
          <w:tab w:leader="none" w:pos="261"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figure includes 750,000 shares of common stock issued to this shareholder in January 2015 (we have not verified that this shareholder still holds these shares) and 3,303,266 shares underlying warrants. All warrants held by this shareholder are subject to a 4.9% or 9.9% “blocker” such that at no time may it exercise any such warrants if that exercise would increase its beneficial ownership over 4.9% or 9.9%, as applicable, of the then outstanding shares of common stock. We have not verified that this shareholder has not transferred its Series B or Series C Warrants, and this table does not take into account any shares underlying warrants that we deem would make the shareholder’s beneficial ownership of our common stock exceed any blockers in warrants held by this shareholder.</w:t>
      </w:r>
    </w:p>
    <w:p>
      <w:pPr>
        <w:spacing w:after="0" w:line="165" w:lineRule="exact"/>
        <w:rPr>
          <w:sz w:val="20"/>
          <w:szCs w:val="20"/>
          <w:color w:val="auto"/>
        </w:rPr>
      </w:pPr>
    </w:p>
    <w:p>
      <w:pPr>
        <w:ind w:left="1"/>
        <w:spacing w:after="0" w:line="296" w:lineRule="auto"/>
        <w:rPr>
          <w:sz w:val="20"/>
          <w:szCs w:val="20"/>
          <w:color w:val="auto"/>
        </w:rPr>
      </w:pPr>
      <w:r>
        <w:rPr>
          <w:rFonts w:ascii="Times New Roman" w:cs="Times New Roman" w:eastAsia="Times New Roman" w:hAnsi="Times New Roman"/>
          <w:sz w:val="16"/>
          <w:szCs w:val="16"/>
          <w:color w:val="auto"/>
        </w:rPr>
        <w:t>There are no arrangements or understanding among the parties set out above or their respective associates or affiliates concerning election of directors or any other matters which may require shareholder approval.</w:t>
      </w:r>
    </w:p>
    <w:p>
      <w:pPr>
        <w:spacing w:after="0" w:line="13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A description of the Company’s equity compensation plan is provided in Part II, Item 5 of this Form 10-K and is hereby incorporated by reference into this Item 12.</w:t>
      </w:r>
    </w:p>
    <w:p>
      <w:pPr>
        <w:spacing w:after="0" w:line="20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Changes in Control</w:t>
      </w:r>
    </w:p>
    <w:p>
      <w:pPr>
        <w:spacing w:after="0" w:line="21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We are unaware of any contract, or other arrangement or provision, the operation of which may at a subsequent date result in a change of control of our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21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legality and validity of the securities offered from time to time under this prospectus will be passed upon by Sanders Ortoli Vaughn-Flam Rosenstadt LLP.</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DISCLOSURE OF COMMISSION POSITION ON INDEMNIFICATION FOR SECURITIES ACT LIABILITIES</w:t>
      </w:r>
    </w:p>
    <w:p>
      <w:pPr>
        <w:spacing w:after="0" w:line="214" w:lineRule="exact"/>
        <w:rPr>
          <w:sz w:val="20"/>
          <w:szCs w:val="20"/>
          <w:color w:val="auto"/>
        </w:rPr>
      </w:pPr>
    </w:p>
    <w:p>
      <w:pPr>
        <w:ind w:left="1" w:right="60"/>
        <w:spacing w:after="0" w:line="266" w:lineRule="auto"/>
        <w:rPr>
          <w:sz w:val="20"/>
          <w:szCs w:val="20"/>
          <w:color w:val="auto"/>
        </w:rPr>
      </w:pPr>
      <w:r>
        <w:rPr>
          <w:rFonts w:ascii="Times New Roman" w:cs="Times New Roman" w:eastAsia="Times New Roman" w:hAnsi="Times New Roman"/>
          <w:sz w:val="16"/>
          <w:szCs w:val="16"/>
          <w:color w:val="auto"/>
        </w:rPr>
        <w:t>Our by-laws require us to indemnify any of our officers or directors, and certain other persons, under certain circumstances against all expenses and liabilities incurred or suffered by such persons because of a lawsuit or similar proceeding to which the person is made a party by reason of a his being a director or officer of TapImmune or our subsidiaries, unless that indemnification is prohibited by law. We may also purchase and maintain insurance for the benefit of any officer which may cover claims for which we could not indemnify a director or officer. We have been advised that in the opinion of the Securities and Exchange Commission, indemnification of our officers, directors and controlling persons under these provisions, or otherwise, is against public policy and is unenforceable.</w:t>
      </w:r>
    </w:p>
    <w:p>
      <w:pPr>
        <w:spacing w:after="0" w:line="163" w:lineRule="exact"/>
        <w:rPr>
          <w:sz w:val="20"/>
          <w:szCs w:val="20"/>
          <w:color w:val="auto"/>
        </w:rPr>
      </w:pPr>
    </w:p>
    <w:p>
      <w:pPr>
        <w:ind w:left="1" w:right="20"/>
        <w:spacing w:after="0" w:line="276" w:lineRule="auto"/>
        <w:rPr>
          <w:sz w:val="20"/>
          <w:szCs w:val="20"/>
          <w:color w:val="auto"/>
        </w:rPr>
      </w:pPr>
      <w:r>
        <w:rPr>
          <w:rFonts w:ascii="Times New Roman" w:cs="Times New Roman" w:eastAsia="Times New Roman" w:hAnsi="Times New Roman"/>
          <w:sz w:val="16"/>
          <w:szCs w:val="16"/>
          <w:color w:val="auto"/>
        </w:rPr>
        <w:t>Insofar as indemnification for liabilities arising under the Securities Act of 1933, as amended (the “Securities Act”), may be permitted to directors, officers or persons controlling us pursuant to the foregoing provisions, or otherwise, we have been advised that in the opinion of the Securities and Exchange Commission, such indemnification is against public policy as expressed in the Securities Act, and is therefore unenforceable.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63765"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480" w:right="2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6"/>
          <w:szCs w:val="16"/>
          <w:b w:val="1"/>
          <w:bCs w:val="1"/>
          <w:color w:val="auto"/>
        </w:rPr>
        <w:t>EXPERTS</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Our consolidated financial statements as of December 31, 2014 have been included in the registration statement in reliance upon the report of Marcum LLP, independent registered public accounting firm, and upon the authority of said firm as experts in accounting and auditing. Our consolidated financial statements as of December 31, 2013 have been included in the registration statement in reliance upon the report of Dale Matheson Carr-Hilton LaBonte LLP, independent registered public accounting firm, and upon the authority of said firm as experts in accounting and auditing.</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 xml:space="preserve">We are a reporting company and file annual, quarterly and current reports, proxy statements and other information with the SEC. We have filed with the SEC a registration statement on Form S-1 under the Securities Act with respect to the securities we are offering under this prospectus.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may read and copy the registration statement, as well as our reports, proxy statements and other information,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The SEC maintains an internet site that contains reports, proxy and information statements, and other information regarding issuers that file electronically with the SEC, where our SEC filings are also available. The address of the SEC’s web site is </w:t>
      </w:r>
      <w:r>
        <w:rPr>
          <w:rFonts w:ascii="Times New Roman" w:cs="Times New Roman" w:eastAsia="Times New Roman" w:hAnsi="Times New Roman"/>
          <w:sz w:val="16"/>
          <w:szCs w:val="16"/>
          <w:u w:val="single" w:color="auto"/>
          <w:color w:val="auto"/>
        </w:rPr>
        <w:t>http://www.sec.gov.</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8"/>
        </w:trPr>
        <w:tc>
          <w:tcPr>
            <w:tcW w:w="10600" w:type="dxa"/>
            <w:vAlign w:val="bottom"/>
          </w:tcPr>
          <w:p>
            <w:pPr>
              <w:ind w:left="4180"/>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tc>
        <w:tc>
          <w:tcPr>
            <w:tcW w:w="820" w:type="dxa"/>
            <w:vAlign w:val="bottom"/>
          </w:tcPr>
          <w:p>
            <w:pPr>
              <w:spacing w:after="0"/>
              <w:rPr>
                <w:sz w:val="18"/>
                <w:szCs w:val="18"/>
                <w:color w:val="auto"/>
              </w:rPr>
            </w:pPr>
          </w:p>
        </w:tc>
      </w:tr>
      <w:tr>
        <w:trPr>
          <w:trHeight w:val="812"/>
        </w:trPr>
        <w:tc>
          <w:tcPr>
            <w:tcW w:w="10600" w:type="dxa"/>
            <w:vAlign w:val="bottom"/>
          </w:tcPr>
          <w:p>
            <w:pPr>
              <w:spacing w:after="0"/>
              <w:rPr>
                <w:sz w:val="24"/>
                <w:szCs w:val="24"/>
                <w:color w:val="auto"/>
              </w:rPr>
            </w:pPr>
          </w:p>
        </w:tc>
        <w:tc>
          <w:tcPr>
            <w:tcW w:w="8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0"/>
        </w:trPr>
        <w:tc>
          <w:tcPr>
            <w:tcW w:w="10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6"/>
        </w:trPr>
        <w:tc>
          <w:tcPr>
            <w:tcW w:w="106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7"/>
        </w:trPr>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Report of Independent Registered Public Accounting Firm, dated April 15, 2015</w:t>
            </w:r>
          </w:p>
        </w:tc>
        <w:tc>
          <w:tcPr>
            <w:tcW w:w="82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rPr>
              <w:t>F-1</w:t>
            </w:r>
          </w:p>
        </w:tc>
      </w:tr>
      <w:tr>
        <w:trPr>
          <w:trHeight w:val="197"/>
        </w:trPr>
        <w:tc>
          <w:tcPr>
            <w:tcW w:w="106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Report of Independent Registered Public Accounting Firm, dated April 14, 2014</w:t>
            </w:r>
          </w:p>
        </w:tc>
        <w:tc>
          <w:tcPr>
            <w:tcW w:w="82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rPr>
              <w:t>F-2</w:t>
            </w:r>
          </w:p>
        </w:tc>
      </w:tr>
      <w:tr>
        <w:trPr>
          <w:trHeight w:val="197"/>
        </w:trPr>
        <w:tc>
          <w:tcPr>
            <w:tcW w:w="106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Consolidated Balance Sheets as of December 31, 2014 and 2013</w:t>
            </w:r>
          </w:p>
        </w:tc>
        <w:tc>
          <w:tcPr>
            <w:tcW w:w="82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rPr>
              <w:t>F-3</w:t>
            </w:r>
          </w:p>
        </w:tc>
      </w:tr>
      <w:tr>
        <w:trPr>
          <w:trHeight w:val="197"/>
        </w:trPr>
        <w:tc>
          <w:tcPr>
            <w:tcW w:w="106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Consolidated Statements of Operations for the Years Ended December 31, 2014 and 2013</w:t>
            </w:r>
          </w:p>
        </w:tc>
        <w:tc>
          <w:tcPr>
            <w:tcW w:w="82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rPr>
              <w:t>F-4</w:t>
            </w:r>
          </w:p>
        </w:tc>
      </w:tr>
      <w:tr>
        <w:trPr>
          <w:trHeight w:val="197"/>
        </w:trPr>
        <w:tc>
          <w:tcPr>
            <w:tcW w:w="106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Consolidated Statements of Stockholders’ Deficit from July 27, 1999 (Inception) to December 31, 2014</w:t>
            </w:r>
          </w:p>
        </w:tc>
        <w:tc>
          <w:tcPr>
            <w:tcW w:w="82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rPr>
              <w:t>F-5</w:t>
            </w:r>
          </w:p>
        </w:tc>
      </w:tr>
      <w:tr>
        <w:trPr>
          <w:trHeight w:val="197"/>
        </w:trPr>
        <w:tc>
          <w:tcPr>
            <w:tcW w:w="106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Consolidated Statements of Cash Flows for the Years Ended December 31, 2014 and 2013</w:t>
            </w:r>
          </w:p>
        </w:tc>
        <w:tc>
          <w:tcPr>
            <w:tcW w:w="82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rPr>
              <w:t>F-6</w:t>
            </w:r>
          </w:p>
        </w:tc>
      </w:tr>
      <w:tr>
        <w:trPr>
          <w:trHeight w:val="197"/>
        </w:trPr>
        <w:tc>
          <w:tcPr>
            <w:tcW w:w="106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 to Consolidated Financial Statements for the Years Ended December 31, 2014</w:t>
            </w:r>
          </w:p>
        </w:tc>
        <w:tc>
          <w:tcPr>
            <w:tcW w:w="82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rPr>
              <w:t>F-8</w:t>
            </w:r>
          </w:p>
        </w:tc>
      </w:tr>
      <w:tr>
        <w:trPr>
          <w:trHeight w:val="197"/>
        </w:trPr>
        <w:tc>
          <w:tcPr>
            <w:tcW w:w="106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Condensed Consolidated Balance Sheets as of March 31, 2015 (Unaudited) and December 31, 2014</w:t>
            </w:r>
          </w:p>
        </w:tc>
        <w:tc>
          <w:tcPr>
            <w:tcW w:w="82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6"/>
                <w:szCs w:val="16"/>
                <w:color w:val="auto"/>
              </w:rPr>
              <w:t>F-21</w:t>
            </w:r>
          </w:p>
        </w:tc>
      </w:tr>
      <w:tr>
        <w:trPr>
          <w:trHeight w:val="197"/>
        </w:trPr>
        <w:tc>
          <w:tcPr>
            <w:tcW w:w="106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Condensed Consolidated Statements of Operations and Comprehensive Loss (Unaudited) for the Three Months Ended March 31, 2015 and 2014,</w:t>
            </w:r>
          </w:p>
        </w:tc>
        <w:tc>
          <w:tcPr>
            <w:tcW w:w="82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w w:val="99"/>
              </w:rPr>
              <w:t>F-22</w:t>
            </w:r>
          </w:p>
        </w:tc>
      </w:tr>
      <w:tr>
        <w:trPr>
          <w:trHeight w:val="197"/>
        </w:trPr>
        <w:tc>
          <w:tcPr>
            <w:tcW w:w="106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Consolidated Statements of Stockholders’ Equity (Deficit)</w:t>
            </w:r>
          </w:p>
        </w:tc>
        <w:tc>
          <w:tcPr>
            <w:tcW w:w="82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w w:val="99"/>
              </w:rPr>
              <w:t>F-23</w:t>
            </w:r>
          </w:p>
        </w:tc>
      </w:tr>
      <w:tr>
        <w:trPr>
          <w:trHeight w:val="197"/>
        </w:trPr>
        <w:tc>
          <w:tcPr>
            <w:tcW w:w="106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1"/>
        </w:trPr>
        <w:tc>
          <w:tcPr>
            <w:tcW w:w="106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Condensed Consolidated Statements of Cash Flows for the Three Months Ended March 31, 2015 and 2014, and for the Period from July 27, 1999 (Date of</w:t>
            </w:r>
          </w:p>
        </w:tc>
        <w:tc>
          <w:tcPr>
            <w:tcW w:w="820" w:type="dxa"/>
            <w:vAlign w:val="bottom"/>
            <w:shd w:val="clear" w:color="auto" w:fill="CCEEFF"/>
          </w:tcPr>
          <w:p>
            <w:pPr>
              <w:spacing w:after="0"/>
              <w:rPr>
                <w:sz w:val="15"/>
                <w:szCs w:val="15"/>
                <w:color w:val="auto"/>
              </w:rPr>
            </w:pPr>
          </w:p>
        </w:tc>
      </w:tr>
      <w:tr>
        <w:trPr>
          <w:trHeight w:val="214"/>
        </w:trPr>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Inception) to March 31, 2010</w:t>
            </w:r>
          </w:p>
        </w:tc>
        <w:tc>
          <w:tcPr>
            <w:tcW w:w="82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w w:val="99"/>
              </w:rPr>
              <w:t>F-24</w:t>
            </w:r>
          </w:p>
        </w:tc>
      </w:tr>
      <w:tr>
        <w:trPr>
          <w:trHeight w:val="197"/>
        </w:trPr>
        <w:tc>
          <w:tcPr>
            <w:tcW w:w="106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 to the Condensed Consolidated Financial Statements (Unaudited) for the three-month period ended March 31, 2015</w:t>
            </w:r>
          </w:p>
        </w:tc>
        <w:tc>
          <w:tcPr>
            <w:tcW w:w="82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w w:val="99"/>
              </w:rPr>
              <w:t>F-26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698" w:right="2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6"/>
          <w:szCs w:val="16"/>
          <w:u w:val="single" w:color="auto"/>
          <w:color w:val="auto"/>
        </w:rPr>
        <w:t>REPORT OF INDEPENDENT REGISTERED PUBLIC ACCOUNTING FIRM</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Audit Committee of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Board of Directors and Stockholders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TapImmune, Inc.</w:t>
      </w:r>
    </w:p>
    <w:p>
      <w:pPr>
        <w:spacing w:after="0" w:line="200" w:lineRule="exact"/>
        <w:rPr>
          <w:sz w:val="20"/>
          <w:szCs w:val="20"/>
          <w:color w:val="auto"/>
        </w:rPr>
      </w:pPr>
    </w:p>
    <w:p>
      <w:pPr>
        <w:spacing w:after="0" w:line="23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 of TapImmune, Inc. (the “Company”) as of December 31, 2014, and the related consolidated statements of operations and comprehensive loss, changes in stockholders’ equity (deficit) and cash flows for the year then ended. These consolidated financial statements are the responsibility of the Company’s management. Our responsibility is to express an opinion on these consolidated financial statements based on our audit.</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9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In our opinion, the consolidated financial statements referred to above present fairly, in all material respects, the consolidated financial position of TapImmune, Inc., as of December 31, 2014, and the results of its operations and its cash flows for the year then ended in conformity with accounting principles generally accepted in the United States of America.</w:t>
      </w:r>
    </w:p>
    <w:p>
      <w:pPr>
        <w:spacing w:after="0" w:line="4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assuming that the Company will continue as a going concern. As discussed in Note 2 to the consolidated financial statements, the Company has suffered historical losses from operations and has negative working capital. These matters raise substantial doubt about the Company’s ability to continue as a going concern. Management’s plans concerning these matters are also discussed in Note 2 to the consolidated financial statements. The accompanying consolidated financial statements do not include any adjustments that might result from the outcome of this uncertainty.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 Marcum </w:t>
      </w:r>
      <w:r>
        <w:rPr>
          <w:rFonts w:ascii="Times New Roman" w:cs="Times New Roman" w:eastAsia="Times New Roman" w:hAnsi="Times New Roman"/>
          <w:sz w:val="11"/>
          <w:szCs w:val="11"/>
          <w:color w:val="auto"/>
        </w:rPr>
        <w:t>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15, 2015</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924" w:right="23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315595</wp:posOffset>
            </wp:positionV>
            <wp:extent cx="7315835" cy="16503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7315835" cy="165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Board of Directors of TapImmune Inc:</w:t>
      </w:r>
    </w:p>
    <w:p>
      <w:pPr>
        <w:spacing w:after="0" w:line="23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 of TapImmune Inc. (the “Company”) as of December 31, 2013 and the related consolidated statement of operations and comprehensive loss, stockholders’ deficit and cash flows for the year then ended. These financial statements are the responsibility of the Company’s management. Our responsibility is to express an opinion on these financial statements based on our audit.</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Public Company Accounting Oversight Board (United States). Those standards require that we plan and perform an audit to obtain reasonable assurance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9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In our opinion, these consolidated financial statements present fairly, in all material respects, the financial position of the Company as at December 31, 2013 and the results of its operations and its cash flows for the years then ended, in conformity with accounting principles generally accepted in the United States of America.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assuming that the Company will continue as a going concern. As discussed in Note 1 to the financial statements, the Company has an accumulated deficit of $55,426,635and reported a loss of $5,532,552 for the year ended December 31, 2013 raising substantial doubt about the Company’s ability to continue as a going concern. The Company requires additional funds to meet its obligations and the costs of its operations. These factors raise substantial doubt about the Company’s ability to continue as a going concern. Management’s plans in this regard are described in Note 1. The financial statements do not include any adjustments that might result from the outcome of this uncertainty.</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“DMCL”</w:t>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DALE MATHESON CARR-HILTON LABONTE LLP</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CHARTERED ACCOUNTANTS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Vancouver, Canada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14, 2014</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20"/>
          <w:szCs w:val="20"/>
          <w:b w:val="1"/>
          <w:bCs w:val="1"/>
          <w:color w:val="auto"/>
        </w:rPr>
        <w:t>TAPIMMUNE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20" w:type="dxa"/>
            <w:vAlign w:val="bottom"/>
            <w:tcBorders>
              <w:top w:val="single" w:sz="8" w:color="auto"/>
            </w:tcBorders>
          </w:tcPr>
          <w:p>
            <w:pPr>
              <w:spacing w:after="0"/>
              <w:rPr>
                <w:sz w:val="17"/>
                <w:szCs w:val="17"/>
                <w:color w:val="auto"/>
              </w:rPr>
            </w:pPr>
          </w:p>
        </w:tc>
        <w:tc>
          <w:tcPr>
            <w:tcW w:w="36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December 31,</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18"/>
        </w:trPr>
        <w:tc>
          <w:tcPr>
            <w:tcW w:w="50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color w:val="auto"/>
              </w:rPr>
              <w:t>2014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5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900" w:type="dxa"/>
            <w:vAlign w:val="bottom"/>
            <w:gridSpan w:val="3"/>
          </w:tcPr>
          <w:p>
            <w:pPr>
              <w:jc w:val="right"/>
              <w:ind w:right="29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020" w:type="dxa"/>
            <w:vAlign w:val="bottom"/>
            <w:vMerge w:val="continue"/>
          </w:tcPr>
          <w:p>
            <w:pPr>
              <w:spacing w:after="0"/>
              <w:rPr>
                <w:sz w:val="15"/>
                <w:szCs w:val="15"/>
                <w:color w:val="auto"/>
              </w:rPr>
            </w:pPr>
          </w:p>
        </w:tc>
        <w:tc>
          <w:tcPr>
            <w:tcW w:w="3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Cash</w:t>
            </w:r>
          </w:p>
        </w:tc>
        <w:tc>
          <w:tcPr>
            <w:tcW w:w="3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141,944</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48,589</w:t>
            </w: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Prepaid expenses and deposits</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82,504</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15,004</w:t>
            </w:r>
          </w:p>
        </w:tc>
        <w:tc>
          <w:tcPr>
            <w:tcW w:w="0" w:type="dxa"/>
            <w:vAlign w:val="bottom"/>
          </w:tcPr>
          <w:p>
            <w:pPr>
              <w:spacing w:after="0"/>
              <w:rPr>
                <w:sz w:val="1"/>
                <w:szCs w:val="1"/>
                <w:color w:val="auto"/>
              </w:rPr>
            </w:pPr>
          </w:p>
        </w:tc>
      </w:tr>
      <w:tr>
        <w:trPr>
          <w:trHeight w:val="218"/>
        </w:trPr>
        <w:tc>
          <w:tcPr>
            <w:tcW w:w="5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Deferred financing costs</w:t>
            </w:r>
          </w:p>
        </w:tc>
        <w:tc>
          <w:tcPr>
            <w:tcW w:w="3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50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224,448</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77,032</w:t>
            </w:r>
          </w:p>
        </w:tc>
        <w:tc>
          <w:tcPr>
            <w:tcW w:w="0" w:type="dxa"/>
            <w:vAlign w:val="bottom"/>
          </w:tcPr>
          <w:p>
            <w:pPr>
              <w:spacing w:after="0"/>
              <w:rPr>
                <w:sz w:val="1"/>
                <w:szCs w:val="1"/>
                <w:color w:val="auto"/>
              </w:rPr>
            </w:pPr>
          </w:p>
        </w:tc>
      </w:tr>
      <w:tr>
        <w:trPr>
          <w:trHeight w:val="20"/>
        </w:trPr>
        <w:tc>
          <w:tcPr>
            <w:tcW w:w="87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920" w:type="dxa"/>
            <w:vAlign w:val="bottom"/>
            <w:gridSpan w:val="4"/>
          </w:tcPr>
          <w:p>
            <w:pPr>
              <w:ind w:left="34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693,362</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3,778,401</w:t>
            </w: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Research agreement obligations</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492,365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492,365</w:t>
            </w: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Derivative liability – conversion option</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582,300</w:t>
            </w: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Derivative liability – warrants</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140,504</w:t>
            </w: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Convertible notes payable</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3,161,977</w:t>
            </w: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Loans payable, related party (2013 - $5,200)</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42,200</w:t>
            </w: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Promissory notes, related party</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52,942</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277,942</w:t>
            </w:r>
          </w:p>
        </w:tc>
        <w:tc>
          <w:tcPr>
            <w:tcW w:w="0" w:type="dxa"/>
            <w:vAlign w:val="bottom"/>
          </w:tcPr>
          <w:p>
            <w:pPr>
              <w:spacing w:after="0"/>
              <w:rPr>
                <w:sz w:val="1"/>
                <w:szCs w:val="1"/>
                <w:color w:val="auto"/>
              </w:rPr>
            </w:pPr>
          </w:p>
        </w:tc>
      </w:tr>
      <w:tr>
        <w:trPr>
          <w:trHeight w:val="218"/>
        </w:trPr>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Due to related parties</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369,346</w:t>
            </w:r>
          </w:p>
        </w:tc>
        <w:tc>
          <w:tcPr>
            <w:tcW w:w="0" w:type="dxa"/>
            <w:vAlign w:val="bottom"/>
          </w:tcPr>
          <w:p>
            <w:pPr>
              <w:spacing w:after="0"/>
              <w:rPr>
                <w:sz w:val="1"/>
                <w:szCs w:val="1"/>
                <w:color w:val="auto"/>
              </w:rPr>
            </w:pPr>
          </w:p>
        </w:tc>
      </w:tr>
      <w:tr>
        <w:trPr>
          <w:trHeight w:val="202"/>
        </w:trPr>
        <w:tc>
          <w:tcPr>
            <w:tcW w:w="5020" w:type="dxa"/>
            <w:vAlign w:val="bottom"/>
            <w:tcBorders>
              <w:top w:val="single" w:sz="8" w:color="auto"/>
              <w:bottom w:val="single" w:sz="8" w:color="auto"/>
            </w:tcBorders>
          </w:tcPr>
          <w:p>
            <w:pPr>
              <w:spacing w:after="0"/>
              <w:rPr>
                <w:sz w:val="17"/>
                <w:szCs w:val="17"/>
                <w:color w:val="auto"/>
              </w:rPr>
            </w:pPr>
          </w:p>
        </w:tc>
        <w:tc>
          <w:tcPr>
            <w:tcW w:w="368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1,248,084</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8,845,035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5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5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 (Deficit)</w:t>
            </w:r>
          </w:p>
        </w:tc>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9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Convertible preferred stock, $0.001 par value — 5,000,000 shares authorized:</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9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Series A, $0.001 par value, 1,250,000 shares designated, -0- shares issued and outstanding as of December 31, 2014 and</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December 31, 2013</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Series B, $0.001 par value, 1,500,000 shares designated, -0- shares issued</w:t>
            </w:r>
          </w:p>
        </w:tc>
        <w:tc>
          <w:tcPr>
            <w:tcW w:w="3900" w:type="dxa"/>
            <w:vAlign w:val="bottom"/>
            <w:gridSpan w:val="3"/>
          </w:tcPr>
          <w:p>
            <w:pPr>
              <w:jc w:val="right"/>
              <w:ind w:right="840"/>
              <w:spacing w:after="0"/>
              <w:rPr>
                <w:sz w:val="20"/>
                <w:szCs w:val="20"/>
                <w:color w:val="auto"/>
              </w:rPr>
            </w:pPr>
            <w:r>
              <w:rPr>
                <w:rFonts w:ascii="Times New Roman" w:cs="Times New Roman" w:eastAsia="Times New Roman" w:hAnsi="Times New Roman"/>
                <w:sz w:val="16"/>
                <w:szCs w:val="16"/>
                <w:color w:val="auto"/>
              </w:rPr>
              <w:t>and outstanding as of December 31, 2014 and</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December 31, 2013</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$0.001 par value, 500,000,000 shares authorized</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20,318,815 shares issued and outstanding (2013 – 1,465,712)</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20,319</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1,466</w:t>
            </w: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85,265,776</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46,715,500</w:t>
            </w: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(86,309,731)</w:t>
            </w:r>
          </w:p>
        </w:tc>
        <w:tc>
          <w:tcPr>
            <w:tcW w:w="1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(55,426,635)</w:t>
            </w:r>
          </w:p>
        </w:tc>
        <w:tc>
          <w:tcPr>
            <w:tcW w:w="0" w:type="dxa"/>
            <w:vAlign w:val="bottom"/>
          </w:tcPr>
          <w:p>
            <w:pPr>
              <w:spacing w:after="0"/>
              <w:rPr>
                <w:sz w:val="1"/>
                <w:szCs w:val="1"/>
                <w:color w:val="auto"/>
              </w:rPr>
            </w:pPr>
          </w:p>
        </w:tc>
      </w:tr>
      <w:tr>
        <w:trPr>
          <w:trHeight w:val="218"/>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(58,334)</w:t>
            </w:r>
          </w:p>
        </w:tc>
        <w:tc>
          <w:tcPr>
            <w:tcW w:w="0" w:type="dxa"/>
            <w:vAlign w:val="bottom"/>
          </w:tcPr>
          <w:p>
            <w:pPr>
              <w:spacing w:after="0"/>
              <w:rPr>
                <w:sz w:val="1"/>
                <w:szCs w:val="1"/>
                <w:color w:val="auto"/>
              </w:rPr>
            </w:pPr>
          </w:p>
        </w:tc>
      </w:tr>
      <w:tr>
        <w:trPr>
          <w:trHeight w:val="202"/>
        </w:trPr>
        <w:tc>
          <w:tcPr>
            <w:tcW w:w="5020" w:type="dxa"/>
            <w:vAlign w:val="bottom"/>
            <w:tcBorders>
              <w:top w:val="single" w:sz="8" w:color="auto"/>
              <w:bottom w:val="single" w:sz="8" w:color="auto"/>
            </w:tcBorders>
          </w:tcPr>
          <w:p>
            <w:pPr>
              <w:spacing w:after="0"/>
              <w:rPr>
                <w:sz w:val="17"/>
                <w:szCs w:val="17"/>
                <w:color w:val="auto"/>
              </w:rPr>
            </w:pPr>
          </w:p>
        </w:tc>
        <w:tc>
          <w:tcPr>
            <w:tcW w:w="368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(1,023,636)</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(8,768,003)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5020" w:type="dxa"/>
            <w:vAlign w:val="bottom"/>
          </w:tcPr>
          <w:p>
            <w:pPr>
              <w:spacing w:after="0"/>
              <w:rPr>
                <w:sz w:val="24"/>
                <w:szCs w:val="24"/>
                <w:color w:val="auto"/>
              </w:rPr>
            </w:pPr>
          </w:p>
        </w:tc>
        <w:tc>
          <w:tcPr>
            <w:tcW w:w="3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224,448</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77,032</w:t>
            </w:r>
          </w:p>
        </w:tc>
        <w:tc>
          <w:tcPr>
            <w:tcW w:w="0" w:type="dxa"/>
            <w:vAlign w:val="bottom"/>
          </w:tcPr>
          <w:p>
            <w:pPr>
              <w:spacing w:after="0"/>
              <w:rPr>
                <w:sz w:val="1"/>
                <w:szCs w:val="1"/>
                <w:color w:val="auto"/>
              </w:rPr>
            </w:pPr>
          </w:p>
        </w:tc>
      </w:tr>
      <w:tr>
        <w:trPr>
          <w:trHeight w:val="20"/>
        </w:trPr>
        <w:tc>
          <w:tcPr>
            <w:tcW w:w="5020" w:type="dxa"/>
            <w:vAlign w:val="bottom"/>
            <w:tcBorders>
              <w:top w:val="single" w:sz="8" w:color="auto"/>
              <w:bottom w:val="single" w:sz="8" w:color="auto"/>
            </w:tcBorders>
          </w:tcPr>
          <w:p>
            <w:pPr>
              <w:spacing w:after="0" w:line="20" w:lineRule="exact"/>
              <w:rPr>
                <w:sz w:val="1"/>
                <w:szCs w:val="1"/>
                <w:color w:val="auto"/>
              </w:rPr>
            </w:pPr>
          </w:p>
        </w:tc>
        <w:tc>
          <w:tcPr>
            <w:tcW w:w="3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auto"/>
        </w:rPr>
        <w:t>TAPIMMUNE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6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Year Ended</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Year Ended</w:t>
            </w:r>
          </w:p>
        </w:tc>
      </w:tr>
      <w:tr>
        <w:trPr>
          <w:trHeight w:val="197"/>
        </w:trPr>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December 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December 31,</w:t>
            </w:r>
          </w:p>
        </w:tc>
      </w:tr>
      <w:tr>
        <w:trPr>
          <w:trHeight w:val="218"/>
        </w:trPr>
        <w:tc>
          <w:tcPr>
            <w:tcW w:w="8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140" w:type="dxa"/>
            <w:vAlign w:val="bottom"/>
          </w:tcPr>
          <w:p>
            <w:pPr>
              <w:spacing w:after="0"/>
              <w:rPr>
                <w:sz w:val="18"/>
                <w:szCs w:val="18"/>
                <w:color w:val="auto"/>
              </w:rPr>
            </w:pPr>
          </w:p>
        </w:tc>
      </w:tr>
      <w:tr>
        <w:trPr>
          <w:trHeight w:val="378"/>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7"/>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3,181,927</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1,966,683</w:t>
            </w:r>
          </w:p>
        </w:tc>
        <w:tc>
          <w:tcPr>
            <w:tcW w:w="140" w:type="dxa"/>
            <w:vAlign w:val="bottom"/>
          </w:tcPr>
          <w:p>
            <w:pPr>
              <w:spacing w:after="0"/>
              <w:rPr>
                <w:sz w:val="17"/>
                <w:szCs w:val="17"/>
                <w:color w:val="auto"/>
              </w:rPr>
            </w:pPr>
          </w:p>
        </w:tc>
      </w:tr>
      <w:tr>
        <w:trPr>
          <w:trHeight w:val="214"/>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189,000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697,634</w:t>
            </w:r>
          </w:p>
        </w:tc>
      </w:tr>
      <w:tr>
        <w:trPr>
          <w:trHeight w:val="25"/>
        </w:trPr>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395"/>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(3,370,927)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(2,664,317)</w:t>
            </w:r>
          </w:p>
        </w:tc>
      </w:tr>
      <w:tr>
        <w:trPr>
          <w:trHeight w:val="377"/>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7"/>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exchange (loss) gain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(52,976)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5,896</w:t>
            </w:r>
          </w:p>
        </w:tc>
      </w:tr>
      <w:tr>
        <w:trPr>
          <w:trHeight w:val="197"/>
        </w:trPr>
        <w:tc>
          <w:tcPr>
            <w:tcW w:w="8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fair value of derivative liabilities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581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1,546,257</w:t>
            </w:r>
          </w:p>
        </w:tc>
        <w:tc>
          <w:tcPr>
            <w:tcW w:w="140" w:type="dxa"/>
            <w:vAlign w:val="bottom"/>
          </w:tcPr>
          <w:p>
            <w:pPr>
              <w:spacing w:after="0"/>
              <w:rPr>
                <w:sz w:val="17"/>
                <w:szCs w:val="17"/>
                <w:color w:val="auto"/>
              </w:rPr>
            </w:pPr>
          </w:p>
        </w:tc>
      </w:tr>
      <w:tr>
        <w:trPr>
          <w:trHeight w:val="197"/>
        </w:trPr>
        <w:tc>
          <w:tcPr>
            <w:tcW w:w="8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Accretion of discount on convertible notes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(492,296)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(1,110,831)</w:t>
            </w:r>
          </w:p>
        </w:tc>
      </w:tr>
      <w:tr>
        <w:trPr>
          <w:trHeight w:val="197"/>
        </w:trPr>
        <w:tc>
          <w:tcPr>
            <w:tcW w:w="8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and financing charges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(83,247)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(645,562)</w:t>
            </w:r>
          </w:p>
        </w:tc>
      </w:tr>
      <w:tr>
        <w:trPr>
          <w:trHeight w:val="197"/>
        </w:trPr>
        <w:tc>
          <w:tcPr>
            <w:tcW w:w="8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(26,884,231)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(2,560,045)</w:t>
            </w:r>
          </w:p>
        </w:tc>
      </w:tr>
      <w:tr>
        <w:trPr>
          <w:trHeight w:val="214"/>
        </w:trPr>
        <w:tc>
          <w:tcPr>
            <w:tcW w:w="8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on lawsuit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(103,950)</w:t>
            </w:r>
          </w:p>
        </w:tc>
      </w:tr>
      <w:tr>
        <w:trPr>
          <w:trHeight w:val="25"/>
        </w:trPr>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399"/>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for the Period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(30,883,096)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(5,532,552)</w:t>
            </w:r>
          </w:p>
        </w:tc>
      </w:tr>
      <w:tr>
        <w:trPr>
          <w:trHeight w:val="378"/>
        </w:trPr>
        <w:tc>
          <w:tcPr>
            <w:tcW w:w="8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w:t>
            </w: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4"/>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exchange translation adjustment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58,334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3,314</w:t>
            </w:r>
          </w:p>
        </w:tc>
      </w:tr>
      <w:tr>
        <w:trPr>
          <w:trHeight w:val="25"/>
        </w:trPr>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394"/>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COMPREHENSIVE LOSS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(30,824,762)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(5,529,238)</w:t>
            </w:r>
          </w:p>
        </w:tc>
      </w:tr>
      <w:tr>
        <w:trPr>
          <w:trHeight w:val="20"/>
        </w:trPr>
        <w:tc>
          <w:tcPr>
            <w:tcW w:w="8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63"/>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Basic and Diluted Net Loss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8"/>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(4.87)</w:t>
            </w:r>
          </w:p>
        </w:tc>
      </w:tr>
      <w:tr>
        <w:trPr>
          <w:trHeight w:val="20"/>
        </w:trPr>
        <w:tc>
          <w:tcPr>
            <w:tcW w:w="8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63"/>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8"/>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Common Shares Outstanding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15,465,213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1,136,115</w:t>
            </w:r>
          </w:p>
        </w:tc>
      </w:tr>
      <w:tr>
        <w:trPr>
          <w:trHeight w:val="20"/>
        </w:trPr>
        <w:tc>
          <w:tcPr>
            <w:tcW w:w="8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6"/>
          <w:szCs w:val="16"/>
          <w:b w:val="1"/>
          <w:bCs w:val="1"/>
          <w:color w:val="auto"/>
        </w:rPr>
        <w:t>TAPIMMUNE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 OF STOCKHOLDERS’ EQUITY (DEFICIT)</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gridSpan w:val="6"/>
          </w:tcPr>
          <w:p>
            <w:pPr>
              <w:ind w:left="720"/>
              <w:spacing w:after="0"/>
              <w:rPr>
                <w:sz w:val="20"/>
                <w:szCs w:val="20"/>
                <w:color w:val="auto"/>
              </w:rPr>
            </w:pPr>
            <w:r>
              <w:rPr>
                <w:rFonts w:ascii="Times New Roman" w:cs="Times New Roman" w:eastAsia="Times New Roman" w:hAnsi="Times New Roman"/>
                <w:sz w:val="16"/>
                <w:szCs w:val="16"/>
                <w:color w:val="auto"/>
              </w:rPr>
              <w:t>Common Stock</w:t>
            </w:r>
          </w:p>
        </w:tc>
        <w:tc>
          <w:tcPr>
            <w:tcW w:w="1360" w:type="dxa"/>
            <w:vAlign w:val="bottom"/>
            <w:tcBorders>
              <w:top w:val="single" w:sz="8" w:color="auto"/>
            </w:tcBorders>
            <w:gridSpan w:val="3"/>
            <w:vMerge w:val="restart"/>
          </w:tcPr>
          <w:p>
            <w:pPr>
              <w:ind w:left="280"/>
              <w:spacing w:after="0"/>
              <w:rPr>
                <w:sz w:val="20"/>
                <w:szCs w:val="20"/>
                <w:color w:val="auto"/>
              </w:rPr>
            </w:pPr>
            <w:r>
              <w:rPr>
                <w:rFonts w:ascii="Times New Roman" w:cs="Times New Roman" w:eastAsia="Times New Roman" w:hAnsi="Times New Roman"/>
                <w:sz w:val="16"/>
                <w:szCs w:val="16"/>
                <w:color w:val="auto"/>
              </w:rPr>
              <w:t>Paid In</w:t>
            </w:r>
          </w:p>
        </w:tc>
        <w:tc>
          <w:tcPr>
            <w:tcW w:w="1340" w:type="dxa"/>
            <w:vAlign w:val="bottom"/>
            <w:tcBorders>
              <w:top w:val="single" w:sz="8" w:color="auto"/>
            </w:tcBorders>
            <w:gridSpan w:val="3"/>
            <w:vMerge w:val="restart"/>
          </w:tcPr>
          <w:p>
            <w:pPr>
              <w:jc w:val="center"/>
              <w:ind w:right="340"/>
              <w:spacing w:after="0"/>
              <w:rPr>
                <w:sz w:val="20"/>
                <w:szCs w:val="20"/>
                <w:color w:val="auto"/>
              </w:rPr>
            </w:pPr>
            <w:r>
              <w:rPr>
                <w:rFonts w:ascii="Times New Roman" w:cs="Times New Roman" w:eastAsia="Times New Roman" w:hAnsi="Times New Roman"/>
                <w:sz w:val="16"/>
                <w:szCs w:val="16"/>
                <w:color w:val="auto"/>
              </w:rPr>
              <w:t>Accumulated</w:t>
            </w:r>
          </w:p>
        </w:tc>
        <w:tc>
          <w:tcPr>
            <w:tcW w:w="1380" w:type="dxa"/>
            <w:vAlign w:val="bottom"/>
            <w:tcBorders>
              <w:top w:val="single" w:sz="8" w:color="auto"/>
            </w:tcBorders>
            <w:gridSpan w:val="3"/>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rPr>
              <w:t>Comprehensive</w:t>
            </w: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Number of</w:t>
            </w:r>
          </w:p>
        </w:tc>
        <w:tc>
          <w:tcPr>
            <w:tcW w:w="13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Amount</w:t>
            </w:r>
          </w:p>
        </w:tc>
        <w:tc>
          <w:tcPr>
            <w:tcW w:w="136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Capital</w:t>
            </w: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color w:val="auto"/>
              </w:rPr>
              <w:t>Deficit</w:t>
            </w:r>
          </w:p>
        </w:tc>
        <w:tc>
          <w:tcPr>
            <w:tcW w:w="138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color w:val="auto"/>
                <w:w w:val="99"/>
              </w:rPr>
              <w:t>Loss</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8"/>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shares</w:t>
            </w:r>
          </w:p>
        </w:tc>
        <w:tc>
          <w:tcPr>
            <w:tcW w:w="1020" w:type="dxa"/>
            <w:vAlign w:val="bottom"/>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Balance, December 31, 2012</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764,029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43,912,427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(49,894,083)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(6,042,522)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3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Notes converted into shares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412,047</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412</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1,477,175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1,477,587</w:t>
            </w: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Stock based compensation in 2013</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46,840</w:t>
            </w:r>
          </w:p>
        </w:tc>
        <w:tc>
          <w:tcPr>
            <w:tcW w:w="120" w:type="dxa"/>
            <w:vAlign w:val="bottom"/>
          </w:tcPr>
          <w:p>
            <w:pPr>
              <w:spacing w:after="0"/>
              <w:rPr>
                <w:sz w:val="17"/>
                <w:szCs w:val="17"/>
                <w:color w:val="auto"/>
              </w:rPr>
            </w:pPr>
          </w:p>
        </w:tc>
        <w:tc>
          <w:tcPr>
            <w:tcW w:w="12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46,840</w:t>
            </w: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Obligation to issue shares at fair value</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pursuant to service agreements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31,891</w:t>
            </w:r>
          </w:p>
        </w:tc>
        <w:tc>
          <w:tcPr>
            <w:tcW w:w="120" w:type="dxa"/>
            <w:vAlign w:val="bottom"/>
          </w:tcPr>
          <w:p>
            <w:pPr>
              <w:spacing w:after="0"/>
              <w:rPr>
                <w:sz w:val="17"/>
                <w:szCs w:val="17"/>
                <w:color w:val="auto"/>
              </w:rPr>
            </w:pPr>
          </w:p>
        </w:tc>
        <w:tc>
          <w:tcPr>
            <w:tcW w:w="12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31,891</w:t>
            </w: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Issued at fair value pursuant to</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debt settlement agreements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264,649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1,211,362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1,211,627</w:t>
            </w: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Finders’ fee</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(11,300)</w:t>
            </w:r>
          </w:p>
        </w:tc>
        <w:tc>
          <w:tcPr>
            <w:tcW w:w="120" w:type="dxa"/>
            <w:vAlign w:val="bottom"/>
          </w:tcPr>
          <w:p>
            <w:pPr>
              <w:spacing w:after="0"/>
              <w:rPr>
                <w:sz w:val="17"/>
                <w:szCs w:val="17"/>
                <w:color w:val="auto"/>
              </w:rPr>
            </w:pPr>
          </w:p>
        </w:tc>
        <w:tc>
          <w:tcPr>
            <w:tcW w:w="12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(11,300)</w:t>
            </w: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Issued at fair value pursuant to service</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agreements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38,932</w:t>
            </w:r>
          </w:p>
        </w:tc>
        <w:tc>
          <w:tcPr>
            <w:tcW w:w="120" w:type="dxa"/>
            <w:vAlign w:val="bottom"/>
          </w:tcPr>
          <w:p>
            <w:pPr>
              <w:spacing w:after="0"/>
              <w:rPr>
                <w:sz w:val="17"/>
                <w:szCs w:val="17"/>
                <w:color w:val="auto"/>
              </w:rPr>
            </w:pPr>
          </w:p>
        </w:tc>
        <w:tc>
          <w:tcPr>
            <w:tcW w:w="12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38,936</w:t>
            </w: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Shares issued for director compensation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8,176</w:t>
            </w: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Non-cash exercise of warrants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18,986</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Foreign exchange translation adjustment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3,314</w:t>
            </w:r>
          </w:p>
        </w:tc>
        <w:tc>
          <w:tcPr>
            <w:tcW w:w="0" w:type="dxa"/>
            <w:vAlign w:val="bottom"/>
          </w:tcPr>
          <w:p>
            <w:pPr>
              <w:spacing w:after="0"/>
              <w:rPr>
                <w:sz w:val="1"/>
                <w:szCs w:val="1"/>
                <w:color w:val="auto"/>
              </w:rPr>
            </w:pPr>
          </w:p>
        </w:tc>
      </w:tr>
      <w:tr>
        <w:trPr>
          <w:trHeight w:val="218"/>
        </w:trPr>
        <w:tc>
          <w:tcPr>
            <w:tcW w:w="3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(5,532,552)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(5,532,552)</w:t>
            </w:r>
          </w:p>
        </w:tc>
        <w:tc>
          <w:tcPr>
            <w:tcW w:w="0" w:type="dxa"/>
            <w:vAlign w:val="bottom"/>
          </w:tcPr>
          <w:p>
            <w:pPr>
              <w:spacing w:after="0"/>
              <w:rPr>
                <w:sz w:val="1"/>
                <w:szCs w:val="1"/>
                <w:color w:val="auto"/>
              </w:rPr>
            </w:pPr>
          </w:p>
        </w:tc>
      </w:tr>
      <w:tr>
        <w:trPr>
          <w:trHeight w:val="214"/>
        </w:trPr>
        <w:tc>
          <w:tcPr>
            <w:tcW w:w="3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Balance, December 31, 2013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1,465,712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46,715,500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(55,426,635)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(8,768,003)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3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Convertible notes, promissory notes, loan</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payable-related party, due to related parties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and accrued interest converted into Series A</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and B preferred stock and immediately</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converted into commons stock</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14,048,701</w:t>
            </w: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14,049</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30,937,029</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30,951,078</w:t>
            </w: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Conversion of accounts payable to common</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1,836,361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1,836</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4,347,592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4,349,428</w:t>
            </w: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Private placement (net of finders’ fee)</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2,157,042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2,157</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1,875,343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1,877,500</w:t>
            </w: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Foreign exchange translation adjustment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58,334</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58,334</w:t>
            </w:r>
          </w:p>
        </w:tc>
        <w:tc>
          <w:tcPr>
            <w:tcW w:w="0" w:type="dxa"/>
            <w:vAlign w:val="bottom"/>
          </w:tcPr>
          <w:p>
            <w:pPr>
              <w:spacing w:after="0"/>
              <w:rPr>
                <w:sz w:val="1"/>
                <w:szCs w:val="1"/>
                <w:color w:val="auto"/>
              </w:rPr>
            </w:pPr>
          </w:p>
        </w:tc>
      </w:tr>
      <w:tr>
        <w:trPr>
          <w:trHeight w:val="197"/>
        </w:trPr>
        <w:tc>
          <w:tcPr>
            <w:tcW w:w="3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811,000</w:t>
            </w: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811</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1,390,312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1,391,123</w:t>
            </w:r>
          </w:p>
        </w:tc>
        <w:tc>
          <w:tcPr>
            <w:tcW w:w="0" w:type="dxa"/>
            <w:vAlign w:val="bottom"/>
          </w:tcPr>
          <w:p>
            <w:pPr>
              <w:spacing w:after="0"/>
              <w:rPr>
                <w:sz w:val="1"/>
                <w:szCs w:val="1"/>
                <w:color w:val="auto"/>
              </w:rPr>
            </w:pPr>
          </w:p>
        </w:tc>
      </w:tr>
      <w:tr>
        <w:trPr>
          <w:trHeight w:val="218"/>
        </w:trPr>
        <w:tc>
          <w:tcPr>
            <w:tcW w:w="3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(30,883,096)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(30,883,096)</w:t>
            </w:r>
          </w:p>
        </w:tc>
        <w:tc>
          <w:tcPr>
            <w:tcW w:w="0" w:type="dxa"/>
            <w:vAlign w:val="bottom"/>
          </w:tcPr>
          <w:p>
            <w:pPr>
              <w:spacing w:after="0"/>
              <w:rPr>
                <w:sz w:val="1"/>
                <w:szCs w:val="1"/>
                <w:color w:val="auto"/>
              </w:rPr>
            </w:pPr>
          </w:p>
        </w:tc>
      </w:tr>
      <w:tr>
        <w:trPr>
          <w:trHeight w:val="197"/>
        </w:trPr>
        <w:tc>
          <w:tcPr>
            <w:tcW w:w="3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Balance, December 31, 2014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20,318,816</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20,319</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85,265,776</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(86,309,731</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(1,023,636)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b w:val="1"/>
          <w:bCs w:val="1"/>
          <w:color w:val="auto"/>
        </w:rPr>
        <w:t>TAPIMMUNE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Year Ended</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Year Ended</w:t>
            </w:r>
          </w:p>
        </w:tc>
      </w:tr>
      <w:tr>
        <w:trPr>
          <w:trHeight w:val="197"/>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December 31,</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December 31,</w:t>
            </w:r>
          </w:p>
        </w:tc>
      </w:tr>
      <w:tr>
        <w:trPr>
          <w:trHeight w:val="218"/>
        </w:trPr>
        <w:tc>
          <w:tcPr>
            <w:tcW w:w="8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color w:val="auto"/>
              </w:rPr>
              <w:t>2014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color w:val="auto"/>
              </w:rPr>
              <w:t>2013</w:t>
            </w:r>
          </w:p>
        </w:tc>
        <w:tc>
          <w:tcPr>
            <w:tcW w:w="100" w:type="dxa"/>
            <w:vAlign w:val="bottom"/>
          </w:tcPr>
          <w:p>
            <w:pPr>
              <w:spacing w:after="0"/>
              <w:rPr>
                <w:sz w:val="18"/>
                <w:szCs w:val="18"/>
                <w:color w:val="auto"/>
              </w:rPr>
            </w:pPr>
          </w:p>
        </w:tc>
      </w:tr>
      <w:tr>
        <w:trPr>
          <w:trHeight w:val="378"/>
        </w:trPr>
        <w:tc>
          <w:tcPr>
            <w:tcW w:w="8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(30,883,096)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(5,532,552)</w:t>
            </w:r>
          </w:p>
        </w:tc>
      </w:tr>
      <w:tr>
        <w:trPr>
          <w:trHeight w:val="197"/>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loss to</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fair value of derivative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(1,546,257)</w:t>
            </w:r>
          </w:p>
        </w:tc>
      </w:tr>
      <w:tr>
        <w:trPr>
          <w:trHeight w:val="197"/>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26,884,231</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2,560,045</w:t>
            </w:r>
          </w:p>
        </w:tc>
      </w:tr>
      <w:tr>
        <w:trPr>
          <w:trHeight w:val="197"/>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Accretion of discount on convertible notes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492,296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1,110,831</w:t>
            </w:r>
          </w:p>
        </w:tc>
      </w:tr>
      <w:tr>
        <w:trPr>
          <w:trHeight w:val="197"/>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interest and finance charges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83,247</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645,562</w:t>
            </w:r>
          </w:p>
        </w:tc>
      </w:tr>
      <w:tr>
        <w:trPr>
          <w:trHeight w:val="197"/>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1,391,123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132,093</w:t>
            </w:r>
          </w:p>
        </w:tc>
      </w:tr>
      <w:tr>
        <w:trPr>
          <w:trHeight w:val="197"/>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exchange 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58,334</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deposits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(67,500)</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financing costs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24,013</w:t>
            </w:r>
          </w:p>
        </w:tc>
      </w:tr>
      <w:tr>
        <w:trPr>
          <w:trHeight w:val="197"/>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(145,199)</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1,835,315</w:t>
            </w:r>
          </w:p>
        </w:tc>
      </w:tr>
      <w:tr>
        <w:trPr>
          <w:trHeight w:val="218"/>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agreement obligations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76,367</w:t>
            </w:r>
          </w:p>
        </w:tc>
      </w:tr>
      <w:tr>
        <w:trPr>
          <w:trHeight w:val="202"/>
        </w:trPr>
        <w:tc>
          <w:tcPr>
            <w:tcW w:w="8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(2,187,145)</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(694,583)</w:t>
            </w:r>
          </w:p>
        </w:tc>
        <w:tc>
          <w:tcPr>
            <w:tcW w:w="100" w:type="dxa"/>
            <w:vAlign w:val="bottom"/>
          </w:tcPr>
          <w:p>
            <w:pPr>
              <w:spacing w:after="0"/>
              <w:rPr>
                <w:sz w:val="17"/>
                <w:szCs w:val="17"/>
                <w:color w:val="auto"/>
              </w:rPr>
            </w:pPr>
          </w:p>
        </w:tc>
      </w:tr>
      <w:tr>
        <w:trPr>
          <w:trHeight w:val="378"/>
        </w:trPr>
        <w:tc>
          <w:tcPr>
            <w:tcW w:w="8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shares, net of issuance costs of $387,500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1,877,500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Convertible notes issuance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418,000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728,000</w:t>
            </w:r>
          </w:p>
        </w:tc>
      </w:tr>
      <w:tr>
        <w:trPr>
          <w:trHeight w:val="197"/>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loans payable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32,200</w:t>
            </w:r>
          </w:p>
        </w:tc>
      </w:tr>
      <w:tr>
        <w:trPr>
          <w:trHeight w:val="197"/>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 to related parties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(30,867)</w:t>
            </w:r>
          </w:p>
        </w:tc>
      </w:tr>
      <w:tr>
        <w:trPr>
          <w:trHeight w:val="197"/>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 of convertible notes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(20,000)</w:t>
            </w:r>
          </w:p>
        </w:tc>
      </w:tr>
      <w:tr>
        <w:trPr>
          <w:trHeight w:val="218"/>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 of promissory notes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8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2,280,500</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709,333</w:t>
            </w:r>
          </w:p>
        </w:tc>
        <w:tc>
          <w:tcPr>
            <w:tcW w:w="100" w:type="dxa"/>
            <w:vAlign w:val="bottom"/>
          </w:tcPr>
          <w:p>
            <w:pPr>
              <w:spacing w:after="0"/>
              <w:rPr>
                <w:sz w:val="17"/>
                <w:szCs w:val="17"/>
                <w:color w:val="auto"/>
              </w:rPr>
            </w:pPr>
          </w:p>
        </w:tc>
      </w:tr>
      <w:tr>
        <w:trPr>
          <w:trHeight w:val="395"/>
        </w:trPr>
        <w:tc>
          <w:tcPr>
            <w:tcW w:w="8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INCREASE IN CASH</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93,355</w:t>
            </w: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14,750</w:t>
            </w:r>
          </w:p>
        </w:tc>
      </w:tr>
      <w:tr>
        <w:trPr>
          <w:trHeight w:val="393"/>
        </w:trPr>
        <w:tc>
          <w:tcPr>
            <w:tcW w:w="8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BEGINNING OF YEAR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48,589</w:t>
            </w: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33,839</w:t>
            </w:r>
          </w:p>
        </w:tc>
      </w:tr>
      <w:tr>
        <w:trPr>
          <w:trHeight w:val="25"/>
        </w:trPr>
        <w:tc>
          <w:tcPr>
            <w:tcW w:w="8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394"/>
        </w:trPr>
        <w:tc>
          <w:tcPr>
            <w:tcW w:w="8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END OF YEAR</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141,944</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48,589</w:t>
            </w:r>
          </w:p>
        </w:tc>
      </w:tr>
      <w:tr>
        <w:trPr>
          <w:trHeight w:val="20"/>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auto"/>
        </w:rPr>
        <w:t>TAPIMMUNE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Year Ended</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Year Ended</w:t>
            </w:r>
          </w:p>
        </w:tc>
      </w:tr>
      <w:tr>
        <w:trPr>
          <w:trHeight w:val="197"/>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December 31,</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December 31,</w:t>
            </w:r>
          </w:p>
        </w:tc>
      </w:tr>
      <w:tr>
        <w:trPr>
          <w:trHeight w:val="218"/>
        </w:trPr>
        <w:tc>
          <w:tcPr>
            <w:tcW w:w="8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color w:val="auto"/>
              </w:rPr>
              <w:t>2014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color w:val="auto"/>
              </w:rPr>
              <w:t>2013</w:t>
            </w:r>
          </w:p>
        </w:tc>
        <w:tc>
          <w:tcPr>
            <w:tcW w:w="100" w:type="dxa"/>
            <w:vAlign w:val="bottom"/>
          </w:tcPr>
          <w:p>
            <w:pPr>
              <w:spacing w:after="0"/>
              <w:rPr>
                <w:sz w:val="18"/>
                <w:szCs w:val="18"/>
                <w:color w:val="auto"/>
              </w:rPr>
            </w:pPr>
          </w:p>
        </w:tc>
      </w:tr>
      <w:tr>
        <w:trPr>
          <w:trHeight w:val="395"/>
        </w:trPr>
        <w:tc>
          <w:tcPr>
            <w:tcW w:w="8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SCHEDULE OF NON-CASH ACTIVITIES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4"/>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settled in common stock</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2,415,000</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558,000</w:t>
            </w:r>
          </w:p>
        </w:tc>
      </w:tr>
      <w:tr>
        <w:trPr>
          <w:trHeight w:val="377"/>
        </w:trPr>
        <w:tc>
          <w:tcPr>
            <w:tcW w:w="8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Conversion of debt obligations into common stock:</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Accrued interest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Convertible notes payable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4,116,000</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738,000</w:t>
            </w:r>
          </w:p>
        </w:tc>
      </w:tr>
      <w:tr>
        <w:trPr>
          <w:trHeight w:val="197"/>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Loans payable, related party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42,000</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Promissory notes, related party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Due to related parties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369,000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Fair value derivative liability – conversion option at conversion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8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TAPIMMUNE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2014</w:t>
      </w:r>
    </w:p>
    <w:p>
      <w:pPr>
        <w:spacing w:after="0" w:line="19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NOTE 1:</w:t>
        <w:tab/>
        <w:t>NATURE OF OPERATIONS</w:t>
      </w:r>
    </w:p>
    <w:p>
      <w:pPr>
        <w:spacing w:after="0" w:line="2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8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A Phase I study at the Mayo Clinic is currently evaluating the safety and immune responses of a set of proprietary HER2/neu antigens that will be part of the "Prime" for a HER2/neu breast cancer vaccine.</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A second Phase I trial is underway at Mayo Clinic (“Mayo”) in Ovarian and breast cancer (Folate Receptor Alpha). Folate Receptor Alpha is expressed in nearly 50%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USA alone, there are approximately 30,000 ovarian cancer patients newly diagnosed every year. These Folate Receptor Antigens are applicable to Ovarian and Triple Negative Breast Cancer. Both of these diseases have few treatment options if any beyond surgery and chemotherapy and therefore the Company is hopeful that it might be an ideal candidate for orphan drug status in these indications.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Phase II advancement will be assessed in the second quarter of 2015. TapImmune has an exclusive option to license this set of peptides after successful phase 1 trials.</w:t>
      </w:r>
    </w:p>
    <w:p>
      <w:pPr>
        <w:spacing w:after="0" w:line="23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In addition, enhancing the visibility of cancer or infected cells to a patient’s immune system is a critical aspect of an effective vaccine. In this regard, TapImmune’s PolyStart™ nucleic acid-based technology provides a four-fold increase in target cell specific naturally processed antigenic epitopes on a cells surface. This increased cell surface presentation corresponding increases activated Helper and/or long-lived Killer T-cell populations that then effectively seek out and work to destroy a patient’s cancer cells.</w:t>
      </w:r>
    </w:p>
    <w:p>
      <w:pPr>
        <w:spacing w:after="0" w:line="380" w:lineRule="exact"/>
        <w:rPr>
          <w:sz w:val="20"/>
          <w:szCs w:val="20"/>
          <w:color w:val="auto"/>
        </w:rPr>
      </w:pPr>
    </w:p>
    <w:p>
      <w:pPr>
        <w:jc w:val="both"/>
        <w:ind w:firstLine="46"/>
        <w:spacing w:after="0" w:line="296" w:lineRule="auto"/>
        <w:rPr>
          <w:sz w:val="20"/>
          <w:szCs w:val="20"/>
          <w:color w:val="auto"/>
        </w:rPr>
      </w:pPr>
      <w:r>
        <w:rPr>
          <w:rFonts w:ascii="Times New Roman" w:cs="Times New Roman" w:eastAsia="Times New Roman" w:hAnsi="Times New Roman"/>
          <w:sz w:val="16"/>
          <w:szCs w:val="16"/>
          <w:color w:val="auto"/>
        </w:rPr>
        <w:t>The Company is also exploiting the emerging field of vaccinomics for the development of vaccines applicable to a broad patient population. TapImmune's immunotherapy technologies are also aimed at the prevention of emerging viral pathogens for pandemics and biodefense.</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These consolidated financial statements have been prepared on the basis of a going concern which contemplates the realization of assets and the satisfaction of liabilities in the normal course of business. As at December 31, 2014, the Company had a working capital deficiency and has incurred significant losses since inception in the development of its business. Further losses are anticipated raising substantial doubt as to the Company’s ability to continue as a going concern. The ability of the Company to continue as a going concern is dependent on raising additional capital to fund clinical trials, ongoing research and development, maintenance and protection of patents, accommodation from certain debt obligations and ultimately on generating future profitable operations. Planned expenditures relating to current and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spacing w:after="0" w:line="1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60" w:name="page61"/>
    <w:bookmarkEnd w:id="60"/>
    <w:p>
      <w:pPr>
        <w:jc w:val="both"/>
        <w:spacing w:after="0" w:line="270" w:lineRule="auto"/>
        <w:rPr>
          <w:sz w:val="20"/>
          <w:szCs w:val="20"/>
          <w:color w:val="auto"/>
        </w:rPr>
      </w:pPr>
      <w:r>
        <w:rPr>
          <w:rFonts w:ascii="Times New Roman" w:cs="Times New Roman" w:eastAsia="Times New Roman" w:hAnsi="Times New Roman"/>
          <w:sz w:val="16"/>
          <w:szCs w:val="16"/>
          <w:color w:val="auto"/>
        </w:rPr>
        <w:t>Historically the Company has raised capital through issuances of various financial instruments and the Company recently completed significant restructuring of outstanding debt and equity instruments into equity. Additional capital is required to expand programs including pre-clinical work and to progress clinical trials for the lead vaccine candidates. Strategic partnerships will be needed to continue the product development portfolio and fund development costs. These measures, if successful, may contribute to reduce the risk of going concern uncertainties for the Company over the next twelve months.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is no certainty that the Company will be able to arrange sufficient funding to satisfy current debt obligations or to continue development of products to marketability.</w:t>
      </w:r>
    </w:p>
    <w:p>
      <w:pPr>
        <w:spacing w:after="0" w:line="2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NOTE 2:</w:t>
        <w:tab/>
        <w:t>SUMMARY OF SIGNIFICANT ACCOUNTING POLICIES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Presentation</w:t>
      </w:r>
    </w:p>
    <w:p>
      <w:pPr>
        <w:spacing w:after="0" w:line="23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These financial statements are presented in United States dollars and have been prepared in accordance with accounting principles generally accepted in the United States of America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Principles of Consolidation</w:t>
      </w:r>
    </w:p>
    <w:p>
      <w:pPr>
        <w:spacing w:after="0" w:line="23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These financial statements include the accounts of the Company and its wholly-owned subsidiaries GeneMax Pharmaceuticals Inc. (“GPI”) and GeneMax Pharmaceuticals Canada Inc. (“GPC”). All significant intercompany balances and transactions are eliminated upon consolidation. In the fourth quarter of fiscal 2014, the Company dissolved GPC and no longer has any Canadian subsidiary.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Preparation of the Company’s financial statements in conformity with GAAP requires management to make estimates and assumptions that affect certain reported amounts and disclosures. Accordingly, actual results could differ materially from those estimates. Significant areas requiring management’s estimates and assumptions include deferred taxes and related tax balances and disclosures, determining the fair value of stock-based compensation and stock based transactions, the fair value of the components of the convertible notes payable and accrued liabilities. Matters impacting the Company’s ability to continue as a going concern and contingencies also involve the use of estimates and assumptions.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Measurements</w:t>
      </w:r>
    </w:p>
    <w:p>
      <w:pPr>
        <w:spacing w:after="0" w:line="2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fair value of certain of the Company’s financial instruments, including cash and cash equivalents, accrued compensation, and other accrued liabilities, approximate cost because of their short maturities. The Company measures the fair value of certain of its financial assets and liabilities on a recurring basis. 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7" w:lineRule="exact"/>
        <w:rPr>
          <w:sz w:val="20"/>
          <w:szCs w:val="20"/>
          <w:color w:val="auto"/>
        </w:rPr>
      </w:pPr>
    </w:p>
    <w:p>
      <w:pPr>
        <w:ind w:left="1000" w:hanging="188"/>
        <w:spacing w:after="0"/>
        <w:tabs>
          <w:tab w:leader="none" w:pos="10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1-Quoted prices (unadjusted) in active markets for identical assets and liabilities.</w:t>
      </w:r>
    </w:p>
    <w:p>
      <w:pPr>
        <w:spacing w:after="0" w:line="210" w:lineRule="exact"/>
        <w:rPr>
          <w:rFonts w:ascii="Times New Roman" w:cs="Times New Roman" w:eastAsia="Times New Roman" w:hAnsi="Times New Roman"/>
          <w:sz w:val="16"/>
          <w:szCs w:val="16"/>
          <w:color w:val="auto"/>
        </w:rPr>
      </w:pPr>
    </w:p>
    <w:p>
      <w:pPr>
        <w:jc w:val="both"/>
        <w:ind w:left="820" w:firstLine="583"/>
        <w:spacing w:after="0" w:line="276" w:lineRule="auto"/>
        <w:tabs>
          <w:tab w:leader="none" w:pos="1611"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78" w:lineRule="exact"/>
        <w:rPr>
          <w:rFonts w:ascii="Times New Roman" w:cs="Times New Roman" w:eastAsia="Times New Roman" w:hAnsi="Times New Roman"/>
          <w:sz w:val="16"/>
          <w:szCs w:val="16"/>
          <w:color w:val="auto"/>
        </w:rPr>
      </w:pPr>
    </w:p>
    <w:p>
      <w:pPr>
        <w:ind w:left="820" w:hanging="8"/>
        <w:spacing w:after="0" w:line="296" w:lineRule="auto"/>
        <w:tabs>
          <w:tab w:leader="none" w:pos="10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3-Unobservable inputs that are supported by little or no market activity and that are significant to the fair value of the assets or liabilities. Financial Instruments and Concentration of Credit Risk.</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fair values of cash, accounts payable, and other current monetary liabilities approximate their carrying values due to the immediate or short-term maturity of these financial instruments. The Company’s operations and financing activities are conducted primarily in United States dollars, and as a result the Company is not subject to significant exposure to market risks from changes in foreign currency rates. Unless otherwise noted, it is management's opinion that the Company is not exposed to significant interest or credit risks arising from assets and liabilities classified as financial instruments.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Prior Period Reclassifications</w:t>
      </w:r>
    </w:p>
    <w:p>
      <w:pPr>
        <w:spacing w:after="0" w:line="23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Certain prior period amounts that were combined in the December 31, 2013 consolidated financial statements have been reclassified for comparability with the December 31, 2014 presentation. These reclassifications had no effect on previously reported net loss.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color w:val="auto"/>
        </w:rPr>
        <w:t>Stock-Based Compensation</w:t>
      </w:r>
    </w:p>
    <w:p>
      <w:pPr>
        <w:spacing w:after="0" w:line="2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Stock-based compensation is measured at the grant date based on the fair value of the award. The fair value of the award that is ultimately expected to vest is recognized as expense on a straight-line basis over the requisite service period, which is generally the vesting period. The expense recognized for the portion of the award that is expected to vest has been reduced by an estimated forfeiture rate. The forfeiture rate is determined at the time of grant and revised, if necessary, in subsequent periods if actual forfeitures differ from those estimates.</w:t>
      </w:r>
    </w:p>
    <w:p>
      <w:pPr>
        <w:spacing w:after="0" w:line="180"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6"/>
          <w:szCs w:val="16"/>
          <w:i w:val="1"/>
          <w:iCs w:val="1"/>
          <w:color w:val="auto"/>
        </w:rPr>
        <w:t xml:space="preserve">Expected Term </w:t>
      </w:r>
      <w:r>
        <w:rPr>
          <w:rFonts w:ascii="Times New Roman" w:cs="Times New Roman" w:eastAsia="Times New Roman" w:hAnsi="Times New Roman"/>
          <w:sz w:val="16"/>
          <w:szCs w:val="16"/>
          <w:color w:val="auto"/>
        </w:rPr>
        <w:t>— The expected term of options represents the period that the Company’s stock-based awards are expected to be outstanding based on the simplified method,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is the half-life from vesting to the end of its contractual term.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Expected Volatility </w:t>
      </w:r>
      <w:r>
        <w:rPr>
          <w:rFonts w:ascii="Times New Roman" w:cs="Times New Roman" w:eastAsia="Times New Roman" w:hAnsi="Times New Roman"/>
          <w:sz w:val="16"/>
          <w:szCs w:val="16"/>
          <w:color w:val="auto"/>
        </w:rPr>
        <w:t>— The Company computes stock price volatility over expected terms based on its historical common stock trading prices.</w:t>
      </w:r>
    </w:p>
    <w:p>
      <w:pPr>
        <w:spacing w:after="0" w:line="2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i w:val="1"/>
          <w:iCs w:val="1"/>
          <w:color w:val="auto"/>
        </w:rPr>
        <w:t xml:space="preserve">Risk-Free Interest Rate </w:t>
      </w:r>
      <w:r>
        <w:rPr>
          <w:rFonts w:ascii="Times New Roman" w:cs="Times New Roman" w:eastAsia="Times New Roman" w:hAnsi="Times New Roman"/>
          <w:sz w:val="16"/>
          <w:szCs w:val="16"/>
          <w:color w:val="auto"/>
        </w:rPr>
        <w:t>— The Company bases the risk-free interest rate on the implied yield available on U.S. Treasury zero-coupon issues with an equivalent remaining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term.</w:t>
      </w:r>
    </w:p>
    <w:p>
      <w:pPr>
        <w:spacing w:after="0" w:line="3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i w:val="1"/>
          <w:iCs w:val="1"/>
          <w:color w:val="auto"/>
        </w:rPr>
        <w:t xml:space="preserve">Expected Dividend </w:t>
      </w:r>
      <w:r>
        <w:rPr>
          <w:rFonts w:ascii="Times New Roman" w:cs="Times New Roman" w:eastAsia="Times New Roman" w:hAnsi="Times New Roman"/>
          <w:sz w:val="16"/>
          <w:szCs w:val="16"/>
          <w:color w:val="auto"/>
        </w:rPr>
        <w:t>— The Company has never declared or paid any cash dividends on its common shares and does not plan to pay cash dividends in the foreseeable future,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therefore, uses an expected dividend yield of zero in its valuation models. The Company recognizes fair value of stock options granted to nonemployees as stock-based compensation expense over the period in which the related services are received.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Deferred Financing Costs</w:t>
      </w:r>
    </w:p>
    <w:p>
      <w:pPr>
        <w:spacing w:after="0" w:line="23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Company defers direct costs incurred in connection with the sale of common shares which are offset against the proceeds of the financing upon completion. Costs incurred in connection with convertible loans payable are deferred and amortized as a financing cost over the term of the convertible loans. Upon conversion of the loan, any unamortized amount of deferred financing costs will be charged to stockholders’ equity as a cost of financing.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 Costs</w:t>
      </w:r>
    </w:p>
    <w:p>
      <w:pPr>
        <w:spacing w:after="0" w:line="23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Company has acquired development and marketing rights to certain technologies. The rights and licenses acquired are considered rights to unproven technology which may not have alternate future uses and therefore, have been expensed as incurred as research and development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2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The Company follows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income in the period that includes the date of allowances against deferred tax assets.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Derivative Liability</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Company evaluates its convertible debt, options, warrants or other contracts to determine if those contracts or embedded components of those contracts qualify as derivatives to be separately accounted for in accordance with ASC 810-10-05-4 and 815-40. This accounting treatment requires that the carrying amount of embedded derivatives be marked-to-market at each balance sheet date and carried at fair value. In the event that the fair value is recorded as a liability, the change in fair value during the period is recorded in the Statement of Operations as either income or expense. Upon conversion, exercise or modification to the terms of a derivative instrument, the instrument is marked to fair value at the conversion date and then the related fair value is reclassified to equity.</w:t>
      </w:r>
    </w:p>
    <w:p>
      <w:pPr>
        <w:spacing w:after="0" w:line="18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classification of financial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698" w:right="239" w:bottom="1440" w:gutter="0" w:footer="0" w:header="0"/>
        </w:sectPr>
      </w:pPr>
    </w:p>
    <w:bookmarkStart w:id="62" w:name="page63"/>
    <w:bookmarkEnd w:id="62"/>
    <w:p>
      <w:pPr>
        <w:jc w:val="both"/>
        <w:spacing w:after="0" w:line="266" w:lineRule="auto"/>
        <w:rPr>
          <w:sz w:val="20"/>
          <w:szCs w:val="20"/>
          <w:color w:val="auto"/>
        </w:rPr>
      </w:pPr>
      <w:r>
        <w:rPr>
          <w:rFonts w:ascii="Times New Roman" w:cs="Times New Roman" w:eastAsia="Times New Roman" w:hAnsi="Times New Roman"/>
          <w:sz w:val="16"/>
          <w:szCs w:val="16"/>
          <w:color w:val="auto"/>
        </w:rPr>
        <w:t>In evaluating the application of ASC 815-40, management must determine whether an instrument (or an embedded feature) is indexed to the Company’s own stock. ASC 815-40-15 provides that an entity should use a two-step approach to evaluate whether an equity-linked financial instrument (or embedded feature) is indexed to its own stock, including evaluating the instrument’s contingent exercise and settlement provisions. The application of ASC 815-40-15 has affected the accounting for (i) certain freestanding warrants that contain exercise price adjustment features and (ii) convertible notes containing full-ratchet and anti-dilution protections (iii) certain free standing warrants that contain contingently puttable cash settlement.</w:t>
      </w:r>
    </w:p>
    <w:p>
      <w:pPr>
        <w:spacing w:after="0" w:line="1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 xml:space="preserve">The Company has evaluated the application ASC 480-10 </w:t>
      </w:r>
      <w:r>
        <w:rPr>
          <w:rFonts w:ascii="Times New Roman" w:cs="Times New Roman" w:eastAsia="Times New Roman" w:hAnsi="Times New Roman"/>
          <w:sz w:val="16"/>
          <w:szCs w:val="16"/>
          <w:i w:val="1"/>
          <w:iCs w:val="1"/>
          <w:color w:val="auto"/>
        </w:rPr>
        <w:t>Distinguishing liabilities from equity</w:t>
      </w:r>
      <w:r>
        <w:rPr>
          <w:rFonts w:ascii="Times New Roman" w:cs="Times New Roman" w:eastAsia="Times New Roman" w:hAnsi="Times New Roman"/>
          <w:sz w:val="16"/>
          <w:szCs w:val="16"/>
          <w:color w:val="auto"/>
        </w:rPr>
        <w:t xml:space="preserve">, ASC 815-40 </w:t>
      </w:r>
      <w:r>
        <w:rPr>
          <w:rFonts w:ascii="Times New Roman" w:cs="Times New Roman" w:eastAsia="Times New Roman" w:hAnsi="Times New Roman"/>
          <w:sz w:val="16"/>
          <w:szCs w:val="16"/>
          <w:i w:val="1"/>
          <w:iCs w:val="1"/>
          <w:color w:val="auto"/>
        </w:rPr>
        <w:t>Contracts in an Entity’s Own Equity</w:t>
      </w:r>
      <w:r>
        <w:rPr>
          <w:rFonts w:ascii="Times New Roman" w:cs="Times New Roman" w:eastAsia="Times New Roman" w:hAnsi="Times New Roman"/>
          <w:sz w:val="16"/>
          <w:szCs w:val="16"/>
          <w:color w:val="auto"/>
        </w:rPr>
        <w:t xml:space="preserve"> and ASC 718-10 </w:t>
      </w:r>
      <w:r>
        <w:rPr>
          <w:rFonts w:ascii="Times New Roman" w:cs="Times New Roman" w:eastAsia="Times New Roman" w:hAnsi="Times New Roman"/>
          <w:sz w:val="16"/>
          <w:szCs w:val="16"/>
          <w:i w:val="1"/>
          <w:iCs w:val="1"/>
          <w:color w:val="auto"/>
        </w:rPr>
        <w:t xml:space="preserve">Compensation – Stock Compensation </w:t>
      </w:r>
      <w:r>
        <w:rPr>
          <w:rFonts w:ascii="Times New Roman" w:cs="Times New Roman" w:eastAsia="Times New Roman" w:hAnsi="Times New Roman"/>
          <w:sz w:val="16"/>
          <w:szCs w:val="16"/>
          <w:color w:val="auto"/>
        </w:rPr>
        <w:t>to the issued and outstanding warrants to purchase common stock that were issued with the convertible notes, private placements,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consulting agreements, and various debt settlements during 2009 through 2012. Based on the guidance, management concluded these instruments are required to be accounted for as derivatives either due to a ratchet down protection feature available on the exercise price (Note 5)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Loss per Common Share</w:t>
      </w:r>
    </w:p>
    <w:p>
      <w:pPr>
        <w:spacing w:after="0" w:line="239" w:lineRule="exact"/>
        <w:rPr>
          <w:sz w:val="20"/>
          <w:szCs w:val="20"/>
          <w:color w:val="auto"/>
        </w:rPr>
      </w:pPr>
    </w:p>
    <w:p>
      <w:pPr>
        <w:ind w:right="380"/>
        <w:spacing w:after="0" w:line="276" w:lineRule="auto"/>
        <w:rPr>
          <w:sz w:val="20"/>
          <w:szCs w:val="20"/>
          <w:color w:val="auto"/>
        </w:rPr>
      </w:pPr>
      <w:r>
        <w:rPr>
          <w:rFonts w:ascii="Times New Roman" w:cs="Times New Roman" w:eastAsia="Times New Roman" w:hAnsi="Times New Roman"/>
          <w:sz w:val="16"/>
          <w:szCs w:val="16"/>
          <w:color w:val="auto"/>
        </w:rPr>
        <w:t>Basic loss per share is computed by dividing loss attributable to common stockholders by the weighted average number of common shares outstanding for the period. If applicable, diluted earnings per share reflect the potential dilution of securities that could share in the earnings (loss) of the Company. The common shares potentially issuable on conversion of outstanding convertible debentures, warrants and stock options are anti-dilutive and have not been included in the calculation.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Loss per Share Applicable to Common Stockholders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Options, warrants, and convertible debt outstanding were all considered anti-dilutive for the years ended December 31, 2014 and 2013, due to net losses.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securities were not included in the diluted net loss per share calculation because their effect was anti-dilutive as of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20" w:type="dxa"/>
            <w:vAlign w:val="bottom"/>
          </w:tcPr>
          <w:p>
            <w:pPr>
              <w:spacing w:after="0"/>
              <w:rPr>
                <w:sz w:val="19"/>
                <w:szCs w:val="19"/>
                <w:color w:val="auto"/>
              </w:rPr>
            </w:pPr>
          </w:p>
        </w:tc>
        <w:tc>
          <w:tcPr>
            <w:tcW w:w="172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19"/>
                <w:szCs w:val="19"/>
                <w:color w:val="auto"/>
              </w:rPr>
            </w:pPr>
          </w:p>
        </w:tc>
      </w:tr>
      <w:tr>
        <w:trPr>
          <w:trHeight w:val="202"/>
        </w:trPr>
        <w:tc>
          <w:tcPr>
            <w:tcW w:w="8820" w:type="dxa"/>
            <w:vAlign w:val="bottom"/>
          </w:tcPr>
          <w:p>
            <w:pPr>
              <w:spacing w:after="0"/>
              <w:rPr>
                <w:sz w:val="17"/>
                <w:szCs w:val="17"/>
                <w:color w:val="auto"/>
              </w:rPr>
            </w:pPr>
          </w:p>
        </w:tc>
        <w:tc>
          <w:tcPr>
            <w:tcW w:w="114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2014</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181"/>
        </w:trPr>
        <w:tc>
          <w:tcPr>
            <w:tcW w:w="88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Common stock options</w:t>
            </w:r>
          </w:p>
        </w:tc>
        <w:tc>
          <w:tcPr>
            <w:tcW w:w="11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65,430</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65,430</w:t>
            </w:r>
          </w:p>
        </w:tc>
      </w:tr>
      <w:tr>
        <w:trPr>
          <w:trHeight w:val="197"/>
        </w:trPr>
        <w:tc>
          <w:tcPr>
            <w:tcW w:w="88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warrants - equity treatment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2,556,133</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25,168</w:t>
            </w:r>
          </w:p>
        </w:tc>
      </w:tr>
      <w:tr>
        <w:trPr>
          <w:trHeight w:val="197"/>
        </w:trPr>
        <w:tc>
          <w:tcPr>
            <w:tcW w:w="88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warrants - liability treatment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103,284</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124,284</w:t>
            </w:r>
          </w:p>
        </w:tc>
      </w:tr>
      <w:tr>
        <w:trPr>
          <w:trHeight w:val="218"/>
        </w:trPr>
        <w:tc>
          <w:tcPr>
            <w:tcW w:w="8820" w:type="dxa"/>
            <w:vAlign w:val="bottom"/>
          </w:tcPr>
          <w:p>
            <w:pPr>
              <w:spacing w:after="0"/>
              <w:rPr>
                <w:sz w:val="20"/>
                <w:szCs w:val="20"/>
                <w:color w:val="auto"/>
              </w:rPr>
            </w:pPr>
            <w:r>
              <w:rPr>
                <w:rFonts w:ascii="Times New Roman" w:cs="Times New Roman" w:eastAsia="Times New Roman" w:hAnsi="Times New Roman"/>
                <w:sz w:val="16"/>
                <w:szCs w:val="16"/>
                <w:color w:val="auto"/>
              </w:rPr>
              <w:t>Convertible notes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738,760</w:t>
            </w:r>
          </w:p>
        </w:tc>
      </w:tr>
      <w:tr>
        <w:trPr>
          <w:trHeight w:val="197"/>
        </w:trPr>
        <w:tc>
          <w:tcPr>
            <w:tcW w:w="8820" w:type="dxa"/>
            <w:vAlign w:val="bottom"/>
          </w:tcPr>
          <w:p>
            <w:pPr>
              <w:spacing w:after="0"/>
              <w:rPr>
                <w:sz w:val="20"/>
                <w:szCs w:val="20"/>
                <w:color w:val="auto"/>
              </w:rPr>
            </w:pPr>
            <w:r>
              <w:rPr>
                <w:rFonts w:ascii="Times New Roman" w:cs="Times New Roman" w:eastAsia="Times New Roman" w:hAnsi="Times New Roman"/>
                <w:sz w:val="16"/>
                <w:szCs w:val="16"/>
                <w:color w:val="auto"/>
              </w:rPr>
              <w:t>Excluded potentially dilutive securities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2,724,847</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953,642</w:t>
            </w:r>
          </w:p>
        </w:tc>
      </w:tr>
      <w:tr>
        <w:trPr>
          <w:trHeight w:val="20"/>
        </w:trPr>
        <w:tc>
          <w:tcPr>
            <w:tcW w:w="8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w:t>
      </w:r>
    </w:p>
    <w:p>
      <w:pPr>
        <w:spacing w:after="0" w:line="2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 xml:space="preserve">Accounting Standards Update No. 2014-10, </w:t>
      </w:r>
      <w:r>
        <w:rPr>
          <w:rFonts w:ascii="Times New Roman" w:cs="Times New Roman" w:eastAsia="Times New Roman" w:hAnsi="Times New Roman"/>
          <w:sz w:val="16"/>
          <w:szCs w:val="16"/>
          <w:i w:val="1"/>
          <w:iCs w:val="1"/>
          <w:color w:val="auto"/>
        </w:rPr>
        <w:t>Development Stage Entities (Topic 915): Elimination of Certain Financial Reporting Requirements, Including an Amendment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Variable Interest Entities Guidance in Topic 810, Consolidation </w:t>
      </w:r>
      <w:r>
        <w:rPr>
          <w:rFonts w:ascii="Times New Roman" w:cs="Times New Roman" w:eastAsia="Times New Roman" w:hAnsi="Times New Roman"/>
          <w:sz w:val="16"/>
          <w:szCs w:val="16"/>
          <w:color w:val="auto"/>
        </w:rPr>
        <w:t>removes all incremental financial reporting requirements for development stage entities, including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removal of reporting of the cumulative results of operations and cash flows for the period from inception to the end of the current period. The update is effective for the first annual period beginning after December 15, 2014. Early adoption is permitted, and the Company has adopted this change effective with its form 10-Q filing for the period ending September 30, 2014.</w:t>
      </w:r>
    </w:p>
    <w:p>
      <w:pPr>
        <w:spacing w:after="0" w:line="186" w:lineRule="exact"/>
        <w:rPr>
          <w:sz w:val="20"/>
          <w:szCs w:val="20"/>
          <w:color w:val="auto"/>
        </w:rPr>
      </w:pPr>
    </w:p>
    <w:p>
      <w:pPr>
        <w:jc w:val="both"/>
        <w:ind w:firstLine="48"/>
        <w:spacing w:after="0" w:line="276" w:lineRule="auto"/>
        <w:rPr>
          <w:sz w:val="20"/>
          <w:szCs w:val="20"/>
          <w:color w:val="auto"/>
        </w:rPr>
      </w:pPr>
      <w:r>
        <w:rPr>
          <w:rFonts w:ascii="Times New Roman" w:cs="Times New Roman" w:eastAsia="Times New Roman" w:hAnsi="Times New Roman"/>
          <w:sz w:val="16"/>
          <w:szCs w:val="16"/>
          <w:color w:val="auto"/>
        </w:rPr>
        <w:t>Accounting Standard Update No. ASU 2014-15, Presentation of Financial Statements—Going Concern (Subtopic 205-40): Disclosure of Uncertainties about an Entity’s Ability to Continue as a Going Concern. The amendments in this update are effective for the annual period ending after December 15, 2016, and for annual periods and interim periods thereafter. Early application is permitted. The Company is currently evaluating the impact of this update on its consolidated financial statements.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63" w:name="page64"/>
    <w:bookmarkEnd w:id="63"/>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NOTE 3:</w:t>
        <w:tab/>
        <w:t>ACCOUNTS PAYABLE AND ACCRUED LIABILITIES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Accounts Payable and Accrued Liabilities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00" w:type="dxa"/>
            <w:vAlign w:val="bottom"/>
            <w:tcBorders>
              <w:top w:val="single" w:sz="8" w:color="auto"/>
            </w:tcBorders>
          </w:tcPr>
          <w:p>
            <w:pPr>
              <w:spacing w:after="0"/>
              <w:rPr>
                <w:sz w:val="16"/>
                <w:szCs w:val="16"/>
                <w:color w:val="auto"/>
              </w:rPr>
            </w:pPr>
          </w:p>
        </w:tc>
        <w:tc>
          <w:tcPr>
            <w:tcW w:w="33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December 31,</w:t>
            </w:r>
          </w:p>
        </w:tc>
        <w:tc>
          <w:tcPr>
            <w:tcW w:w="12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December 31,</w:t>
            </w:r>
          </w:p>
        </w:tc>
      </w:tr>
      <w:tr>
        <w:trPr>
          <w:trHeight w:val="218"/>
        </w:trPr>
        <w:tc>
          <w:tcPr>
            <w:tcW w:w="5500" w:type="dxa"/>
            <w:vAlign w:val="bottom"/>
          </w:tcPr>
          <w:p>
            <w:pPr>
              <w:spacing w:after="0"/>
              <w:rPr>
                <w:sz w:val="18"/>
                <w:szCs w:val="18"/>
                <w:color w:val="auto"/>
              </w:rPr>
            </w:pPr>
          </w:p>
        </w:tc>
        <w:tc>
          <w:tcPr>
            <w:tcW w:w="4460" w:type="dxa"/>
            <w:vAlign w:val="bottom"/>
            <w:gridSpan w:val="2"/>
          </w:tcPr>
          <w:p>
            <w:pPr>
              <w:jc w:val="right"/>
              <w:ind w:right="318"/>
              <w:spacing w:after="0"/>
              <w:rPr>
                <w:sz w:val="20"/>
                <w:szCs w:val="20"/>
                <w:color w:val="auto"/>
              </w:rPr>
            </w:pPr>
            <w:r>
              <w:rPr>
                <w:rFonts w:ascii="Times New Roman" w:cs="Times New Roman" w:eastAsia="Times New Roman" w:hAnsi="Times New Roman"/>
                <w:sz w:val="16"/>
                <w:szCs w:val="16"/>
                <w:color w:val="auto"/>
              </w:rPr>
              <w:t>2014</w:t>
            </w:r>
          </w:p>
        </w:tc>
        <w:tc>
          <w:tcPr>
            <w:tcW w:w="220" w:type="dxa"/>
            <w:vAlign w:val="bottom"/>
          </w:tcPr>
          <w:p>
            <w:pPr>
              <w:spacing w:after="0"/>
              <w:rPr>
                <w:sz w:val="18"/>
                <w:szCs w:val="18"/>
                <w:color w:val="auto"/>
              </w:rPr>
            </w:pPr>
          </w:p>
        </w:tc>
        <w:tc>
          <w:tcPr>
            <w:tcW w:w="114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rPr>
              <w:t>2013</w:t>
            </w:r>
          </w:p>
        </w:tc>
        <w:tc>
          <w:tcPr>
            <w:tcW w:w="100" w:type="dxa"/>
            <w:vAlign w:val="bottom"/>
          </w:tcPr>
          <w:p>
            <w:pPr>
              <w:spacing w:after="0"/>
              <w:rPr>
                <w:sz w:val="18"/>
                <w:szCs w:val="18"/>
                <w:color w:val="auto"/>
              </w:rPr>
            </w:pPr>
          </w:p>
        </w:tc>
      </w:tr>
      <w:tr>
        <w:trPr>
          <w:trHeight w:val="214"/>
        </w:trPr>
        <w:tc>
          <w:tcPr>
            <w:tcW w:w="55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Borders>
              <w:top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r>
      <w:tr>
        <w:trPr>
          <w:trHeight w:val="360"/>
        </w:trPr>
        <w:tc>
          <w:tcPr>
            <w:tcW w:w="5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Trade accounts payable</w:t>
            </w:r>
          </w:p>
        </w:tc>
        <w:tc>
          <w:tcPr>
            <w:tcW w:w="4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620,826</w:t>
            </w:r>
          </w:p>
        </w:tc>
        <w:tc>
          <w:tcPr>
            <w:tcW w:w="22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1,450,083</w:t>
            </w:r>
          </w:p>
        </w:tc>
      </w:tr>
      <w:tr>
        <w:trPr>
          <w:trHeight w:val="197"/>
        </w:trPr>
        <w:tc>
          <w:tcPr>
            <w:tcW w:w="5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Share-settled debt</w:t>
            </w:r>
          </w:p>
        </w:tc>
        <w:tc>
          <w:tcPr>
            <w:tcW w:w="4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1,348,663</w:t>
            </w:r>
          </w:p>
        </w:tc>
      </w:tr>
      <w:tr>
        <w:trPr>
          <w:trHeight w:val="197"/>
        </w:trPr>
        <w:tc>
          <w:tcPr>
            <w:tcW w:w="5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Accrued liabilities</w:t>
            </w:r>
          </w:p>
        </w:tc>
        <w:tc>
          <w:tcPr>
            <w:tcW w:w="46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68,448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201,334</w:t>
            </w:r>
          </w:p>
        </w:tc>
      </w:tr>
      <w:tr>
        <w:trPr>
          <w:trHeight w:val="197"/>
        </w:trPr>
        <w:tc>
          <w:tcPr>
            <w:tcW w:w="5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Employee payroll and severance</w:t>
            </w:r>
          </w:p>
        </w:tc>
        <w:tc>
          <w:tcPr>
            <w:tcW w:w="4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220,290</w:t>
            </w:r>
          </w:p>
        </w:tc>
      </w:tr>
      <w:tr>
        <w:trPr>
          <w:trHeight w:val="218"/>
        </w:trPr>
        <w:tc>
          <w:tcPr>
            <w:tcW w:w="5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Accrued interest</w:t>
            </w:r>
          </w:p>
        </w:tc>
        <w:tc>
          <w:tcPr>
            <w:tcW w:w="4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4,088</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558,032</w:t>
            </w:r>
          </w:p>
        </w:tc>
      </w:tr>
      <w:tr>
        <w:trPr>
          <w:trHeight w:val="197"/>
        </w:trPr>
        <w:tc>
          <w:tcPr>
            <w:tcW w:w="55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693,362</w:t>
            </w:r>
          </w:p>
        </w:tc>
        <w:tc>
          <w:tcPr>
            <w:tcW w:w="2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3,778,401</w:t>
            </w:r>
          </w:p>
        </w:tc>
        <w:tc>
          <w:tcPr>
            <w:tcW w:w="100" w:type="dxa"/>
            <w:vAlign w:val="bottom"/>
          </w:tcPr>
          <w:p>
            <w:pPr>
              <w:spacing w:after="0"/>
              <w:rPr>
                <w:sz w:val="17"/>
                <w:szCs w:val="17"/>
                <w:color w:val="auto"/>
              </w:rPr>
            </w:pPr>
          </w:p>
        </w:tc>
      </w:tr>
      <w:tr>
        <w:trPr>
          <w:trHeight w:val="20"/>
        </w:trPr>
        <w:tc>
          <w:tcPr>
            <w:tcW w:w="5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During fiscal 2014 the Company converted $2,415,000 accounts payable and accrued liabilities into 1,836,000 shares of common stock. The fair value of the shares, based on the trading price of the stock on the date of conversion, was $4,349,000 and the Company recorded a loss on extinguishment of $1,934,000.</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NOTE 4:</w:t>
        <w:tab/>
        <w:t>RESEARCH AGREEMENTS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Crucell Holland B.V. (“Crucell”) – Research License and Option Agreement</w:t>
      </w:r>
    </w:p>
    <w:p>
      <w:pPr>
        <w:spacing w:after="0" w:line="2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Effective August 7, 2003, Crucell and the Company’s subsidiary GPI entered into a five-year research license and option agreement. In addition, retroactively effective August 7, 2008, the Company negotiated an amended license agreement for the use of Crucell’s adenovirus technology. The Company was required to make annual license payments on the anniversary of the effective date for the three year term equal to $91,000 per annum for three years through December 2011. As of December 31, 2013 and 2014, the Company accrued $492,365 under the amended agreement, inclusive of 15% interest on outstanding amounts.</w:t>
      </w:r>
    </w:p>
    <w:p>
      <w:pPr>
        <w:spacing w:after="0" w:line="18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Company has not made use of the Crucell technology in its current work and has not asked for nor received any work product. Management hopes to settle the outstanding amounts with Crucell in 2015 and formally terminate the research license.</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NOTE 5:</w:t>
        <w:tab/>
        <w:t>DERIVATIVE LIABILITY</w:t>
      </w:r>
    </w:p>
    <w:p>
      <w:pPr>
        <w:spacing w:after="0" w:line="23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During 2014 the Company entered into numerous extinguishment agreements with various holders. As a result the derivative liability associated with the bifurcated conversion options were extinguished at the date of conversion and recorded in the loss on extinguishment in the Statement of Operations. The inputs utilized in the final mark to market were as follows: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6"/>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Weighted Average Inputs for the</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5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4"/>
          </w:tcPr>
          <w:p>
            <w:pPr>
              <w:jc w:val="center"/>
              <w:ind w:left="198"/>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5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For the Quarter</w:t>
            </w:r>
          </w:p>
        </w:tc>
        <w:tc>
          <w:tcPr>
            <w:tcW w:w="40" w:type="dxa"/>
            <w:vAlign w:val="bottom"/>
          </w:tcPr>
          <w:p>
            <w:pPr>
              <w:spacing w:after="0"/>
              <w:rPr>
                <w:sz w:val="17"/>
                <w:szCs w:val="17"/>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For the Quarter</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5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Ending March</w:t>
            </w:r>
          </w:p>
        </w:tc>
        <w:tc>
          <w:tcPr>
            <w:tcW w:w="40" w:type="dxa"/>
            <w:vAlign w:val="bottom"/>
          </w:tcPr>
          <w:p>
            <w:pPr>
              <w:spacing w:after="0"/>
              <w:rPr>
                <w:sz w:val="17"/>
                <w:szCs w:val="17"/>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ending June 30,</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2"/>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Date of valuation</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31, 2014</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3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1"/>
        </w:trPr>
        <w:tc>
          <w:tcPr>
            <w:tcW w:w="58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Dividend yield (per share)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0%</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0%</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7"/>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Strike price</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18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0.88</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Volatility (annual)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199.00%</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199.00%</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Risk-free rate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0.05%</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4"/>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Contractual term (years)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0.24</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0.06</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9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Conversion Option at extinguishment</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708,000</w:t>
            </w:r>
          </w:p>
        </w:tc>
        <w:tc>
          <w:tcPr>
            <w:tcW w:w="180" w:type="dxa"/>
            <w:vAlign w:val="bottom"/>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4,000</w:t>
            </w:r>
          </w:p>
        </w:tc>
        <w:tc>
          <w:tcPr>
            <w:tcW w:w="240" w:type="dxa"/>
            <w:vAlign w:val="bottom"/>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712,000</w:t>
            </w:r>
          </w:p>
        </w:tc>
      </w:tr>
      <w:tr>
        <w:trPr>
          <w:trHeight w:val="25"/>
        </w:trPr>
        <w:tc>
          <w:tcPr>
            <w:tcW w:w="5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698" w:right="239" w:bottom="1440" w:gutter="0" w:footer="0" w:header="0"/>
        </w:sectPr>
      </w:pPr>
    </w:p>
    <w:bookmarkStart w:id="64" w:name="page65"/>
    <w:bookmarkEnd w:id="64"/>
    <w:p>
      <w:pPr>
        <w:spacing w:after="0" w:line="268" w:lineRule="auto"/>
        <w:rPr>
          <w:sz w:val="20"/>
          <w:szCs w:val="20"/>
          <w:color w:val="auto"/>
        </w:rPr>
      </w:pPr>
      <w:r>
        <w:rPr>
          <w:rFonts w:ascii="Times New Roman" w:cs="Times New Roman" w:eastAsia="Times New Roman" w:hAnsi="Times New Roman"/>
          <w:sz w:val="16"/>
          <w:szCs w:val="16"/>
          <w:color w:val="auto"/>
        </w:rPr>
        <w:t>A summary of quantitative information with respect to valuation methodology and significant unobservable inputs used for the Company’s common stock purchase warrants that are categorized within Level 3 of the fair value hierarchy for the years ended 2014 and 2013 is as follows:</w:t>
      </w:r>
    </w:p>
    <w:tbl>
      <w:tblPr>
        <w:tblLayout w:type="fixed"/>
        <w:tblInd w:w="0" w:type="dxa"/>
        <w:tblCellMar>
          <w:top w:w="0" w:type="dxa"/>
          <w:left w:w="0" w:type="dxa"/>
          <w:bottom w:w="0" w:type="dxa"/>
          <w:right w:w="0" w:type="dxa"/>
        </w:tblCellMar>
      </w:tblPr>
      <w:tr>
        <w:trPr>
          <w:trHeight w:val="201"/>
        </w:trPr>
        <w:tc>
          <w:tcPr>
            <w:tcW w:w="2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6"/>
                <w:szCs w:val="16"/>
                <w:color w:val="auto"/>
              </w:rPr>
              <w:t>December 31, 2013</w:t>
            </w:r>
          </w:p>
        </w:tc>
        <w:tc>
          <w:tcPr>
            <w:tcW w:w="9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color w:val="auto"/>
              </w:rPr>
              <w:t>December 31, 2014</w:t>
            </w:r>
          </w:p>
        </w:tc>
        <w:tc>
          <w:tcPr>
            <w:tcW w:w="1000" w:type="dxa"/>
            <w:vAlign w:val="bottom"/>
            <w:tcBorders>
              <w:bottom w:val="single" w:sz="8" w:color="auto"/>
            </w:tcBorders>
          </w:tcPr>
          <w:p>
            <w:pPr>
              <w:spacing w:after="0"/>
              <w:rPr>
                <w:sz w:val="17"/>
                <w:szCs w:val="17"/>
                <w:color w:val="auto"/>
              </w:rPr>
            </w:pPr>
          </w:p>
        </w:tc>
      </w:tr>
      <w:tr>
        <w:trPr>
          <w:trHeight w:val="181"/>
        </w:trPr>
        <w:tc>
          <w:tcPr>
            <w:tcW w:w="2160" w:type="dxa"/>
            <w:vAlign w:val="bottom"/>
          </w:tcPr>
          <w:p>
            <w:pPr>
              <w:spacing w:after="0"/>
              <w:rPr>
                <w:sz w:val="15"/>
                <w:szCs w:val="15"/>
                <w:color w:val="auto"/>
              </w:rPr>
            </w:pPr>
          </w:p>
        </w:tc>
        <w:tc>
          <w:tcPr>
            <w:tcW w:w="1500" w:type="dxa"/>
            <w:vAlign w:val="bottom"/>
          </w:tcPr>
          <w:p>
            <w:pPr>
              <w:ind w:left="560"/>
              <w:spacing w:after="0" w:line="181" w:lineRule="exact"/>
              <w:rPr>
                <w:sz w:val="20"/>
                <w:szCs w:val="20"/>
                <w:color w:val="auto"/>
              </w:rPr>
            </w:pPr>
            <w:r>
              <w:rPr>
                <w:rFonts w:ascii="Times New Roman" w:cs="Times New Roman" w:eastAsia="Times New Roman" w:hAnsi="Times New Roman"/>
                <w:sz w:val="16"/>
                <w:szCs w:val="16"/>
                <w:color w:val="auto"/>
              </w:rPr>
              <w:t>Contractual</w:t>
            </w: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ind w:left="240"/>
              <w:spacing w:after="0" w:line="181" w:lineRule="exact"/>
              <w:rPr>
                <w:sz w:val="20"/>
                <w:szCs w:val="20"/>
                <w:color w:val="auto"/>
              </w:rPr>
            </w:pPr>
            <w:r>
              <w:rPr>
                <w:rFonts w:ascii="Times New Roman" w:cs="Times New Roman" w:eastAsia="Times New Roman" w:hAnsi="Times New Roman"/>
                <w:sz w:val="16"/>
                <w:szCs w:val="16"/>
                <w:color w:val="auto"/>
              </w:rPr>
              <w:t>Contractual</w:t>
            </w: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4"/>
        </w:trPr>
        <w:tc>
          <w:tcPr>
            <w:tcW w:w="2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Life (Years)</w:t>
            </w:r>
          </w:p>
        </w:tc>
        <w:tc>
          <w:tcPr>
            <w:tcW w:w="1240" w:type="dxa"/>
            <w:vAlign w:val="bottom"/>
            <w:tcBorders>
              <w:bottom w:val="single" w:sz="8" w:color="auto"/>
            </w:tcBorders>
          </w:tcPr>
          <w:p>
            <w:pPr>
              <w:jc w:val="center"/>
              <w:ind w:left="18"/>
              <w:spacing w:after="0"/>
              <w:rPr>
                <w:sz w:val="20"/>
                <w:szCs w:val="20"/>
                <w:color w:val="auto"/>
              </w:rPr>
            </w:pPr>
            <w:r>
              <w:rPr>
                <w:rFonts w:ascii="Times New Roman" w:cs="Times New Roman" w:eastAsia="Times New Roman" w:hAnsi="Times New Roman"/>
                <w:sz w:val="16"/>
                <w:szCs w:val="16"/>
                <w:color w:val="auto"/>
              </w:rPr>
              <w:t>Risk free Rate</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Dividend yield</w:t>
            </w:r>
          </w:p>
        </w:tc>
        <w:tc>
          <w:tcPr>
            <w:tcW w:w="9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color w:val="auto"/>
                <w:w w:val="97"/>
              </w:rPr>
              <w:t>Volatility</w:t>
            </w:r>
          </w:p>
        </w:tc>
        <w:tc>
          <w:tcPr>
            <w:tcW w:w="11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Life (Years)</w:t>
            </w:r>
          </w:p>
        </w:tc>
        <w:tc>
          <w:tcPr>
            <w:tcW w:w="1140" w:type="dxa"/>
            <w:vAlign w:val="bottom"/>
            <w:tcBorders>
              <w:bottom w:val="single" w:sz="8" w:color="auto"/>
            </w:tcBorders>
          </w:tcPr>
          <w:p>
            <w:pPr>
              <w:jc w:val="center"/>
              <w:ind w:left="18"/>
              <w:spacing w:after="0"/>
              <w:rPr>
                <w:sz w:val="20"/>
                <w:szCs w:val="20"/>
                <w:color w:val="auto"/>
              </w:rPr>
            </w:pPr>
            <w:r>
              <w:rPr>
                <w:rFonts w:ascii="Times New Roman" w:cs="Times New Roman" w:eastAsia="Times New Roman" w:hAnsi="Times New Roman"/>
                <w:sz w:val="16"/>
                <w:szCs w:val="16"/>
                <w:color w:val="auto"/>
              </w:rPr>
              <w:t>Risk free Rate</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Dividend yield</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Volatility</w:t>
            </w: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0"/>
        </w:trPr>
        <w:tc>
          <w:tcPr>
            <w:tcW w:w="216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Share purchase warrants</w:t>
            </w:r>
          </w:p>
        </w:tc>
        <w:tc>
          <w:tcPr>
            <w:tcW w:w="1500" w:type="dxa"/>
            <w:vAlign w:val="bottom"/>
          </w:tcPr>
          <w:p>
            <w:pPr>
              <w:ind w:left="560"/>
              <w:spacing w:after="0" w:line="170" w:lineRule="exact"/>
              <w:rPr>
                <w:sz w:val="20"/>
                <w:szCs w:val="20"/>
                <w:color w:val="auto"/>
              </w:rPr>
            </w:pPr>
            <w:r>
              <w:rPr>
                <w:rFonts w:ascii="Times New Roman" w:cs="Times New Roman" w:eastAsia="Times New Roman" w:hAnsi="Times New Roman"/>
                <w:sz w:val="16"/>
                <w:szCs w:val="16"/>
                <w:color w:val="auto"/>
              </w:rPr>
              <w:t>0.85 to 2.78</w:t>
            </w:r>
          </w:p>
        </w:tc>
        <w:tc>
          <w:tcPr>
            <w:tcW w:w="1240" w:type="dxa"/>
            <w:vAlign w:val="bottom"/>
          </w:tcPr>
          <w:p>
            <w:pPr>
              <w:jc w:val="center"/>
              <w:ind w:left="18"/>
              <w:spacing w:after="0" w:line="170" w:lineRule="exact"/>
              <w:rPr>
                <w:sz w:val="20"/>
                <w:szCs w:val="20"/>
                <w:color w:val="auto"/>
              </w:rPr>
            </w:pPr>
            <w:r>
              <w:rPr>
                <w:rFonts w:ascii="Times New Roman" w:cs="Times New Roman" w:eastAsia="Times New Roman" w:hAnsi="Times New Roman"/>
                <w:sz w:val="16"/>
                <w:szCs w:val="16"/>
                <w:color w:val="auto"/>
              </w:rPr>
              <w:t>0.13% to 0.78%</w:t>
            </w:r>
          </w:p>
        </w:tc>
        <w:tc>
          <w:tcPr>
            <w:tcW w:w="1140" w:type="dxa"/>
            <w:vAlign w:val="bottom"/>
          </w:tcPr>
          <w:p>
            <w:pPr>
              <w:jc w:val="right"/>
              <w:ind w:right="318"/>
              <w:spacing w:after="0" w:line="170" w:lineRule="exact"/>
              <w:rPr>
                <w:sz w:val="20"/>
                <w:szCs w:val="20"/>
                <w:color w:val="auto"/>
              </w:rPr>
            </w:pPr>
            <w:r>
              <w:rPr>
                <w:rFonts w:ascii="Times New Roman" w:cs="Times New Roman" w:eastAsia="Times New Roman" w:hAnsi="Times New Roman"/>
                <w:sz w:val="16"/>
                <w:szCs w:val="16"/>
                <w:color w:val="auto"/>
              </w:rPr>
              <w:t>0.00%</w:t>
            </w:r>
          </w:p>
        </w:tc>
        <w:tc>
          <w:tcPr>
            <w:tcW w:w="960" w:type="dxa"/>
            <w:vAlign w:val="bottom"/>
          </w:tcPr>
          <w:p>
            <w:pPr>
              <w:jc w:val="right"/>
              <w:ind w:right="258"/>
              <w:spacing w:after="0" w:line="170" w:lineRule="exact"/>
              <w:rPr>
                <w:sz w:val="20"/>
                <w:szCs w:val="20"/>
                <w:color w:val="auto"/>
              </w:rPr>
            </w:pPr>
            <w:r>
              <w:rPr>
                <w:rFonts w:ascii="Times New Roman" w:cs="Times New Roman" w:eastAsia="Times New Roman" w:hAnsi="Times New Roman"/>
                <w:sz w:val="16"/>
                <w:szCs w:val="16"/>
                <w:color w:val="auto"/>
              </w:rPr>
              <w:t>199%</w:t>
            </w:r>
          </w:p>
        </w:tc>
        <w:tc>
          <w:tcPr>
            <w:tcW w:w="1180" w:type="dxa"/>
            <w:vAlign w:val="bottom"/>
          </w:tcPr>
          <w:p>
            <w:pPr>
              <w:ind w:left="240"/>
              <w:spacing w:after="0" w:line="170" w:lineRule="exact"/>
              <w:rPr>
                <w:sz w:val="20"/>
                <w:szCs w:val="20"/>
                <w:color w:val="auto"/>
              </w:rPr>
            </w:pPr>
            <w:r>
              <w:rPr>
                <w:rFonts w:ascii="Times New Roman" w:cs="Times New Roman" w:eastAsia="Times New Roman" w:hAnsi="Times New Roman"/>
                <w:sz w:val="16"/>
                <w:szCs w:val="16"/>
                <w:color w:val="auto"/>
              </w:rPr>
              <w:t>1.22 to 3.53</w:t>
            </w:r>
          </w:p>
        </w:tc>
        <w:tc>
          <w:tcPr>
            <w:tcW w:w="1140" w:type="dxa"/>
            <w:vAlign w:val="bottom"/>
          </w:tcPr>
          <w:p>
            <w:pPr>
              <w:jc w:val="center"/>
              <w:ind w:left="18"/>
              <w:spacing w:after="0" w:line="170" w:lineRule="exact"/>
              <w:rPr>
                <w:sz w:val="20"/>
                <w:szCs w:val="20"/>
                <w:color w:val="auto"/>
              </w:rPr>
            </w:pPr>
            <w:r>
              <w:rPr>
                <w:rFonts w:ascii="Times New Roman" w:cs="Times New Roman" w:eastAsia="Times New Roman" w:hAnsi="Times New Roman"/>
                <w:sz w:val="16"/>
                <w:szCs w:val="16"/>
                <w:color w:val="auto"/>
              </w:rPr>
              <w:t>0.25% to</w:t>
            </w:r>
          </w:p>
        </w:tc>
        <w:tc>
          <w:tcPr>
            <w:tcW w:w="1100" w:type="dxa"/>
            <w:vAlign w:val="bottom"/>
          </w:tcPr>
          <w:p>
            <w:pPr>
              <w:jc w:val="right"/>
              <w:ind w:right="278"/>
              <w:spacing w:after="0" w:line="170" w:lineRule="exact"/>
              <w:rPr>
                <w:sz w:val="20"/>
                <w:szCs w:val="20"/>
                <w:color w:val="auto"/>
              </w:rPr>
            </w:pPr>
            <w:r>
              <w:rPr>
                <w:rFonts w:ascii="Times New Roman" w:cs="Times New Roman" w:eastAsia="Times New Roman" w:hAnsi="Times New Roman"/>
                <w:sz w:val="16"/>
                <w:szCs w:val="16"/>
                <w:color w:val="auto"/>
              </w:rPr>
              <w:t>0.00%</w:t>
            </w:r>
          </w:p>
        </w:tc>
        <w:tc>
          <w:tcPr>
            <w:tcW w:w="100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color w:val="auto"/>
              </w:rPr>
              <w:t>155.90% to</w:t>
            </w:r>
          </w:p>
        </w:tc>
      </w:tr>
      <w:tr>
        <w:trPr>
          <w:trHeight w:val="214"/>
        </w:trPr>
        <w:tc>
          <w:tcPr>
            <w:tcW w:w="2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left="18"/>
              <w:spacing w:after="0"/>
              <w:rPr>
                <w:sz w:val="20"/>
                <w:szCs w:val="20"/>
                <w:color w:val="auto"/>
              </w:rPr>
            </w:pPr>
            <w:r>
              <w:rPr>
                <w:rFonts w:ascii="Times New Roman" w:cs="Times New Roman" w:eastAsia="Times New Roman" w:hAnsi="Times New Roman"/>
                <w:sz w:val="16"/>
                <w:szCs w:val="16"/>
                <w:color w:val="auto"/>
              </w:rPr>
              <w:t>1.10%</w:t>
            </w:r>
          </w:p>
        </w:tc>
        <w:tc>
          <w:tcPr>
            <w:tcW w:w="1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190.68%</w:t>
            </w: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foregoing assumptions are recalculated every reporting period and are subject to change based primarily on management’s assessment of the probability of the events described occurring. Accordingly, changes to these assessments could materially affect the valuations.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Assets and Liabilities Measured at Fair Value on a Recurring Basis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assets and liabilities measured at fair value on a recurring basis are summarized below and disclosed on the balance sheet under Derivative liability – warrants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Derivative liability – conversion option:</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5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940" w:type="dxa"/>
            <w:vAlign w:val="bottom"/>
            <w:tcBorders>
              <w:top w:val="single" w:sz="8" w:color="auto"/>
              <w:bottom w:val="single" w:sz="8" w:color="auto"/>
            </w:tcBorders>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As of December 31, 2014</w:t>
            </w:r>
          </w:p>
        </w:tc>
        <w:tc>
          <w:tcPr>
            <w:tcW w:w="9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02"/>
        </w:trPr>
        <w:tc>
          <w:tcPr>
            <w:tcW w:w="4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40" w:type="dxa"/>
            <w:vAlign w:val="bottom"/>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1"/>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118"/>
              <w:spacing w:after="0" w:line="181"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Pr>
          <w:p>
            <w:pPr>
              <w:spacing w:after="0"/>
              <w:rPr>
                <w:sz w:val="15"/>
                <w:szCs w:val="15"/>
                <w:color w:val="auto"/>
              </w:rPr>
            </w:pPr>
          </w:p>
        </w:tc>
        <w:tc>
          <w:tcPr>
            <w:tcW w:w="1380" w:type="dxa"/>
            <w:vAlign w:val="bottom"/>
            <w:gridSpan w:val="2"/>
          </w:tcPr>
          <w:p>
            <w:pPr>
              <w:ind w:left="320"/>
              <w:spacing w:after="0" w:line="181" w:lineRule="exact"/>
              <w:rPr>
                <w:sz w:val="20"/>
                <w:szCs w:val="20"/>
                <w:color w:val="auto"/>
              </w:rPr>
            </w:pPr>
            <w:r>
              <w:rPr>
                <w:rFonts w:ascii="Times New Roman" w:cs="Times New Roman" w:eastAsia="Times New Roman" w:hAnsi="Times New Roman"/>
                <w:sz w:val="16"/>
                <w:szCs w:val="16"/>
                <w:b w:val="1"/>
                <w:bCs w:val="1"/>
                <w:color w:val="auto"/>
              </w:rPr>
              <w:t>Level 1</w:t>
            </w:r>
          </w:p>
        </w:tc>
        <w:tc>
          <w:tcPr>
            <w:tcW w:w="1120" w:type="dxa"/>
            <w:vAlign w:val="bottom"/>
          </w:tcPr>
          <w:p>
            <w:pPr>
              <w:jc w:val="right"/>
              <w:ind w:right="218"/>
              <w:spacing w:after="0" w:line="181" w:lineRule="exact"/>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218"/>
              <w:spacing w:after="0" w:line="181" w:lineRule="exact"/>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197"/>
        </w:trPr>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 liability - warrants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9,415</w:t>
            </w:r>
          </w:p>
        </w:tc>
        <w:tc>
          <w:tcPr>
            <w:tcW w:w="16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9,415</w:t>
            </w:r>
          </w:p>
        </w:tc>
        <w:tc>
          <w:tcPr>
            <w:tcW w:w="46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9,415</w:t>
            </w:r>
          </w:p>
        </w:tc>
      </w:tr>
      <w:tr>
        <w:trPr>
          <w:trHeight w:val="214"/>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9,415</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9,415</w:t>
            </w:r>
          </w:p>
        </w:tc>
        <w:tc>
          <w:tcPr>
            <w:tcW w:w="46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9,415</w:t>
            </w:r>
          </w:p>
        </w:tc>
      </w:tr>
      <w:tr>
        <w:trPr>
          <w:trHeight w:val="20"/>
        </w:trPr>
        <w:tc>
          <w:tcPr>
            <w:tcW w:w="4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7"/>
        </w:trPr>
        <w:tc>
          <w:tcPr>
            <w:tcW w:w="4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02"/>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As of December 31, 2013</w:t>
            </w: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40" w:type="dxa"/>
            <w:vAlign w:val="bottom"/>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1"/>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Carrying Value</w:t>
            </w:r>
          </w:p>
        </w:tc>
        <w:tc>
          <w:tcPr>
            <w:tcW w:w="240" w:type="dxa"/>
            <w:vAlign w:val="bottom"/>
          </w:tcPr>
          <w:p>
            <w:pPr>
              <w:spacing w:after="0"/>
              <w:rPr>
                <w:sz w:val="15"/>
                <w:szCs w:val="15"/>
                <w:color w:val="auto"/>
              </w:rPr>
            </w:pPr>
          </w:p>
        </w:tc>
        <w:tc>
          <w:tcPr>
            <w:tcW w:w="1380" w:type="dxa"/>
            <w:vAlign w:val="bottom"/>
            <w:gridSpan w:val="2"/>
          </w:tcPr>
          <w:p>
            <w:pPr>
              <w:ind w:left="320"/>
              <w:spacing w:after="0" w:line="181" w:lineRule="exact"/>
              <w:rPr>
                <w:sz w:val="20"/>
                <w:szCs w:val="20"/>
                <w:color w:val="auto"/>
              </w:rPr>
            </w:pPr>
            <w:r>
              <w:rPr>
                <w:rFonts w:ascii="Times New Roman" w:cs="Times New Roman" w:eastAsia="Times New Roman" w:hAnsi="Times New Roman"/>
                <w:sz w:val="16"/>
                <w:szCs w:val="16"/>
                <w:b w:val="1"/>
                <w:bCs w:val="1"/>
                <w:color w:val="auto"/>
              </w:rPr>
              <w:t>Level 1</w:t>
            </w:r>
          </w:p>
        </w:tc>
        <w:tc>
          <w:tcPr>
            <w:tcW w:w="1120" w:type="dxa"/>
            <w:vAlign w:val="bottom"/>
          </w:tcPr>
          <w:p>
            <w:pPr>
              <w:jc w:val="right"/>
              <w:ind w:right="218"/>
              <w:spacing w:after="0" w:line="181" w:lineRule="exact"/>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218"/>
              <w:spacing w:after="0" w:line="181" w:lineRule="exact"/>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197"/>
        </w:trPr>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 liability - warrants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140,504</w:t>
            </w:r>
          </w:p>
        </w:tc>
        <w:tc>
          <w:tcPr>
            <w:tcW w:w="16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140,504</w:t>
            </w:r>
          </w:p>
        </w:tc>
        <w:tc>
          <w:tcPr>
            <w:tcW w:w="46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140,504</w:t>
            </w:r>
          </w:p>
        </w:tc>
      </w:tr>
      <w:tr>
        <w:trPr>
          <w:trHeight w:val="218"/>
        </w:trPr>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 liability – conversion option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582,300</w:t>
            </w:r>
          </w:p>
        </w:tc>
        <w:tc>
          <w:tcPr>
            <w:tcW w:w="16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582,300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582,300</w:t>
            </w:r>
          </w:p>
        </w:tc>
      </w:tr>
      <w:tr>
        <w:trPr>
          <w:trHeight w:val="197"/>
        </w:trPr>
        <w:tc>
          <w:tcPr>
            <w:tcW w:w="4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722,804</w:t>
            </w:r>
          </w:p>
        </w:tc>
        <w:tc>
          <w:tcPr>
            <w:tcW w:w="24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722,804</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722,804</w:t>
            </w:r>
          </w:p>
        </w:tc>
        <w:tc>
          <w:tcPr>
            <w:tcW w:w="100" w:type="dxa"/>
            <w:vAlign w:val="bottom"/>
          </w:tcPr>
          <w:p>
            <w:pPr>
              <w:spacing w:after="0"/>
              <w:rPr>
                <w:sz w:val="17"/>
                <w:szCs w:val="17"/>
                <w:color w:val="auto"/>
              </w:rPr>
            </w:pP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transfers between Level 1, 2 or 3 during the year ended December 31, 2014.</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14"/>
        </w:trPr>
        <w:tc>
          <w:tcPr>
            <w:tcW w:w="882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presents changes in Level 3 liabilities measured at fair value for the year ended December 31, 2014: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color w:val="auto"/>
              </w:rPr>
              <w:t>Derivative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liability –</w:t>
            </w:r>
          </w:p>
        </w:tc>
        <w:tc>
          <w:tcPr>
            <w:tcW w:w="16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Derivative</w:t>
            </w:r>
          </w:p>
        </w:tc>
        <w:tc>
          <w:tcPr>
            <w:tcW w:w="0" w:type="dxa"/>
            <w:vAlign w:val="bottom"/>
          </w:tcPr>
          <w:p>
            <w:pPr>
              <w:spacing w:after="0"/>
              <w:rPr>
                <w:sz w:val="1"/>
                <w:szCs w:val="1"/>
                <w:color w:val="auto"/>
              </w:rPr>
            </w:pPr>
          </w:p>
        </w:tc>
      </w:tr>
      <w:tr>
        <w:trPr>
          <w:trHeight w:val="197"/>
        </w:trPr>
        <w:tc>
          <w:tcPr>
            <w:tcW w:w="8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conversion</w:t>
            </w:r>
          </w:p>
        </w:tc>
        <w:tc>
          <w:tcPr>
            <w:tcW w:w="16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liability –</w:t>
            </w:r>
          </w:p>
        </w:tc>
        <w:tc>
          <w:tcPr>
            <w:tcW w:w="0" w:type="dxa"/>
            <w:vAlign w:val="bottom"/>
          </w:tcPr>
          <w:p>
            <w:pPr>
              <w:spacing w:after="0"/>
              <w:rPr>
                <w:sz w:val="1"/>
                <w:szCs w:val="1"/>
                <w:color w:val="auto"/>
              </w:rPr>
            </w:pPr>
          </w:p>
        </w:tc>
      </w:tr>
      <w:tr>
        <w:trPr>
          <w:trHeight w:val="218"/>
        </w:trPr>
        <w:tc>
          <w:tcPr>
            <w:tcW w:w="8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option</w:t>
            </w:r>
          </w:p>
        </w:tc>
        <w:tc>
          <w:tcPr>
            <w:tcW w:w="16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warrants</w:t>
            </w:r>
          </w:p>
        </w:tc>
        <w:tc>
          <w:tcPr>
            <w:tcW w:w="0" w:type="dxa"/>
            <w:vAlign w:val="bottom"/>
          </w:tcPr>
          <w:p>
            <w:pPr>
              <w:spacing w:after="0"/>
              <w:rPr>
                <w:sz w:val="1"/>
                <w:szCs w:val="1"/>
                <w:color w:val="auto"/>
              </w:rPr>
            </w:pPr>
          </w:p>
        </w:tc>
      </w:tr>
      <w:tr>
        <w:trPr>
          <w:trHeight w:val="181"/>
        </w:trPr>
        <w:tc>
          <w:tcPr>
            <w:tcW w:w="88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Balance – January 1, 2013</w:t>
            </w:r>
          </w:p>
        </w:tc>
        <w:tc>
          <w:tcPr>
            <w:tcW w:w="20" w:type="dxa"/>
            <w:vAlign w:val="bottom"/>
          </w:tcPr>
          <w:p>
            <w:pPr>
              <w:spacing w:after="0"/>
              <w:rPr>
                <w:sz w:val="15"/>
                <w:szCs w:val="15"/>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868,000</w:t>
            </w:r>
          </w:p>
        </w:tc>
        <w:tc>
          <w:tcPr>
            <w:tcW w:w="220" w:type="dxa"/>
            <w:vAlign w:val="bottom"/>
          </w:tcPr>
          <w:p>
            <w:pPr>
              <w:spacing w:after="0"/>
              <w:rPr>
                <w:sz w:val="15"/>
                <w:szCs w:val="15"/>
                <w:color w:val="auto"/>
              </w:rPr>
            </w:pPr>
          </w:p>
        </w:tc>
        <w:tc>
          <w:tcPr>
            <w:tcW w:w="1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977,000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820" w:type="dxa"/>
            <w:vAlign w:val="bottom"/>
          </w:tcPr>
          <w:p>
            <w:pPr>
              <w:spacing w:after="0"/>
              <w:rPr>
                <w:sz w:val="20"/>
                <w:szCs w:val="20"/>
                <w:color w:val="auto"/>
              </w:rPr>
            </w:pPr>
            <w:r>
              <w:rPr>
                <w:rFonts w:ascii="Times New Roman" w:cs="Times New Roman" w:eastAsia="Times New Roman" w:hAnsi="Times New Roman"/>
                <w:sz w:val="16"/>
                <w:szCs w:val="16"/>
                <w:color w:val="auto"/>
              </w:rPr>
              <w:t>Additions during the year</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811,000</w:t>
            </w:r>
          </w:p>
        </w:tc>
        <w:tc>
          <w:tcPr>
            <w:tcW w:w="1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206,000</w:t>
            </w:r>
          </w:p>
        </w:tc>
        <w:tc>
          <w:tcPr>
            <w:tcW w:w="0" w:type="dxa"/>
            <w:vAlign w:val="bottom"/>
          </w:tcPr>
          <w:p>
            <w:pPr>
              <w:spacing w:after="0"/>
              <w:rPr>
                <w:sz w:val="1"/>
                <w:szCs w:val="1"/>
                <w:color w:val="auto"/>
              </w:rPr>
            </w:pPr>
          </w:p>
        </w:tc>
      </w:tr>
      <w:tr>
        <w:trPr>
          <w:trHeight w:val="197"/>
        </w:trPr>
        <w:tc>
          <w:tcPr>
            <w:tcW w:w="8820" w:type="dxa"/>
            <w:vAlign w:val="bottom"/>
          </w:tcPr>
          <w:p>
            <w:pPr>
              <w:spacing w:after="0"/>
              <w:rPr>
                <w:sz w:val="20"/>
                <w:szCs w:val="20"/>
                <w:color w:val="auto"/>
              </w:rPr>
            </w:pPr>
            <w:r>
              <w:rPr>
                <w:rFonts w:ascii="Times New Roman" w:cs="Times New Roman" w:eastAsia="Times New Roman" w:hAnsi="Times New Roman"/>
                <w:sz w:val="16"/>
                <w:szCs w:val="16"/>
                <w:color w:val="auto"/>
              </w:rPr>
              <w:t>Total unrealized (gains) or losses included in net loss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(1,096,000)</w:t>
            </w:r>
          </w:p>
        </w:tc>
        <w:tc>
          <w:tcPr>
            <w:tcW w:w="1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882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(1,043,000)</w:t>
            </w:r>
          </w:p>
        </w:tc>
        <w:tc>
          <w:tcPr>
            <w:tcW w:w="0" w:type="dxa"/>
            <w:vAlign w:val="bottom"/>
          </w:tcPr>
          <w:p>
            <w:pPr>
              <w:spacing w:after="0"/>
              <w:rPr>
                <w:sz w:val="1"/>
                <w:szCs w:val="1"/>
                <w:color w:val="auto"/>
              </w:rPr>
            </w:pPr>
          </w:p>
        </w:tc>
      </w:tr>
      <w:tr>
        <w:trPr>
          <w:trHeight w:val="181"/>
        </w:trPr>
        <w:tc>
          <w:tcPr>
            <w:tcW w:w="88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Balance – December 31, 2013</w:t>
            </w:r>
          </w:p>
        </w:tc>
        <w:tc>
          <w:tcPr>
            <w:tcW w:w="20" w:type="dxa"/>
            <w:vAlign w:val="bottom"/>
          </w:tcPr>
          <w:p>
            <w:pPr>
              <w:spacing w:after="0"/>
              <w:rPr>
                <w:sz w:val="15"/>
                <w:szCs w:val="15"/>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583,000</w:t>
            </w:r>
          </w:p>
        </w:tc>
        <w:tc>
          <w:tcPr>
            <w:tcW w:w="220" w:type="dxa"/>
            <w:vAlign w:val="bottom"/>
          </w:tcPr>
          <w:p>
            <w:pPr>
              <w:spacing w:after="0"/>
              <w:rPr>
                <w:sz w:val="15"/>
                <w:szCs w:val="15"/>
                <w:color w:val="auto"/>
              </w:rPr>
            </w:pPr>
          </w:p>
        </w:tc>
        <w:tc>
          <w:tcPr>
            <w:tcW w:w="1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140,000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820" w:type="dxa"/>
            <w:vAlign w:val="bottom"/>
          </w:tcPr>
          <w:p>
            <w:pPr>
              <w:spacing w:after="0"/>
              <w:rPr>
                <w:sz w:val="20"/>
                <w:szCs w:val="20"/>
                <w:color w:val="auto"/>
              </w:rPr>
            </w:pPr>
            <w:r>
              <w:rPr>
                <w:rFonts w:ascii="Times New Roman" w:cs="Times New Roman" w:eastAsia="Times New Roman" w:hAnsi="Times New Roman"/>
                <w:sz w:val="16"/>
                <w:szCs w:val="16"/>
                <w:color w:val="auto"/>
              </w:rPr>
              <w:t>Gain on settlement of debt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(714,000)</w:t>
            </w:r>
          </w:p>
        </w:tc>
        <w:tc>
          <w:tcPr>
            <w:tcW w:w="1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882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conversion option liability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882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(131,000)</w:t>
            </w:r>
          </w:p>
        </w:tc>
        <w:tc>
          <w:tcPr>
            <w:tcW w:w="0" w:type="dxa"/>
            <w:vAlign w:val="bottom"/>
          </w:tcPr>
          <w:p>
            <w:pPr>
              <w:spacing w:after="0"/>
              <w:rPr>
                <w:sz w:val="1"/>
                <w:szCs w:val="1"/>
                <w:color w:val="auto"/>
              </w:rPr>
            </w:pPr>
          </w:p>
        </w:tc>
      </w:tr>
      <w:tr>
        <w:trPr>
          <w:trHeight w:val="197"/>
        </w:trPr>
        <w:tc>
          <w:tcPr>
            <w:tcW w:w="8820" w:type="dxa"/>
            <w:vAlign w:val="bottom"/>
          </w:tcPr>
          <w:p>
            <w:pPr>
              <w:spacing w:after="0"/>
              <w:rPr>
                <w:sz w:val="20"/>
                <w:szCs w:val="20"/>
                <w:color w:val="auto"/>
              </w:rPr>
            </w:pPr>
            <w:r>
              <w:rPr>
                <w:rFonts w:ascii="Times New Roman" w:cs="Times New Roman" w:eastAsia="Times New Roman" w:hAnsi="Times New Roman"/>
                <w:sz w:val="16"/>
                <w:szCs w:val="16"/>
                <w:color w:val="auto"/>
              </w:rPr>
              <w:t>Balance – December 31, 2014</w:t>
            </w: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The net cash settlement value at the time of any future transactions, where the Company consolidates or merges with another entity, will depend upon the value of the following inputs at that time: the consideration value per share of the Company’s common stock, the volatility of the Company’s common stock, the remaining term of the warrant from announcement date, the risk-free interest rate based on U.S. Treasury security yields, and the Company’s dividend yield. The warrant requires use of a volatility assumption equal to the greater of 100% and the 100-day volatility function determined as of the trading day immediately following announcement of a Fundamental Transaction.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66" w:name="page67"/>
    <w:bookmarkEnd w:id="66"/>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NOTE 6:</w:t>
        <w:tab/>
        <w:t>CONVERTIBLE NOTES PAYABLE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Company’s outstanding convertible note obligations:</w:t>
      </w:r>
    </w:p>
    <w:p>
      <w:pPr>
        <w:sectPr>
          <w:pgSz w:w="11900" w:h="16838" w:orient="portrait"/>
          <w:cols w:equalWidth="0" w:num="1">
            <w:col w:w="11420"/>
          </w:cols>
          <w:pgMar w:left="240" w:top="698" w:right="239" w:bottom="1440" w:gutter="0" w:footer="0" w:header="0"/>
        </w:sect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Stated</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0" w:type="dxa"/>
            <w:vAlign w:val="bottom"/>
          </w:tcPr>
          <w:p>
            <w:pPr>
              <w:spacing w:after="0"/>
              <w:rPr>
                <w:sz w:val="1"/>
                <w:szCs w:val="1"/>
                <w:color w:val="auto"/>
              </w:rPr>
            </w:pPr>
          </w:p>
        </w:tc>
      </w:tr>
      <w:tr>
        <w:trPr>
          <w:trHeight w:val="218"/>
        </w:trPr>
        <w:tc>
          <w:tcPr>
            <w:tcW w:w="1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Issue Date</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10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Rate</w:t>
            </w:r>
          </w:p>
        </w:tc>
        <w:tc>
          <w:tcPr>
            <w:tcW w:w="0" w:type="dxa"/>
            <w:vAlign w:val="bottom"/>
          </w:tcPr>
          <w:p>
            <w:pPr>
              <w:spacing w:after="0"/>
              <w:rPr>
                <w:sz w:val="1"/>
                <w:szCs w:val="1"/>
                <w:color w:val="auto"/>
              </w:rPr>
            </w:pPr>
          </w:p>
        </w:tc>
      </w:tr>
      <w:tr>
        <w:trPr>
          <w:trHeight w:val="25"/>
        </w:trPr>
        <w:tc>
          <w:tcPr>
            <w:tcW w:w="1400" w:type="dxa"/>
            <w:vAlign w:val="bottom"/>
            <w:shd w:val="clear" w:color="auto" w:fill="000000"/>
          </w:tcPr>
          <w:p>
            <w:pPr>
              <w:spacing w:after="0"/>
              <w:rPr>
                <w:sz w:val="2"/>
                <w:szCs w:val="2"/>
                <w:color w:val="auto"/>
              </w:rPr>
            </w:pPr>
          </w:p>
        </w:tc>
        <w:tc>
          <w:tcPr>
            <w:tcW w:w="120" w:type="dxa"/>
            <w:vAlign w:val="bottom"/>
            <w:vMerge w:val="restart"/>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4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2/24/2011</w:t>
            </w:r>
          </w:p>
        </w:tc>
        <w:tc>
          <w:tcPr>
            <w:tcW w:w="120" w:type="dxa"/>
            <w:vAlign w:val="bottom"/>
            <w:vMerge w:val="continue"/>
          </w:tcPr>
          <w:p>
            <w:pPr>
              <w:spacing w:after="0"/>
              <w:rPr>
                <w:sz w:val="15"/>
                <w:szCs w:val="15"/>
                <w:color w:val="auto"/>
              </w:rPr>
            </w:pPr>
          </w:p>
        </w:tc>
        <w:tc>
          <w:tcPr>
            <w:tcW w:w="14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2/24/2014</w:t>
            </w:r>
          </w:p>
        </w:tc>
        <w:tc>
          <w:tcPr>
            <w:tcW w:w="100" w:type="dxa"/>
            <w:vAlign w:val="bottom"/>
            <w:vMerge w:val="continue"/>
          </w:tcPr>
          <w:p>
            <w:pPr>
              <w:spacing w:after="0"/>
              <w:rPr>
                <w:sz w:val="15"/>
                <w:szCs w:val="15"/>
                <w:color w:val="auto"/>
              </w:rPr>
            </w:pPr>
          </w:p>
        </w:tc>
        <w:tc>
          <w:tcPr>
            <w:tcW w:w="16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4/4/2011</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4/4/2014</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6/6/2011</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6/6/2014</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8/12/2012</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11/12/2012</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8/20/2012</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8/20/2013</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10/15/2012</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10/15/2013</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11/20/2012</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11/20/2013</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12/18/2012</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12/14/2013</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1/5/2013</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5/31/2014</w:t>
            </w:r>
          </w:p>
        </w:tc>
        <w:tc>
          <w:tcPr>
            <w:tcW w:w="100" w:type="dxa"/>
            <w:vAlign w:val="bottom"/>
          </w:tcPr>
          <w:p>
            <w:pPr>
              <w:spacing w:after="0"/>
              <w:rPr>
                <w:sz w:val="17"/>
                <w:szCs w:val="17"/>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None</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1/31/2013</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5/31/2014</w:t>
            </w:r>
          </w:p>
        </w:tc>
        <w:tc>
          <w:tcPr>
            <w:tcW w:w="100" w:type="dxa"/>
            <w:vAlign w:val="bottom"/>
          </w:tcPr>
          <w:p>
            <w:pPr>
              <w:spacing w:after="0"/>
              <w:rPr>
                <w:sz w:val="17"/>
                <w:szCs w:val="17"/>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None</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2/27/2013</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2/27/2014</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4/2/2013</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6/2/2013</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4/18/2013</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12/18/2013</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5/2/2013</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5/31/2014</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5/5/2013</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7/5/2013</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5/14/2013</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5/14/2014</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6/27/2013</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6/27/2014</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6/19/2013</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6/19/2014</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7/12/2013</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7/12/2014</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10/18/2013</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4/18/2014</w:t>
            </w:r>
          </w:p>
        </w:tc>
        <w:tc>
          <w:tcPr>
            <w:tcW w:w="100" w:type="dxa"/>
            <w:vAlign w:val="bottom"/>
          </w:tcPr>
          <w:p>
            <w:pPr>
              <w:spacing w:after="0"/>
              <w:rPr>
                <w:sz w:val="17"/>
                <w:szCs w:val="17"/>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None</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11/1/2013</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5/1/2014</w:t>
            </w:r>
          </w:p>
        </w:tc>
        <w:tc>
          <w:tcPr>
            <w:tcW w:w="100" w:type="dxa"/>
            <w:vAlign w:val="bottom"/>
          </w:tcPr>
          <w:p>
            <w:pPr>
              <w:spacing w:after="0"/>
              <w:rPr>
                <w:sz w:val="17"/>
                <w:szCs w:val="17"/>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None</w:t>
            </w:r>
          </w:p>
        </w:tc>
        <w:tc>
          <w:tcPr>
            <w:tcW w:w="0" w:type="dxa"/>
            <w:vAlign w:val="bottom"/>
          </w:tcPr>
          <w:p>
            <w:pPr>
              <w:spacing w:after="0"/>
              <w:rPr>
                <w:sz w:val="1"/>
                <w:szCs w:val="1"/>
                <w:color w:val="auto"/>
              </w:rPr>
            </w:pPr>
          </w:p>
        </w:tc>
      </w:tr>
      <w:tr>
        <w:trPr>
          <w:trHeight w:val="214"/>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12/19/2013</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6/19/2014</w:t>
            </w:r>
          </w:p>
        </w:tc>
        <w:tc>
          <w:tcPr>
            <w:tcW w:w="10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None</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12/23/2013</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6/23/2014</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color w:val="auto"/>
        </w:rPr>
        <w:t>Total convertible notes</w:t>
      </w:r>
    </w:p>
    <w:p>
      <w:pPr>
        <w:spacing w:after="0" w:line="3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color w:val="auto"/>
        </w:rPr>
        <w:t>Unamortized note discount</w:t>
      </w:r>
    </w:p>
    <w:p>
      <w:pPr>
        <w:spacing w:after="0" w:line="5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b w:val="1"/>
          <w:bCs w:val="1"/>
          <w:color w:val="auto"/>
        </w:rPr>
        <w:t>Total on Balance sheet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b w:val="1"/>
          <w:bCs w:val="1"/>
          <w:color w:val="auto"/>
        </w:rPr>
        <w:t>Principal Balance Outstanding</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2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Conversion</w:t>
            </w: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158"/>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2"/>
        </w:trPr>
        <w:tc>
          <w:tcPr>
            <w:tcW w:w="1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Terms</w:t>
            </w:r>
          </w:p>
        </w:tc>
        <w:tc>
          <w:tcPr>
            <w:tcW w:w="1040" w:type="dxa"/>
            <w:vAlign w:val="bottom"/>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478"/>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181"/>
        </w:trPr>
        <w:tc>
          <w:tcPr>
            <w:tcW w:w="130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auto"/>
              </w:rPr>
              <w:t>Variable at $25.00</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198"/>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$ 980,858</w:t>
            </w:r>
          </w:p>
        </w:tc>
      </w:tr>
      <w:tr>
        <w:trPr>
          <w:trHeight w:val="197"/>
        </w:trPr>
        <w:tc>
          <w:tcPr>
            <w:tcW w:w="1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Variable at $25.00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215,000</w:t>
            </w:r>
          </w:p>
        </w:tc>
      </w:tr>
      <w:tr>
        <w:trPr>
          <w:trHeight w:val="197"/>
        </w:trPr>
        <w:tc>
          <w:tcPr>
            <w:tcW w:w="1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Variable at $25.00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r>
      <w:tr>
        <w:trPr>
          <w:trHeight w:val="197"/>
        </w:trPr>
        <w:tc>
          <w:tcPr>
            <w:tcW w:w="1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Variable at $9.00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w:t>
            </w:r>
          </w:p>
        </w:tc>
      </w:tr>
      <w:tr>
        <w:trPr>
          <w:trHeight w:val="197"/>
        </w:trPr>
        <w:tc>
          <w:tcPr>
            <w:tcW w:w="1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Variable at $9.00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r>
      <w:tr>
        <w:trPr>
          <w:trHeight w:val="197"/>
        </w:trPr>
        <w:tc>
          <w:tcPr>
            <w:tcW w:w="1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Variable at $12.00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340,000</w:t>
            </w:r>
          </w:p>
        </w:tc>
      </w:tr>
      <w:tr>
        <w:trPr>
          <w:trHeight w:val="197"/>
        </w:trPr>
        <w:tc>
          <w:tcPr>
            <w:tcW w:w="1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Variable at $9.00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10,748</w:t>
            </w:r>
          </w:p>
        </w:tc>
      </w:tr>
      <w:tr>
        <w:trPr>
          <w:trHeight w:val="197"/>
        </w:trPr>
        <w:tc>
          <w:tcPr>
            <w:tcW w:w="1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Fixed at $10.00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197"/>
        </w:trPr>
        <w:tc>
          <w:tcPr>
            <w:tcW w:w="1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Fixed at $8.00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452,729</w:t>
            </w:r>
          </w:p>
        </w:tc>
      </w:tr>
      <w:tr>
        <w:trPr>
          <w:trHeight w:val="197"/>
        </w:trPr>
        <w:tc>
          <w:tcPr>
            <w:tcW w:w="1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Fixed at $4.00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24,135</w:t>
            </w:r>
          </w:p>
        </w:tc>
      </w:tr>
      <w:tr>
        <w:trPr>
          <w:trHeight w:val="197"/>
        </w:trPr>
        <w:tc>
          <w:tcPr>
            <w:tcW w:w="1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Variable at $9.00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58,500</w:t>
            </w:r>
          </w:p>
        </w:tc>
      </w:tr>
      <w:tr>
        <w:trPr>
          <w:trHeight w:val="197"/>
        </w:trPr>
        <w:tc>
          <w:tcPr>
            <w:tcW w:w="1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Fixed at $7.00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80,967</w:t>
            </w:r>
          </w:p>
        </w:tc>
      </w:tr>
      <w:tr>
        <w:trPr>
          <w:trHeight w:val="197"/>
        </w:trPr>
        <w:tc>
          <w:tcPr>
            <w:tcW w:w="1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Fixed at $7.00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31,688</w:t>
            </w:r>
          </w:p>
        </w:tc>
      </w:tr>
      <w:tr>
        <w:trPr>
          <w:trHeight w:val="197"/>
        </w:trPr>
        <w:tc>
          <w:tcPr>
            <w:tcW w:w="1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Variable at $3.44</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197"/>
        </w:trPr>
        <w:tc>
          <w:tcPr>
            <w:tcW w:w="1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Fixed at $7.00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r>
      <w:tr>
        <w:trPr>
          <w:trHeight w:val="197"/>
        </w:trPr>
        <w:tc>
          <w:tcPr>
            <w:tcW w:w="1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Fixed at $6.00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126,000</w:t>
            </w:r>
          </w:p>
        </w:tc>
      </w:tr>
      <w:tr>
        <w:trPr>
          <w:trHeight w:val="197"/>
        </w:trPr>
        <w:tc>
          <w:tcPr>
            <w:tcW w:w="1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Variable at $9.00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37,620</w:t>
            </w:r>
          </w:p>
        </w:tc>
      </w:tr>
      <w:tr>
        <w:trPr>
          <w:trHeight w:val="197"/>
        </w:trPr>
        <w:tc>
          <w:tcPr>
            <w:tcW w:w="1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Variable at $9.00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32,000</w:t>
            </w:r>
          </w:p>
        </w:tc>
      </w:tr>
      <w:tr>
        <w:trPr>
          <w:trHeight w:val="197"/>
        </w:trPr>
        <w:tc>
          <w:tcPr>
            <w:tcW w:w="1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Fixed at $3.00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96,800</w:t>
            </w:r>
          </w:p>
        </w:tc>
      </w:tr>
      <w:tr>
        <w:trPr>
          <w:trHeight w:val="197"/>
        </w:trPr>
        <w:tc>
          <w:tcPr>
            <w:tcW w:w="1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Variable at $1.00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94,444</w:t>
            </w:r>
          </w:p>
        </w:tc>
      </w:tr>
      <w:tr>
        <w:trPr>
          <w:trHeight w:val="197"/>
        </w:trPr>
        <w:tc>
          <w:tcPr>
            <w:tcW w:w="1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Variable at $1.00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w:t>
            </w:r>
          </w:p>
        </w:tc>
      </w:tr>
      <w:tr>
        <w:trPr>
          <w:trHeight w:val="197"/>
        </w:trPr>
        <w:tc>
          <w:tcPr>
            <w:tcW w:w="1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Variable at $1.00</w:t>
            </w:r>
          </w:p>
        </w:tc>
        <w:tc>
          <w:tcPr>
            <w:tcW w:w="10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277,222</w:t>
            </w:r>
          </w:p>
        </w:tc>
      </w:tr>
      <w:tr>
        <w:trPr>
          <w:trHeight w:val="218"/>
        </w:trPr>
        <w:tc>
          <w:tcPr>
            <w:tcW w:w="1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Fixed at $7.00</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536,400</w:t>
            </w:r>
          </w:p>
        </w:tc>
      </w:tr>
      <w:tr>
        <w:trPr>
          <w:trHeight w:val="378"/>
        </w:trPr>
        <w:tc>
          <w:tcPr>
            <w:tcW w:w="1640" w:type="dxa"/>
            <w:vAlign w:val="bottom"/>
            <w:gridSpan w:val="3"/>
          </w:tcPr>
          <w:p>
            <w:pPr>
              <w:ind w:left="15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3,697,611</w:t>
            </w:r>
          </w:p>
        </w:tc>
      </w:tr>
      <w:tr>
        <w:trPr>
          <w:trHeight w:val="218"/>
        </w:trPr>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(535,634)</w:t>
            </w:r>
          </w:p>
        </w:tc>
      </w:tr>
      <w:tr>
        <w:trPr>
          <w:trHeight w:val="197"/>
        </w:trPr>
        <w:tc>
          <w:tcPr>
            <w:tcW w:w="1520" w:type="dxa"/>
            <w:vAlign w:val="bottom"/>
            <w:gridSpan w:val="2"/>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3,161,977</w:t>
            </w:r>
          </w:p>
        </w:tc>
      </w:tr>
      <w:tr>
        <w:trPr>
          <w:trHeight w:val="20"/>
        </w:trPr>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660" w:space="300"/>
            <w:col w:w="6460"/>
          </w:cols>
          <w:pgMar w:left="240" w:top="698" w:right="2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Issuance of Convertible Preferred Stock</w:t>
      </w:r>
    </w:p>
    <w:p>
      <w:pPr>
        <w:spacing w:after="0" w:line="23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During the year the Company issued $418,000 of convertible notes. The notes carried no interest rate and were converted shortly thereafter (see Extinguishment loss) into preferred stock and immediately into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Debt converted to Preferred Stock and immediately converted into common stock</w:t>
      </w:r>
    </w:p>
    <w:p>
      <w:pPr>
        <w:spacing w:after="0" w:line="2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During the year, note holders that included Convertible notes, Loans payable, Promissory notes-related party &amp; Due to related party exchanged approximately $4.7 million of debt and $0.5 million of accrued interest for shares of preferred stock, which was immediately converted into 14.0 million shares of common stock with a fair value of approximately $31 million. The total loss on extinguishment associated with the note conversions was $24.9 million, which includes the extinguishment of the derivative liability – conversion option of $0.7 million.</w:t>
      </w:r>
    </w:p>
    <w:p>
      <w:pPr>
        <w:spacing w:after="0" w:line="17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NOTE 7:</w:t>
      </w:r>
      <w:r>
        <w:rPr>
          <w:sz w:val="20"/>
          <w:szCs w:val="20"/>
          <w:color w:val="auto"/>
        </w:rPr>
        <w:tab/>
      </w:r>
      <w:r>
        <w:rPr>
          <w:rFonts w:ascii="Times New Roman" w:cs="Times New Roman" w:eastAsia="Times New Roman" w:hAnsi="Times New Roman"/>
          <w:sz w:val="15"/>
          <w:szCs w:val="15"/>
          <w:b w:val="1"/>
          <w:bCs w:val="1"/>
          <w:color w:val="auto"/>
        </w:rPr>
        <w:t>LOANS PAYABLE</w:t>
      </w:r>
    </w:p>
    <w:p>
      <w:pPr>
        <w:spacing w:after="0" w:line="23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As at December 31, 2014, there were unsecured loan payable in the amount of $nil (December 31, 2013 - $42,200). During the year ended December 31, 2014, investors converted $37,000 and a related party converted $5,200 of the loan into preferred stock which was immediately converted into common stock (see note 6).</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698" w:right="239" w:bottom="1440" w:gutter="0" w:footer="0" w:header="0"/>
          <w:type w:val="continuous"/>
        </w:sectPr>
      </w:pPr>
    </w:p>
    <w:bookmarkStart w:id="67" w:name="page68"/>
    <w:bookmarkEnd w:id="67"/>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NOTE 8:</w:t>
        <w:tab/>
        <w:t>PROMISSORY NOTES, RELATED PARTY</w:t>
      </w:r>
    </w:p>
    <w:p>
      <w:pPr>
        <w:spacing w:after="0" w:line="23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The Company has outstanding promissory notes in the amount of $52,942 (December 31, 2013 - $277,942), of which $23,000 of promissory notes are from an officer and a director of the Company. The promissory notes bear no interest charges and have no fixed repayment terms.</w:t>
      </w:r>
    </w:p>
    <w:p>
      <w:pPr>
        <w:spacing w:after="0" w:line="162"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During the year ended December 31, 2014, a note holder converted outstanding principal of $210,000 and accrued interest of $12,000 into preferred stock which was immediately converted into common shares (see note 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year ended December 31, 2014, $15,000 (2013 - $nil) of the promissory notes were repaid to an officer and director of the Company.</w:t>
      </w:r>
    </w:p>
    <w:p>
      <w:pPr>
        <w:spacing w:after="0" w:line="2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NOTE 9:</w:t>
        <w:tab/>
        <w:t>DUE TO RELATED PARTIES</w:t>
      </w:r>
    </w:p>
    <w:p>
      <w:pPr>
        <w:spacing w:after="0" w:line="23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During the year ended December 31, 2014 the Company has outstanding promissory notes in the amount of $nil (December 31, 2013 - $369,000). During the fiscal year 2014, the related parties converted the notes of $369,000 into preferred stock which was immediately converted into common stock (See note 6).</w:t>
      </w:r>
    </w:p>
    <w:p>
      <w:pPr>
        <w:spacing w:after="0" w:line="13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10:</w:t>
        <w:tab/>
        <w:t>CAPITAL STOCK</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Split and increase in authorized shares</w:t>
      </w:r>
    </w:p>
    <w:p>
      <w:pPr>
        <w:spacing w:after="0" w:line="23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On February 18, 2014, the Company completed a reverse stock split thereby issuing 1 new share for each 100 outstanding shares of the Company’s common stock and amended the Company’s Articles of Incorporation to increase the authorized shares of common stock from 150,000,000 shares of common stock to 500,000,000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Capital</w:t>
      </w:r>
    </w:p>
    <w:p>
      <w:pPr>
        <w:spacing w:after="0" w:line="23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On January 6, 2014, the Company designated 1,250,000 Series A preferred shares par value $0.001 (“Series A Convertible Preferred Stock”). Each share of Series A Convertible Preferred Stock automatically converted into five (5) shares of the Company’s common stock upon the occurrence of the 1:100 reverse stock split.</w:t>
      </w:r>
    </w:p>
    <w:p>
      <w:pPr>
        <w:spacing w:after="0" w:line="162"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On February 18, 2014, the Company created a class of up to 1,500,000 preferred shares, par value $0.001, called Series B convertible preferred stock (“Series B Convertible Preferred Stock”). The terms of the Series B Convertible Preferred Stock are:</w:t>
      </w:r>
    </w:p>
    <w:p>
      <w:pPr>
        <w:spacing w:after="0" w:line="162" w:lineRule="exact"/>
        <w:rPr>
          <w:sz w:val="20"/>
          <w:szCs w:val="20"/>
          <w:color w:val="auto"/>
        </w:rPr>
      </w:pPr>
    </w:p>
    <w:p>
      <w:pPr>
        <w:ind w:left="580" w:hanging="286"/>
        <w:spacing w:after="0"/>
        <w:tabs>
          <w:tab w:leader="none" w:pos="58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rank pari passu to the common stock with respect to rights on liquidation, winding up and dissolution;</w:t>
      </w:r>
    </w:p>
    <w:p>
      <w:pPr>
        <w:spacing w:after="0" w:line="234"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no dividend rights except as may be declared by the Board in its sole and absolute discretion;</w:t>
      </w:r>
    </w:p>
    <w:p>
      <w:pPr>
        <w:spacing w:after="0" w:line="234" w:lineRule="exact"/>
        <w:rPr>
          <w:rFonts w:ascii="Times New Roman" w:cs="Times New Roman" w:eastAsia="Times New Roman" w:hAnsi="Times New Roman"/>
          <w:sz w:val="16"/>
          <w:szCs w:val="16"/>
          <w:color w:val="auto"/>
        </w:rPr>
      </w:pPr>
    </w:p>
    <w:p>
      <w:pPr>
        <w:ind w:left="580" w:hanging="298"/>
        <w:spacing w:after="0" w:line="268" w:lineRule="auto"/>
        <w:tabs>
          <w:tab w:leader="none" w:pos="5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shall have the right to cast one thousand (1,000) votes for each share held of record on all matters submitted to a vote of holders of the Corporation’s common stock; and</w:t>
      </w:r>
    </w:p>
    <w:p>
      <w:pPr>
        <w:spacing w:after="0" w:line="200" w:lineRule="exact"/>
        <w:rPr>
          <w:rFonts w:ascii="Times New Roman" w:cs="Times New Roman" w:eastAsia="Times New Roman" w:hAnsi="Times New Roman"/>
          <w:sz w:val="16"/>
          <w:szCs w:val="16"/>
          <w:color w:val="auto"/>
        </w:rPr>
      </w:pPr>
    </w:p>
    <w:p>
      <w:pPr>
        <w:spacing w:after="0" w:line="210"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shall automatically convert into seven (7) shares of common upon the occurrence of a 1:100 reverse stock split.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prior period share transactions included in the Company’s stock transactions and balances have been retroactively restated for the reverse stock splits described above.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are no shares outstanding under preferred shares as of December 31, 2014.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2014 Share Transactions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Consulting services</w:t>
      </w:r>
    </w:p>
    <w:p>
      <w:pPr>
        <w:spacing w:after="0" w:line="23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During the year ended December 31, 2014, the Company issued in aggregate 811,000 shares of common stock in exchange for consulting services for which performance was complete. The fair value of the common stock recognized was approximately $954,000.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Private placements</w:t>
      </w:r>
    </w:p>
    <w:p>
      <w:pPr>
        <w:spacing w:after="0" w:line="2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During the year ended December 31, 2014, the Company entered into a Securities Purchase Agreement with a single institutional investor for the sale of 1,886,792 units at a purchase price of $1.06 per unit, for a total purchase price of $1,836,000, net of finders’ fee of $164,000. Each unit consists of one common share and one share purchase warrant exercisable at $1.17 for a period of 5 years. The Company also issued 94,340 placement agent share purchase warrants to acquire an equivalent number of common shares of the Company, at an exercise price of $1.325 per share for an exercise period of up to five years from the issuance date. The warrants were included within equity. The fair value of these warrants was determined to be $111,000, using the Black-Scholes Option Pricing Model with a contractual term of 5 years, a risk free interest rate of 1.66%, a dividend yield of 0%, and an expected volatility of 150.3%.</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698" w:right="239" w:bottom="1440" w:gutter="0" w:footer="0" w:header="0"/>
        </w:sectPr>
      </w:pPr>
    </w:p>
    <w:bookmarkStart w:id="68" w:name="page69"/>
    <w:bookmarkEnd w:id="68"/>
    <w:p>
      <w:pPr>
        <w:jc w:val="both"/>
        <w:spacing w:after="0" w:line="276" w:lineRule="auto"/>
        <w:rPr>
          <w:sz w:val="20"/>
          <w:szCs w:val="20"/>
          <w:color w:val="auto"/>
        </w:rPr>
      </w:pPr>
      <w:r>
        <w:rPr>
          <w:rFonts w:ascii="Times New Roman" w:cs="Times New Roman" w:eastAsia="Times New Roman" w:hAnsi="Times New Roman"/>
          <w:sz w:val="16"/>
          <w:szCs w:val="16"/>
          <w:color w:val="auto"/>
        </w:rPr>
        <w:t>During the year ended December 31, 2014, the Company received subscription proceeds of $265,000 for 265,000 units. Each unit consists of one share of common stock and one share purchase warrant exercisable at $2.50 for a period of 3 years. The Company also issued 5,250 shares of common stock as finders’ fee relating to the subscription proceeds. The fair value of the common stock was determined to be $5,250.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Compensation Plan</w:t>
      </w:r>
    </w:p>
    <w:p>
      <w:pPr>
        <w:spacing w:after="0" w:line="23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On October 14, 2009, the Company adopted the 2009 Stock Incentive Plan (the “2009 Plan”) which supersedes and replaces the 2007 Stock Plan. The 2009 Plan allows for the issuance of up to 100,000 common shares. Options granted under the Plan shall be at prices and for terms as determined by the Board of Directors.</w:t>
      </w:r>
    </w:p>
    <w:p>
      <w:pPr>
        <w:spacing w:after="0" w:line="16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expensed portion of the value of the granted and vested options during the year ended December 31, 2014 was $15,000 (2013 - $132,093) which was recorded as stock based consulting and management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purchase options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the Company’s stock options as of December 31, 2014 and 2013 and changes during the years is presented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Weighted</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Weighted</w:t>
            </w:r>
          </w:p>
        </w:tc>
      </w:tr>
      <w:tr>
        <w:trPr>
          <w:trHeight w:val="197"/>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Number of</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Average</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Average</w:t>
            </w:r>
          </w:p>
        </w:tc>
      </w:tr>
      <w:tr>
        <w:trPr>
          <w:trHeight w:val="218"/>
        </w:trPr>
        <w:tc>
          <w:tcPr>
            <w:tcW w:w="7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rPr>
              <w:t>Options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color w:val="auto"/>
              </w:rPr>
              <w:t>Exercise Price</w:t>
            </w:r>
          </w:p>
        </w:tc>
        <w:tc>
          <w:tcPr>
            <w:tcW w:w="22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Remaining Life</w:t>
            </w:r>
          </w:p>
        </w:tc>
        <w:tc>
          <w:tcPr>
            <w:tcW w:w="100" w:type="dxa"/>
            <w:vAlign w:val="bottom"/>
          </w:tcPr>
          <w:p>
            <w:pPr>
              <w:spacing w:after="0"/>
              <w:rPr>
                <w:sz w:val="18"/>
                <w:szCs w:val="18"/>
                <w:color w:val="auto"/>
              </w:rPr>
            </w:pPr>
          </w:p>
        </w:tc>
      </w:tr>
      <w:tr>
        <w:trPr>
          <w:trHeight w:val="378"/>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2012</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65,430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6.05</w:t>
            </w:r>
          </w:p>
        </w:tc>
      </w:tr>
      <w:tr>
        <w:trPr>
          <w:trHeight w:val="197"/>
        </w:trPr>
        <w:tc>
          <w:tcPr>
            <w:tcW w:w="7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Issued</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Cancelled/Forfeited</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r>
        <w:trPr>
          <w:trHeight w:val="378"/>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2013</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65,430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5.04</w:t>
            </w:r>
          </w:p>
        </w:tc>
      </w:tr>
      <w:tr>
        <w:trPr>
          <w:trHeight w:val="197"/>
        </w:trPr>
        <w:tc>
          <w:tcPr>
            <w:tcW w:w="7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Issued</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7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Cancelled/Forfeited</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2014</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65,430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4.04</w:t>
            </w:r>
          </w:p>
        </w:tc>
      </w:tr>
      <w:tr>
        <w:trPr>
          <w:trHeight w:val="20"/>
        </w:trPr>
        <w:tc>
          <w:tcPr>
            <w:tcW w:w="7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At December 31, 2014, the intrinsic value of the vested options was equal to $nil (2013 - $nil).</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 summary of the status of the Company’s unvested options as of December 31, 2014 is presented below:</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7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spacing w:after="0"/>
              <w:rPr>
                <w:sz w:val="19"/>
                <w:szCs w:val="19"/>
                <w:color w:val="auto"/>
              </w:rPr>
            </w:pPr>
          </w:p>
        </w:tc>
      </w:tr>
      <w:tr>
        <w:trPr>
          <w:trHeight w:val="181"/>
        </w:trPr>
        <w:tc>
          <w:tcPr>
            <w:tcW w:w="7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6"/>
                <w:szCs w:val="16"/>
                <w:color w:val="auto"/>
                <w:w w:val="99"/>
              </w:rPr>
              <w:t>Weighted</w:t>
            </w:r>
          </w:p>
        </w:tc>
      </w:tr>
      <w:tr>
        <w:trPr>
          <w:trHeight w:val="197"/>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Average</w:t>
            </w:r>
          </w:p>
        </w:tc>
      </w:tr>
      <w:tr>
        <w:trPr>
          <w:trHeight w:val="197"/>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Number of</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Grant-Date</w:t>
            </w:r>
          </w:p>
        </w:tc>
      </w:tr>
      <w:tr>
        <w:trPr>
          <w:trHeight w:val="218"/>
        </w:trPr>
        <w:tc>
          <w:tcPr>
            <w:tcW w:w="7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color w:val="auto"/>
                <w:w w:val="98"/>
              </w:rPr>
              <w:t>Shares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color w:val="auto"/>
                <w:w w:val="99"/>
              </w:rPr>
              <w:t>Fair Value</w:t>
            </w:r>
          </w:p>
        </w:tc>
        <w:tc>
          <w:tcPr>
            <w:tcW w:w="100" w:type="dxa"/>
            <w:vAlign w:val="bottom"/>
          </w:tcPr>
          <w:p>
            <w:pPr>
              <w:spacing w:after="0"/>
              <w:rPr>
                <w:sz w:val="18"/>
                <w:szCs w:val="18"/>
                <w:color w:val="auto"/>
              </w:rPr>
            </w:pPr>
          </w:p>
        </w:tc>
      </w:tr>
      <w:tr>
        <w:trPr>
          <w:trHeight w:val="378"/>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Unvested, December 31, 2013</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1,111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18.00</w:t>
            </w:r>
          </w:p>
        </w:tc>
      </w:tr>
      <w:tr>
        <w:trPr>
          <w:trHeight w:val="197"/>
        </w:trPr>
        <w:tc>
          <w:tcPr>
            <w:tcW w:w="7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Granted</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7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Vested</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(833)</w:t>
            </w: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18.00</w:t>
            </w:r>
          </w:p>
        </w:tc>
      </w:tr>
      <w:tr>
        <w:trPr>
          <w:trHeight w:val="218"/>
        </w:trPr>
        <w:tc>
          <w:tcPr>
            <w:tcW w:w="7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Cancelled</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r>
        <w:trPr>
          <w:trHeight w:val="394"/>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Unvested, December 31, 2014</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18.00</w:t>
            </w:r>
          </w:p>
        </w:tc>
      </w:tr>
      <w:tr>
        <w:trPr>
          <w:trHeight w:val="20"/>
        </w:trPr>
        <w:tc>
          <w:tcPr>
            <w:tcW w:w="7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9"/>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 Purchase Warrants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 September, 2014, the Company issued 100,000 share purchase warrants to acquire an equivalent number of common shares of the Company, at an exercise price of $1.15 per share for an exercise period of up to five years from the issuance date. The warrants were issued pursuant to a service agreement. The fair value of these warrants was determined to be $105,000, using the Black-Scholes Option Pricing Model with a contractual term of 5 years, a risk free interest rate of 1.63%, a dividend yield of 0%, and an annual volatility of 150.18%.</w:t>
      </w:r>
    </w:p>
    <w:p>
      <w:pPr>
        <w:spacing w:after="0" w:line="1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In March, 2014, the Company issued 100,000 share purchase warrants to acquire an equivalent number of common shares of the Company, at an exercise price of $4.00 per share for an exercise period of up to four years from the issuance date. The warrants were issued pursuant to a technology option agreement. The fair value of these warrants was determined to be $303,000 and was recorded in general and administrative expenses. The weighted average assumptions used for the Black-Scholes option-pricing model to value these warrants were: volatility of 156.6%, risk free rate of 1.4%, term of 4 years and dividend rate of 0%. The Company used the Black-Scholes option-pricing model as the resultant fair value is not significantly different than the Monte Carlo option pricing model. In August 2014, the Company repriced the 100,000 warrants by reducing the exercise price from $4.00 to $1.06. As a result, the Company recorded incremental fair value of $14,000 during the year ended December 31, 2014.</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color w:val="auto"/>
        </w:rPr>
        <w:t>A summary of the Company’s share purchase warrants as of December 31, 2014 and changes during the year is presented below:</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Weighted</w:t>
            </w: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Weighted</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Number of</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Average</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Average</w:t>
            </w:r>
          </w:p>
        </w:tc>
        <w:tc>
          <w:tcPr>
            <w:tcW w:w="0" w:type="dxa"/>
            <w:vAlign w:val="bottom"/>
          </w:tcPr>
          <w:p>
            <w:pPr>
              <w:spacing w:after="0"/>
              <w:rPr>
                <w:sz w:val="1"/>
                <w:szCs w:val="1"/>
                <w:color w:val="auto"/>
              </w:rPr>
            </w:pPr>
          </w:p>
        </w:tc>
      </w:tr>
      <w:tr>
        <w:trPr>
          <w:trHeight w:val="218"/>
        </w:trPr>
        <w:tc>
          <w:tcPr>
            <w:tcW w:w="7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rPr>
              <w:t>Warrants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color w:val="auto"/>
              </w:rPr>
              <w:t>Exercise Price</w:t>
            </w:r>
          </w:p>
        </w:tc>
        <w:tc>
          <w:tcPr>
            <w:tcW w:w="22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Remaining Life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2013</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149,452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197"/>
        </w:trPr>
        <w:tc>
          <w:tcPr>
            <w:tcW w:w="7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Issued</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2,546,132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4.23</w:t>
            </w:r>
          </w:p>
        </w:tc>
        <w:tc>
          <w:tcPr>
            <w:tcW w:w="0" w:type="dxa"/>
            <w:vAlign w:val="bottom"/>
          </w:tcPr>
          <w:p>
            <w:pPr>
              <w:spacing w:after="0"/>
              <w:rPr>
                <w:sz w:val="1"/>
                <w:szCs w:val="1"/>
                <w:color w:val="auto"/>
              </w:rPr>
            </w:pPr>
          </w:p>
        </w:tc>
      </w:tr>
      <w:tr>
        <w:trPr>
          <w:trHeight w:val="197"/>
        </w:trPr>
        <w:tc>
          <w:tcPr>
            <w:tcW w:w="7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Exercised</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7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Extinguished or expired</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(36,167)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7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2014</w:t>
            </w:r>
          </w:p>
        </w:tc>
        <w:tc>
          <w:tcPr>
            <w:tcW w:w="1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2,659,417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11: INCOME TAXES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The income tax provision (benefit) for the years ended December 31, 2014 and 2013 are as follows: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7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6"/>
                <w:szCs w:val="16"/>
                <w:color w:val="auto"/>
              </w:rPr>
              <w:t>Year Ended</w:t>
            </w:r>
          </w:p>
        </w:tc>
        <w:tc>
          <w:tcPr>
            <w:tcW w:w="100" w:type="dxa"/>
            <w:vAlign w:val="bottom"/>
          </w:tcPr>
          <w:p>
            <w:pPr>
              <w:spacing w:after="0"/>
              <w:rPr>
                <w:sz w:val="15"/>
                <w:szCs w:val="15"/>
                <w:color w:val="auto"/>
              </w:rPr>
            </w:pPr>
          </w:p>
        </w:tc>
        <w:tc>
          <w:tcPr>
            <w:tcW w:w="1140" w:type="dxa"/>
            <w:vAlign w:val="bottom"/>
            <w:gridSpan w:val="2"/>
          </w:tcPr>
          <w:p>
            <w:pPr>
              <w:jc w:val="center"/>
              <w:ind w:right="180"/>
              <w:spacing w:after="0" w:line="181" w:lineRule="exact"/>
              <w:rPr>
                <w:sz w:val="20"/>
                <w:szCs w:val="20"/>
                <w:color w:val="auto"/>
              </w:rPr>
            </w:pPr>
            <w:r>
              <w:rPr>
                <w:rFonts w:ascii="Times New Roman" w:cs="Times New Roman" w:eastAsia="Times New Roman" w:hAnsi="Times New Roman"/>
                <w:sz w:val="16"/>
                <w:szCs w:val="16"/>
                <w:color w:val="auto"/>
                <w:w w:val="99"/>
              </w:rPr>
              <w:t>Year Ended</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December 31,</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18"/>
        </w:trPr>
        <w:tc>
          <w:tcPr>
            <w:tcW w:w="7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color w:val="auto"/>
              </w:rPr>
              <w:t>2014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5"/>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Federal:</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Current</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(1,265,000)</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(1,321,000)</w:t>
            </w:r>
          </w:p>
        </w:tc>
        <w:tc>
          <w:tcPr>
            <w:tcW w:w="0" w:type="dxa"/>
            <w:vAlign w:val="bottom"/>
          </w:tcPr>
          <w:p>
            <w:pPr>
              <w:spacing w:after="0"/>
              <w:rPr>
                <w:sz w:val="1"/>
                <w:szCs w:val="1"/>
                <w:color w:val="auto"/>
              </w:rPr>
            </w:pPr>
          </w:p>
        </w:tc>
      </w:tr>
      <w:tr>
        <w:trPr>
          <w:trHeight w:val="37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State:</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Current</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(1,265,000)</w:t>
            </w: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(1,321,000)</w:t>
            </w: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1,321,000</w:t>
            </w:r>
          </w:p>
        </w:tc>
        <w:tc>
          <w:tcPr>
            <w:tcW w:w="0" w:type="dxa"/>
            <w:vAlign w:val="bottom"/>
          </w:tcPr>
          <w:p>
            <w:pPr>
              <w:spacing w:after="0"/>
              <w:rPr>
                <w:sz w:val="1"/>
                <w:szCs w:val="1"/>
                <w:color w:val="auto"/>
              </w:rPr>
            </w:pPr>
          </w:p>
        </w:tc>
      </w:tr>
      <w:tr>
        <w:trPr>
          <w:trHeight w:val="197"/>
        </w:trPr>
        <w:tc>
          <w:tcPr>
            <w:tcW w:w="7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effects of temporary differences that give rise to significant portions of the deferred tax assets as of December 31, 2014 and 2013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Year Ended</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Year Ended</w:t>
            </w:r>
          </w:p>
        </w:tc>
      </w:tr>
      <w:tr>
        <w:trPr>
          <w:trHeight w:val="197"/>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December 31,</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December 31,</w:t>
            </w:r>
          </w:p>
        </w:tc>
      </w:tr>
      <w:tr>
        <w:trPr>
          <w:trHeight w:val="218"/>
        </w:trPr>
        <w:tc>
          <w:tcPr>
            <w:tcW w:w="8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color w:val="auto"/>
              </w:rPr>
              <w:t>2014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color w:val="auto"/>
              </w:rPr>
              <w:t>2013</w:t>
            </w:r>
          </w:p>
        </w:tc>
        <w:tc>
          <w:tcPr>
            <w:tcW w:w="100" w:type="dxa"/>
            <w:vAlign w:val="bottom"/>
          </w:tcPr>
          <w:p>
            <w:pPr>
              <w:spacing w:after="0"/>
              <w:rPr>
                <w:sz w:val="18"/>
                <w:szCs w:val="18"/>
                <w:color w:val="auto"/>
              </w:rPr>
            </w:pPr>
          </w:p>
        </w:tc>
      </w:tr>
      <w:tr>
        <w:trPr>
          <w:trHeight w:val="378"/>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8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Ney operating loss carryforwards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10,433,000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9,174,000</w:t>
            </w:r>
          </w:p>
        </w:tc>
      </w:tr>
      <w:tr>
        <w:trPr>
          <w:trHeight w:val="197"/>
        </w:trPr>
        <w:tc>
          <w:tcPr>
            <w:tcW w:w="8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1,871,000</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1,866,000</w:t>
            </w:r>
          </w:p>
        </w:tc>
      </w:tr>
      <w:tr>
        <w:trPr>
          <w:trHeight w:val="218"/>
        </w:trPr>
        <w:tc>
          <w:tcPr>
            <w:tcW w:w="8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Technology licensing fee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167,000</w:t>
            </w:r>
          </w:p>
        </w:tc>
      </w:tr>
      <w:tr>
        <w:trPr>
          <w:trHeight w:val="181"/>
        </w:trPr>
        <w:tc>
          <w:tcPr>
            <w:tcW w:w="87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deferred tax assets</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12,471,000</w:t>
            </w: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11,207,000</w:t>
            </w:r>
          </w:p>
        </w:tc>
        <w:tc>
          <w:tcPr>
            <w:tcW w:w="100" w:type="dxa"/>
            <w:vAlign w:val="bottom"/>
          </w:tcPr>
          <w:p>
            <w:pPr>
              <w:spacing w:after="0"/>
              <w:rPr>
                <w:sz w:val="15"/>
                <w:szCs w:val="15"/>
                <w:color w:val="auto"/>
              </w:rPr>
            </w:pPr>
          </w:p>
        </w:tc>
      </w:tr>
      <w:tr>
        <w:trPr>
          <w:trHeight w:val="218"/>
        </w:trPr>
        <w:tc>
          <w:tcPr>
            <w:tcW w:w="8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Valuation allowance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(12,471,000)</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(11,207,000)</w:t>
            </w:r>
          </w:p>
        </w:tc>
      </w:tr>
      <w:tr>
        <w:trPr>
          <w:trHeight w:val="197"/>
        </w:trPr>
        <w:tc>
          <w:tcPr>
            <w:tcW w:w="8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Deferred tax assets, net of valuation allowance</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
        </w:trPr>
        <w:tc>
          <w:tcPr>
            <w:tcW w:w="8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Company assesses the likelihood that deferred tax assets will be realized. To the extent that realization is not likely, a valuation allowance is established. Based upon the history of losses, management believes that it is more likely than not that future benefits of deferred tax assets will not be realized and has established a full valuation allowance for the years ended December 31, 2014 and 2013.</w:t>
      </w:r>
    </w:p>
    <w:p>
      <w:pPr>
        <w:spacing w:after="0" w:line="1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Company has not filed U.S tax returns since inception, but is in the process of filing tax returns for the years ended December 31, 2014, 2013, 2012, 2011, 2010, and 2009. The Net operating losses (“NOLs”) will not be available to reduce future taxable income until the returns are filed. Assuming these returns are filed, as of December 31, 2014 and 2013, the Company has approximately $30,686,428 and $26,982,085, respectively, of federal NOLs that may be available to offset future taxable income, if any. The federal net operating loss carryforwards, if not utilized, will expire beginning in 2023.</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677" w:right="239" w:bottom="1440" w:gutter="0" w:footer="0" w:header="0"/>
        </w:sectPr>
      </w:pPr>
    </w:p>
    <w:bookmarkStart w:id="70" w:name="page71"/>
    <w:bookmarkEnd w:id="70"/>
    <w:p>
      <w:pPr>
        <w:jc w:val="both"/>
        <w:spacing w:after="0" w:line="289" w:lineRule="auto"/>
        <w:rPr>
          <w:sz w:val="20"/>
          <w:szCs w:val="20"/>
          <w:color w:val="auto"/>
        </w:rPr>
      </w:pPr>
      <w:r>
        <w:rPr>
          <w:rFonts w:ascii="Times New Roman" w:cs="Times New Roman" w:eastAsia="Times New Roman" w:hAnsi="Times New Roman"/>
          <w:sz w:val="16"/>
          <w:szCs w:val="16"/>
          <w:color w:val="auto"/>
        </w:rPr>
        <w:t>The Company has also not filed any Canadian tax returns for GPC, which was dissolved in the fourth quarter of fiscal year 2014. The Company could be subject to fines and penalties for not filing the tax returns. The Company does not know the quantum of such fines and penalties, if any, and no liabilities have been accrued in the fiscal year 2014.</w:t>
      </w:r>
    </w:p>
    <w:p>
      <w:pPr>
        <w:spacing w:after="0" w:line="37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In accordance with Section 382 of the Internal Revenue code, the usage of the Company’s net operating loss carryforwards may be limited in the event of a change in ownership. A full Section 382 analysis has not been prepared and NOLs could be subject to limitation under Section 382.</w:t>
      </w:r>
    </w:p>
    <w:p>
      <w:pPr>
        <w:spacing w:after="0" w:line="16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For the years ended December 31, 2014 and 2013, the expected tax expense (benefit) based on the U.S. federal statutory rate is reconciled with the actual tax provision (benefit)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8685"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 federal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-246380</wp:posOffset>
            </wp:positionV>
            <wp:extent cx="552196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21960" cy="15875"/>
                    </a:xfrm>
                    <a:prstGeom prst="rect">
                      <a:avLst/>
                    </a:prstGeom>
                    <a:noFill/>
                  </pic:spPr>
                </pic:pic>
              </a:graphicData>
            </a:graphic>
          </wp:anchor>
        </w:drawing>
      </w:r>
    </w:p>
    <w:p>
      <w:pPr>
        <w:spacing w:after="0" w:line="1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Permanent differences</w:t>
      </w:r>
    </w:p>
    <w:p>
      <w:pPr>
        <w:spacing w:after="0" w:line="30" w:lineRule="exact"/>
        <w:rPr>
          <w:sz w:val="20"/>
          <w:szCs w:val="20"/>
          <w:color w:val="auto"/>
        </w:rPr>
      </w:pPr>
    </w:p>
    <w:p>
      <w:pPr>
        <w:ind w:left="200" w:right="5158" w:hanging="37"/>
        <w:spacing w:after="0" w:line="257" w:lineRule="auto"/>
        <w:tabs>
          <w:tab w:leader="none" w:pos="25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Non-cash loss on extinguishment of debt -Other permanent differences</w:t>
      </w:r>
    </w:p>
    <w:p>
      <w:pPr>
        <w:ind w:left="80"/>
        <w:spacing w:after="0"/>
        <w:rPr>
          <w:sz w:val="20"/>
          <w:szCs w:val="20"/>
          <w:color w:val="auto"/>
        </w:rPr>
      </w:pPr>
      <w:r>
        <w:rPr>
          <w:rFonts w:ascii="Times New Roman" w:cs="Times New Roman" w:eastAsia="Times New Roman" w:hAnsi="Times New Roman"/>
          <w:sz w:val="16"/>
          <w:szCs w:val="16"/>
          <w:color w:val="auto"/>
        </w:rPr>
        <w:t>Change in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5521960"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21960" cy="1587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552196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219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42545</wp:posOffset>
            </wp:positionV>
            <wp:extent cx="552196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2196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2" w:type="dxa"/>
        <w:tblCellMar>
          <w:top w:w="0" w:type="dxa"/>
          <w:left w:w="0" w:type="dxa"/>
          <w:bottom w:w="0" w:type="dxa"/>
          <w:right w:w="0" w:type="dxa"/>
        </w:tblCellMar>
      </w:tblPr>
      <w:tr>
        <w:trPr>
          <w:trHeight w:val="197"/>
        </w:trPr>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Year Ended</w:t>
            </w:r>
          </w:p>
        </w:tc>
        <w:tc>
          <w:tcPr>
            <w:tcW w:w="2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Year Ended</w:t>
            </w:r>
          </w:p>
        </w:tc>
      </w:tr>
      <w:tr>
        <w:trPr>
          <w:trHeight w:val="197"/>
        </w:trPr>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w:t>
            </w:r>
          </w:p>
        </w:tc>
        <w:tc>
          <w:tcPr>
            <w:tcW w:w="2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w:t>
            </w:r>
          </w:p>
        </w:tc>
      </w:tr>
      <w:tr>
        <w:trPr>
          <w:trHeight w:val="218"/>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2014</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2013</w:t>
            </w:r>
          </w:p>
        </w:tc>
      </w:tr>
    </w:tbl>
    <w:p>
      <w:pPr>
        <w:spacing w:after="0" w:line="181" w:lineRule="exact"/>
        <w:rPr>
          <w:sz w:val="20"/>
          <w:szCs w:val="20"/>
          <w:color w:val="auto"/>
        </w:rPr>
      </w:pPr>
    </w:p>
    <w:p>
      <w:pPr>
        <w:ind w:left="362" w:hanging="362"/>
        <w:spacing w:after="0"/>
        <w:tabs>
          <w:tab w:leader="none" w:pos="36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(10,449,000)  $(1,881,000)</w:t>
      </w:r>
    </w:p>
    <w:p>
      <w:pPr>
        <w:spacing w:after="0" w:line="200" w:lineRule="exact"/>
        <w:rPr>
          <w:sz w:val="20"/>
          <w:szCs w:val="20"/>
          <w:color w:val="auto"/>
        </w:rPr>
      </w:pPr>
    </w:p>
    <w:p>
      <w:pPr>
        <w:spacing w:after="0" w:line="207"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9,122,000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893,000</w:t>
            </w:r>
          </w:p>
        </w:tc>
      </w:tr>
      <w:tr>
        <w:trPr>
          <w:trHeight w:val="19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62,000</w:t>
            </w:r>
          </w:p>
        </w:tc>
        <w:tc>
          <w:tcPr>
            <w:tcW w:w="2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(334,000)</w:t>
            </w:r>
          </w:p>
        </w:tc>
      </w:tr>
      <w:tr>
        <w:trPr>
          <w:trHeight w:val="218"/>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1,265,000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1,322,000</w:t>
            </w:r>
          </w:p>
        </w:tc>
      </w:tr>
      <w:tr>
        <w:trPr>
          <w:trHeight w:val="197"/>
        </w:trPr>
        <w:tc>
          <w:tcPr>
            <w:tcW w:w="2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98" w:space="720"/>
            <w:col w:w="2602"/>
          </w:cols>
          <w:pgMar w:left="240" w:top="702" w:right="239" w:bottom="1440" w:gutter="0" w:footer="0" w:header="0"/>
          <w:type w:val="continuous"/>
        </w:sectPr>
      </w:pP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As of December 31, 2014 and 2013, there were no unrecognized tax benefits. The Company recognizes accrued interest and penalties as income tax expense. No amounts were accrued for the payment of interest and penalties at December 31, 2014 and 2013. The Company is currently not aware of any issues under review that could result in significant payments, accruals or material deviation from its position in the next year.</w:t>
      </w:r>
    </w:p>
    <w:p>
      <w:pPr>
        <w:spacing w:after="0" w:line="18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12:</w:t>
        <w:tab/>
        <w:t>CONTINGENCIES AND COMMITMENTS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Contingencies: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Consultant Litigation</w:t>
      </w:r>
    </w:p>
    <w:p>
      <w:pPr>
        <w:spacing w:after="0" w:line="23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May 2012, the Company issued 112,000 post-consolidated shares of common stock to two consultants. The Company contested the validity of the services provided and initially were able to delay the sale of the contested shares. The Company was not successful in recovering the contested shares. A claim for alleged damages of approximately $362,000 plus costs by one of the consultants as a result of the contesting of the issuance of the shares has been filed in the Supreme Court of New York. The claim is for damages on the difference between market price at the time the Company was able to delay the sale of his shares and the market price at the time of the sale of all of his shares. As the result of a judicial decision in New York the consultant received a bond payment of approximately $100,000 that the Company had used to secure a temporary restraining order against the issuance of stock to him. Following hearings at the International Arbitration Tribunal held in New York on May 13-16 the arbitrator ordered (on July 18, 2014) the consultant to pay Tapimmune $196,204 plus 9% interest from the date of the award. The Company is attempting to collect the award from Mr. Gardner.</w:t>
      </w:r>
    </w:p>
    <w:p>
      <w:pPr>
        <w:spacing w:after="0" w:line="38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law firm that we used to pursue the Gardner Action was awarded a judgment against us for $210,255 of unpaid legal fees (“G&amp;S Judgment”). Shareholders of the Company acquired the G&amp;S Judgment in full, converted that Judgment into preferred shares of the Company (which in turn converted into common stock) and subsequently released the Company from any liability related thereto.</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On July 18, 2014, the International Center for Dispute Resolution International Arbitration Tribunal issued a Final Award in the matter of TapImmune Inc. vs. Michael Gardner awarding TapImmune $196,204 plus post-award interest at a rate of 9% per year. This award stemmed from the dispute discussed above with Mr. Gardner regarding the May 2012 consulting agreement. The arbitrator found that we were fraudulently induced into entering said agreement through “1) misrepresentations as to what he would or could do for the Company, including raising funds, and 2) omissions about his reputation and ability to obtain or assist in obtaining financing for TapImmune” among other reasons. We are attempting to collect the award from Mr. Gardner.</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type w:val="continuous"/>
        </w:sectPr>
      </w:pPr>
    </w:p>
    <w:bookmarkStart w:id="71" w:name="page72"/>
    <w:bookmarkEnd w:id="71"/>
    <w:p>
      <w:pPr>
        <w:spacing w:after="0" w:line="296" w:lineRule="auto"/>
        <w:rPr>
          <w:sz w:val="20"/>
          <w:szCs w:val="20"/>
          <w:color w:val="auto"/>
        </w:rPr>
      </w:pPr>
      <w:r>
        <w:rPr>
          <w:rFonts w:ascii="Times New Roman" w:cs="Times New Roman" w:eastAsia="Times New Roman" w:hAnsi="Times New Roman"/>
          <w:sz w:val="16"/>
          <w:szCs w:val="16"/>
          <w:color w:val="auto"/>
        </w:rPr>
        <w:t>One of our suppliers, Fischer Scientific was awarded a judgment against us for $51,000 which is equal to the amount owed to them. We intend on settling that matter in the second quarter of 2015.</w:t>
      </w:r>
    </w:p>
    <w:p>
      <w:pPr>
        <w:spacing w:after="0" w:line="1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13:</w:t>
        <w:tab/>
        <w:t>SUBSEQUENT EVENTS</w:t>
      </w:r>
    </w:p>
    <w:p>
      <w:pPr>
        <w:spacing w:after="0" w:line="239" w:lineRule="exact"/>
        <w:rPr>
          <w:sz w:val="20"/>
          <w:szCs w:val="20"/>
          <w:color w:val="auto"/>
        </w:rPr>
      </w:pPr>
    </w:p>
    <w:p>
      <w:pPr>
        <w:jc w:val="both"/>
        <w:ind w:left="580" w:hanging="286"/>
        <w:spacing w:after="0" w:line="262" w:lineRule="auto"/>
        <w:tabs>
          <w:tab w:leader="none" w:pos="58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12, 2015, the Company entered into a Securities Purchase Agreement with certain accredited investors for the sale of 7,320,000 units at a purchase price of $0.20 per unit, for a total purchase price of approximately $1,250,000, net of finders’ fee and offering expenses of approximately $214,000.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collectively, the “January 2015 Warrants”). Series A warrants are exercisable at $1.50 per share, with a five year term. Series B warrants are exercisable at $0.40 per share, with a six 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187" w:lineRule="exact"/>
        <w:rPr>
          <w:rFonts w:ascii="Times New Roman" w:cs="Times New Roman" w:eastAsia="Times New Roman" w:hAnsi="Times New Roman"/>
          <w:sz w:val="16"/>
          <w:szCs w:val="16"/>
          <w:color w:val="auto"/>
        </w:rPr>
      </w:pPr>
    </w:p>
    <w:p>
      <w:pPr>
        <w:ind w:left="580"/>
        <w:spacing w:after="0" w:line="29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 placement agent agreement, the Company agreed to issue warrants to purchase an aggregate of up to 5% of the aggregate number of shares of common stock sold in the offering to the placement agents. The placement agent warrants have substantially the same terms as the January 2015 Warrants.</w:t>
      </w:r>
    </w:p>
    <w:p>
      <w:pPr>
        <w:spacing w:after="0" w:line="162" w:lineRule="exact"/>
        <w:rPr>
          <w:rFonts w:ascii="Times New Roman" w:cs="Times New Roman" w:eastAsia="Times New Roman" w:hAnsi="Times New Roman"/>
          <w:sz w:val="16"/>
          <w:szCs w:val="16"/>
          <w:color w:val="auto"/>
        </w:rPr>
      </w:pPr>
    </w:p>
    <w:p>
      <w:pPr>
        <w:jc w:val="both"/>
        <w:ind w:left="580" w:hanging="298"/>
        <w:spacing w:after="0" w:line="264" w:lineRule="auto"/>
        <w:tabs>
          <w:tab w:leader="none" w:pos="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9, 2015, the Company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collectively, the “March 2015 Warrants”). The March 2015 Warrants have substantially the same terms as the January 2015 Warrants.</w:t>
      </w:r>
    </w:p>
    <w:p>
      <w:pPr>
        <w:spacing w:after="0" w:line="189" w:lineRule="exact"/>
        <w:rPr>
          <w:rFonts w:ascii="Times New Roman" w:cs="Times New Roman" w:eastAsia="Times New Roman" w:hAnsi="Times New Roman"/>
          <w:sz w:val="16"/>
          <w:szCs w:val="16"/>
          <w:color w:val="auto"/>
        </w:rPr>
      </w:pPr>
    </w:p>
    <w:p>
      <w:pPr>
        <w:ind w:left="580"/>
        <w:spacing w:after="0" w:line="29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 placement agent agreement, the Company agreed to issue warrants to purchase an aggregate of up to 2.5% of the aggregate number of shares of common stock sold in the offering to the placement agents. The placement agent warrants have substantially the same terms as the March 2015 Warrants.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72" w:name="page73"/>
    <w:bookmarkEnd w:id="72"/>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TAPIMMUNE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20" w:type="dxa"/>
            <w:vAlign w:val="bottom"/>
            <w:tcBorders>
              <w:top w:val="single" w:sz="8" w:color="auto"/>
            </w:tcBorders>
          </w:tcPr>
          <w:p>
            <w:pPr>
              <w:spacing w:after="0"/>
              <w:rPr>
                <w:sz w:val="17"/>
                <w:szCs w:val="17"/>
                <w:color w:val="auto"/>
              </w:rPr>
            </w:pPr>
          </w:p>
        </w:tc>
        <w:tc>
          <w:tcPr>
            <w:tcW w:w="36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March 31,</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18"/>
        </w:trPr>
        <w:tc>
          <w:tcPr>
            <w:tcW w:w="50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color w:val="auto"/>
              </w:rPr>
              <w:t>2015</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3920" w:type="dxa"/>
            <w:vAlign w:val="bottom"/>
            <w:gridSpan w:val="3"/>
            <w:vMerge w:val="restart"/>
          </w:tcPr>
          <w:p>
            <w:pPr>
              <w:jc w:val="right"/>
              <w:ind w:right="29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20" w:type="dxa"/>
            <w:vAlign w:val="bottom"/>
          </w:tcPr>
          <w:p>
            <w:pPr>
              <w:jc w:val="center"/>
              <w:ind w:right="38"/>
              <w:spacing w:after="0"/>
              <w:rPr>
                <w:sz w:val="20"/>
                <w:szCs w:val="20"/>
                <w:color w:val="auto"/>
              </w:rPr>
            </w:pPr>
            <w:r>
              <w:rPr>
                <w:rFonts w:ascii="Times New Roman" w:cs="Times New Roman" w:eastAsia="Times New Roman" w:hAnsi="Times New Roman"/>
                <w:sz w:val="16"/>
                <w:szCs w:val="16"/>
                <w:color w:val="auto"/>
              </w:rPr>
              <w:t>(Unaudited)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920" w:type="dxa"/>
            <w:vAlign w:val="bottom"/>
            <w:gridSpan w:val="3"/>
            <w:vMerge w:val="continue"/>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20" w:type="dxa"/>
            <w:vAlign w:val="bottom"/>
            <w:vMerge w:val="continue"/>
          </w:tcPr>
          <w:p>
            <w:pPr>
              <w:spacing w:after="0"/>
              <w:rPr>
                <w:sz w:val="15"/>
                <w:szCs w:val="15"/>
                <w:color w:val="auto"/>
              </w:rPr>
            </w:pPr>
          </w:p>
        </w:tc>
        <w:tc>
          <w:tcPr>
            <w:tcW w:w="3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Cash</w:t>
            </w:r>
          </w:p>
        </w:tc>
        <w:tc>
          <w:tcPr>
            <w:tcW w:w="3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1,453,505</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141,944</w:t>
            </w:r>
          </w:p>
        </w:tc>
        <w:tc>
          <w:tcPr>
            <w:tcW w:w="0" w:type="dxa"/>
            <w:vAlign w:val="bottom"/>
          </w:tcPr>
          <w:p>
            <w:pPr>
              <w:spacing w:after="0"/>
              <w:rPr>
                <w:sz w:val="1"/>
                <w:szCs w:val="1"/>
                <w:color w:val="auto"/>
              </w:rPr>
            </w:pPr>
          </w:p>
        </w:tc>
      </w:tr>
      <w:tr>
        <w:trPr>
          <w:trHeight w:val="214"/>
        </w:trPr>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Prepaid expenses and deposits</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82,504</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82,504</w:t>
            </w:r>
          </w:p>
        </w:tc>
        <w:tc>
          <w:tcPr>
            <w:tcW w:w="0" w:type="dxa"/>
            <w:vAlign w:val="bottom"/>
          </w:tcPr>
          <w:p>
            <w:pPr>
              <w:spacing w:after="0"/>
              <w:rPr>
                <w:sz w:val="1"/>
                <w:szCs w:val="1"/>
                <w:color w:val="auto"/>
              </w:rPr>
            </w:pPr>
          </w:p>
        </w:tc>
      </w:tr>
      <w:tr>
        <w:trPr>
          <w:trHeight w:val="25"/>
        </w:trPr>
        <w:tc>
          <w:tcPr>
            <w:tcW w:w="5020" w:type="dxa"/>
            <w:vAlign w:val="bottom"/>
            <w:shd w:val="clear" w:color="auto" w:fill="000000"/>
          </w:tcPr>
          <w:p>
            <w:pPr>
              <w:spacing w:after="0"/>
              <w:rPr>
                <w:sz w:val="2"/>
                <w:szCs w:val="2"/>
                <w:color w:val="auto"/>
              </w:rPr>
            </w:pPr>
          </w:p>
        </w:tc>
        <w:tc>
          <w:tcPr>
            <w:tcW w:w="3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4"/>
        </w:trPr>
        <w:tc>
          <w:tcPr>
            <w:tcW w:w="50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1,536,009</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224,448</w:t>
            </w:r>
          </w:p>
        </w:tc>
        <w:tc>
          <w:tcPr>
            <w:tcW w:w="0" w:type="dxa"/>
            <w:vAlign w:val="bottom"/>
          </w:tcPr>
          <w:p>
            <w:pPr>
              <w:spacing w:after="0"/>
              <w:rPr>
                <w:sz w:val="1"/>
                <w:szCs w:val="1"/>
                <w:color w:val="auto"/>
              </w:rPr>
            </w:pPr>
          </w:p>
        </w:tc>
      </w:tr>
      <w:tr>
        <w:trPr>
          <w:trHeight w:val="20"/>
        </w:trPr>
        <w:tc>
          <w:tcPr>
            <w:tcW w:w="87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940" w:type="dxa"/>
            <w:vAlign w:val="bottom"/>
            <w:gridSpan w:val="4"/>
          </w:tcPr>
          <w:p>
            <w:pPr>
              <w:ind w:left="34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703,323</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693,362</w:t>
            </w: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Research agreement obligations</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492,365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492,365</w:t>
            </w:r>
          </w:p>
        </w:tc>
        <w:tc>
          <w:tcPr>
            <w:tcW w:w="0" w:type="dxa"/>
            <w:vAlign w:val="bottom"/>
          </w:tcPr>
          <w:p>
            <w:pPr>
              <w:spacing w:after="0"/>
              <w:rPr>
                <w:sz w:val="1"/>
                <w:szCs w:val="1"/>
                <w:color w:val="auto"/>
              </w:rPr>
            </w:pPr>
          </w:p>
        </w:tc>
      </w:tr>
      <w:tr>
        <w:trPr>
          <w:trHeight w:val="197"/>
        </w:trPr>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Derivative liability – warrants</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2,052,975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9,415</w:t>
            </w:r>
          </w:p>
        </w:tc>
        <w:tc>
          <w:tcPr>
            <w:tcW w:w="0" w:type="dxa"/>
            <w:vAlign w:val="bottom"/>
          </w:tcPr>
          <w:p>
            <w:pPr>
              <w:spacing w:after="0"/>
              <w:rPr>
                <w:sz w:val="1"/>
                <w:szCs w:val="1"/>
                <w:color w:val="auto"/>
              </w:rPr>
            </w:pPr>
          </w:p>
        </w:tc>
      </w:tr>
      <w:tr>
        <w:trPr>
          <w:trHeight w:val="218"/>
        </w:trPr>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Promissory notes</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52,942</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52,942</w:t>
            </w:r>
          </w:p>
        </w:tc>
        <w:tc>
          <w:tcPr>
            <w:tcW w:w="0" w:type="dxa"/>
            <w:vAlign w:val="bottom"/>
          </w:tcPr>
          <w:p>
            <w:pPr>
              <w:spacing w:after="0"/>
              <w:rPr>
                <w:sz w:val="1"/>
                <w:szCs w:val="1"/>
                <w:color w:val="auto"/>
              </w:rPr>
            </w:pPr>
          </w:p>
        </w:tc>
      </w:tr>
      <w:tr>
        <w:trPr>
          <w:trHeight w:val="202"/>
        </w:trPr>
        <w:tc>
          <w:tcPr>
            <w:tcW w:w="5020" w:type="dxa"/>
            <w:vAlign w:val="bottom"/>
            <w:tcBorders>
              <w:top w:val="single" w:sz="8" w:color="auto"/>
              <w:bottom w:val="single" w:sz="8" w:color="auto"/>
            </w:tcBorders>
          </w:tcPr>
          <w:p>
            <w:pPr>
              <w:spacing w:after="0"/>
              <w:rPr>
                <w:sz w:val="17"/>
                <w:szCs w:val="17"/>
                <w:color w:val="auto"/>
              </w:rPr>
            </w:pPr>
          </w:p>
        </w:tc>
        <w:tc>
          <w:tcPr>
            <w:tcW w:w="368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3,301,605</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1,248,084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5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5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 (Deficit)</w:t>
            </w:r>
          </w:p>
        </w:tc>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9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Convertible preferred stock, $0.001 par value — 10,000,000 shares authorized:</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9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Series A, $0.001 par value, 1,250,000 shares designated, -0- shares issued and outstanding as of March 31, 2015 and December</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31, 2014</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Series B, $0.001 par value, 1,500,000 shares designated, -0- shares issued</w:t>
            </w:r>
          </w:p>
        </w:tc>
        <w:tc>
          <w:tcPr>
            <w:tcW w:w="392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and outstanding as of March 31, 2015 and December</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31, 2014</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$0.001 par value, 500,000,000 shares authorized</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32,638,811 shares issued and outstanding (2014 – 20,318,815)</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32,639</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20,319</w:t>
            </w: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85,493,220</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85,265,776</w:t>
            </w:r>
          </w:p>
        </w:tc>
        <w:tc>
          <w:tcPr>
            <w:tcW w:w="0" w:type="dxa"/>
            <w:vAlign w:val="bottom"/>
          </w:tcPr>
          <w:p>
            <w:pPr>
              <w:spacing w:after="0"/>
              <w:rPr>
                <w:sz w:val="1"/>
                <w:szCs w:val="1"/>
                <w:color w:val="auto"/>
              </w:rPr>
            </w:pPr>
          </w:p>
        </w:tc>
      </w:tr>
      <w:tr>
        <w:trPr>
          <w:trHeight w:val="218"/>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(87,291,455)</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(86,309,731)</w:t>
            </w:r>
          </w:p>
        </w:tc>
        <w:tc>
          <w:tcPr>
            <w:tcW w:w="0" w:type="dxa"/>
            <w:vAlign w:val="bottom"/>
          </w:tcPr>
          <w:p>
            <w:pPr>
              <w:spacing w:after="0"/>
              <w:rPr>
                <w:sz w:val="1"/>
                <w:szCs w:val="1"/>
                <w:color w:val="auto"/>
              </w:rPr>
            </w:pPr>
          </w:p>
        </w:tc>
      </w:tr>
      <w:tr>
        <w:trPr>
          <w:trHeight w:val="202"/>
        </w:trPr>
        <w:tc>
          <w:tcPr>
            <w:tcW w:w="5020" w:type="dxa"/>
            <w:vAlign w:val="bottom"/>
            <w:tcBorders>
              <w:top w:val="single" w:sz="8" w:color="auto"/>
              <w:bottom w:val="single" w:sz="8" w:color="auto"/>
            </w:tcBorders>
          </w:tcPr>
          <w:p>
            <w:pPr>
              <w:spacing w:after="0"/>
              <w:rPr>
                <w:sz w:val="17"/>
                <w:szCs w:val="17"/>
                <w:color w:val="auto"/>
              </w:rPr>
            </w:pPr>
          </w:p>
        </w:tc>
        <w:tc>
          <w:tcPr>
            <w:tcW w:w="368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(1,765,596)</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(1,023,636)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5020" w:type="dxa"/>
            <w:vAlign w:val="bottom"/>
          </w:tcPr>
          <w:p>
            <w:pPr>
              <w:spacing w:after="0"/>
              <w:rPr>
                <w:sz w:val="24"/>
                <w:szCs w:val="24"/>
                <w:color w:val="auto"/>
              </w:rPr>
            </w:pPr>
          </w:p>
        </w:tc>
        <w:tc>
          <w:tcPr>
            <w:tcW w:w="3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1,536,009</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224,448</w:t>
            </w:r>
          </w:p>
        </w:tc>
        <w:tc>
          <w:tcPr>
            <w:tcW w:w="0" w:type="dxa"/>
            <w:vAlign w:val="bottom"/>
          </w:tcPr>
          <w:p>
            <w:pPr>
              <w:spacing w:after="0"/>
              <w:rPr>
                <w:sz w:val="1"/>
                <w:szCs w:val="1"/>
                <w:color w:val="auto"/>
              </w:rPr>
            </w:pPr>
          </w:p>
        </w:tc>
      </w:tr>
      <w:tr>
        <w:trPr>
          <w:trHeight w:val="20"/>
        </w:trPr>
        <w:tc>
          <w:tcPr>
            <w:tcW w:w="5020" w:type="dxa"/>
            <w:vAlign w:val="bottom"/>
            <w:tcBorders>
              <w:top w:val="single" w:sz="8" w:color="auto"/>
              <w:bottom w:val="single" w:sz="8" w:color="auto"/>
            </w:tcBorders>
          </w:tcPr>
          <w:p>
            <w:pPr>
              <w:spacing w:after="0" w:line="20" w:lineRule="exact"/>
              <w:rPr>
                <w:sz w:val="1"/>
                <w:szCs w:val="1"/>
                <w:color w:val="auto"/>
              </w:rPr>
            </w:pPr>
          </w:p>
        </w:tc>
        <w:tc>
          <w:tcPr>
            <w:tcW w:w="3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3" w:name="page74"/>
    <w:bookmarkEnd w:id="73"/>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TAPIMMUNE INC.</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LOSS</w:t>
      </w:r>
    </w:p>
    <w:p>
      <w:pPr>
        <w:spacing w:after="0" w:line="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7258685"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-243840</wp:posOffset>
            </wp:positionV>
            <wp:extent cx="5521960"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21960" cy="15875"/>
                    </a:xfrm>
                    <a:prstGeom prst="rect">
                      <a:avLst/>
                    </a:prstGeom>
                    <a:noFill/>
                  </pic:spPr>
                </pic:pic>
              </a:graphicData>
            </a:graphic>
          </wp:anchor>
        </w:drawing>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p>
      <w:pPr>
        <w:spacing w:after="0" w:line="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5521960"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21960" cy="1587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Loss from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Changes in fair value of derivative liabilities</w:t>
      </w:r>
    </w:p>
    <w:p>
      <w:pPr>
        <w:spacing w:after="0" w:line="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Accretion of discount on convertible notes</w:t>
      </w:r>
    </w:p>
    <w:p>
      <w:pPr>
        <w:spacing w:after="0" w:line="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Interest and financing charges</w:t>
      </w:r>
    </w:p>
    <w:p>
      <w:pPr>
        <w:spacing w:after="0" w:line="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5521960"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21960" cy="1587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5521960"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21960" cy="1587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comprehensive income</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Foreign exchange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5521960"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21960" cy="1587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552196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219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45085</wp:posOffset>
            </wp:positionV>
            <wp:extent cx="552196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21960" cy="762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Basic and Diluted Net Loss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552196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219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31115</wp:posOffset>
            </wp:positionV>
            <wp:extent cx="552196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2196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00" w:type="dxa"/>
            <w:vAlign w:val="bottom"/>
          </w:tcPr>
          <w:p>
            <w:pPr>
              <w:spacing w:after="0"/>
              <w:rPr>
                <w:sz w:val="17"/>
                <w:szCs w:val="17"/>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color w:val="auto"/>
              </w:rPr>
              <w:t>Three Months</w:t>
            </w:r>
          </w:p>
        </w:tc>
        <w:tc>
          <w:tcPr>
            <w:tcW w:w="10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Three Months</w:t>
            </w:r>
          </w:p>
        </w:tc>
      </w:tr>
      <w:tr>
        <w:trPr>
          <w:trHeight w:val="197"/>
        </w:trPr>
        <w:tc>
          <w:tcPr>
            <w:tcW w:w="100" w:type="dxa"/>
            <w:vAlign w:val="bottom"/>
          </w:tcPr>
          <w:p>
            <w:pPr>
              <w:spacing w:after="0"/>
              <w:rPr>
                <w:sz w:val="17"/>
                <w:szCs w:val="17"/>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color w:val="auto"/>
              </w:rPr>
              <w:t>Ended</w:t>
            </w:r>
          </w:p>
        </w:tc>
        <w:tc>
          <w:tcPr>
            <w:tcW w:w="10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Ended</w:t>
            </w:r>
          </w:p>
        </w:tc>
      </w:tr>
      <w:tr>
        <w:trPr>
          <w:trHeight w:val="197"/>
        </w:trPr>
        <w:tc>
          <w:tcPr>
            <w:tcW w:w="100" w:type="dxa"/>
            <w:vAlign w:val="bottom"/>
          </w:tcPr>
          <w:p>
            <w:pPr>
              <w:spacing w:after="0"/>
              <w:rPr>
                <w:sz w:val="17"/>
                <w:szCs w:val="17"/>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color w:val="auto"/>
              </w:rPr>
              <w:t>March 31,</w:t>
            </w:r>
          </w:p>
        </w:tc>
        <w:tc>
          <w:tcPr>
            <w:tcW w:w="10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March 31,</w:t>
            </w:r>
          </w:p>
        </w:tc>
      </w:tr>
      <w:tr>
        <w:trPr>
          <w:trHeight w:val="218"/>
        </w:trPr>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color w:val="auto"/>
              </w:rPr>
              <w:t>2015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color w:val="auto"/>
              </w:rPr>
              <w:t>2014</w:t>
            </w:r>
          </w:p>
        </w:tc>
        <w:tc>
          <w:tcPr>
            <w:tcW w:w="60" w:type="dxa"/>
            <w:vAlign w:val="bottom"/>
          </w:tcPr>
          <w:p>
            <w:pPr>
              <w:spacing w:after="0"/>
              <w:rPr>
                <w:sz w:val="18"/>
                <w:szCs w:val="18"/>
                <w:color w:val="auto"/>
              </w:rPr>
            </w:pPr>
          </w:p>
        </w:tc>
      </w:tr>
      <w:tr>
        <w:trPr>
          <w:trHeight w:val="575"/>
        </w:trPr>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418,786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1,164,098</w:t>
            </w:r>
          </w:p>
        </w:tc>
      </w:tr>
      <w:tr>
        <w:trPr>
          <w:trHeight w:val="218"/>
        </w:trPr>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609,378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22,500</w:t>
            </w:r>
          </w:p>
        </w:tc>
        <w:tc>
          <w:tcPr>
            <w:tcW w:w="60" w:type="dxa"/>
            <w:vAlign w:val="bottom"/>
          </w:tcPr>
          <w:p>
            <w:pPr>
              <w:spacing w:after="0"/>
              <w:rPr>
                <w:sz w:val="18"/>
                <w:szCs w:val="18"/>
                <w:color w:val="auto"/>
              </w:rPr>
            </w:pPr>
          </w:p>
        </w:tc>
      </w:tr>
      <w:tr>
        <w:trPr>
          <w:trHeight w:val="395"/>
        </w:trPr>
        <w:tc>
          <w:tcPr>
            <w:tcW w:w="100" w:type="dxa"/>
            <w:vAlign w:val="bottom"/>
          </w:tcPr>
          <w:p>
            <w:pPr>
              <w:spacing w:after="0"/>
              <w:rPr>
                <w:sz w:val="24"/>
                <w:szCs w:val="24"/>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(1,028,164)</w:t>
            </w:r>
          </w:p>
        </w:tc>
        <w:tc>
          <w:tcPr>
            <w:tcW w:w="1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(1,186,598)</w:t>
            </w:r>
          </w:p>
        </w:tc>
      </w:tr>
      <w:tr>
        <w:trPr>
          <w:trHeight w:val="574"/>
        </w:trPr>
        <w:tc>
          <w:tcPr>
            <w:tcW w:w="10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46,440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(338,297)</w:t>
            </w:r>
          </w:p>
        </w:tc>
      </w:tr>
      <w:tr>
        <w:trPr>
          <w:trHeight w:val="197"/>
        </w:trPr>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483,636)</w:t>
            </w:r>
          </w:p>
        </w:tc>
      </w:tr>
      <w:tr>
        <w:trPr>
          <w:trHeight w:val="197"/>
        </w:trPr>
        <w:tc>
          <w:tcPr>
            <w:tcW w:w="10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(35,269)</w:t>
            </w:r>
          </w:p>
        </w:tc>
      </w:tr>
      <w:tr>
        <w:trPr>
          <w:trHeight w:val="214"/>
        </w:trPr>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(27,663,430)</w:t>
            </w:r>
          </w:p>
        </w:tc>
      </w:tr>
      <w:tr>
        <w:trPr>
          <w:trHeight w:val="25"/>
        </w:trPr>
        <w:tc>
          <w:tcPr>
            <w:tcW w:w="100" w:type="dxa"/>
            <w:vAlign w:val="bottom"/>
            <w:shd w:val="clear" w:color="auto" w:fill="000000"/>
          </w:tcPr>
          <w:p>
            <w:pPr>
              <w:spacing w:after="0"/>
              <w:rPr>
                <w:sz w:val="2"/>
                <w:szCs w:val="2"/>
                <w:color w:val="auto"/>
              </w:rPr>
            </w:pPr>
          </w:p>
        </w:tc>
        <w:tc>
          <w:tcPr>
            <w:tcW w:w="106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94"/>
        </w:trPr>
        <w:tc>
          <w:tcPr>
            <w:tcW w:w="100" w:type="dxa"/>
            <w:vAlign w:val="bottom"/>
          </w:tcPr>
          <w:p>
            <w:pPr>
              <w:spacing w:after="0"/>
              <w:rPr>
                <w:sz w:val="24"/>
                <w:szCs w:val="24"/>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(981,724)</w:t>
            </w:r>
          </w:p>
        </w:tc>
        <w:tc>
          <w:tcPr>
            <w:tcW w:w="1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(29,707,230)</w:t>
            </w:r>
          </w:p>
        </w:tc>
      </w:tr>
      <w:tr>
        <w:trPr>
          <w:trHeight w:val="25"/>
        </w:trPr>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591"/>
        </w:trPr>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(1,249)</w:t>
            </w:r>
          </w:p>
        </w:tc>
      </w:tr>
      <w:tr>
        <w:trPr>
          <w:trHeight w:val="25"/>
        </w:trPr>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94"/>
        </w:trPr>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(981,724)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(29,708,479)</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81"/>
        </w:trPr>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(3.89)</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7" w:lineRule="exact"/>
        <w:rPr>
          <w:sz w:val="20"/>
          <w:szCs w:val="20"/>
          <w:color w:val="auto"/>
        </w:rPr>
      </w:pPr>
    </w:p>
    <w:p>
      <w:pPr>
        <w:sectPr>
          <w:pgSz w:w="11900" w:h="16838" w:orient="portrait"/>
          <w:cols w:equalWidth="0" w:num="2">
            <w:col w:w="8100" w:space="720"/>
            <w:col w:w="2560"/>
          </w:cols>
          <w:pgMar w:left="240" w:top="476" w:right="279" w:bottom="1440" w:gutter="0" w:footer="0" w:header="0"/>
          <w:type w:val="continuous"/>
        </w:sectPr>
      </w:pPr>
    </w:p>
    <w:tbl>
      <w:tblPr>
        <w:tblLayout w:type="fixed"/>
        <w:tblInd w:w="0" w:type="dxa"/>
        <w:tblCellMar>
          <w:top w:w="0" w:type="dxa"/>
          <w:left w:w="0" w:type="dxa"/>
          <w:bottom w:w="0" w:type="dxa"/>
          <w:right w:w="0" w:type="dxa"/>
        </w:tblCellMar>
      </w:tblPr>
      <w:tr>
        <w:trPr>
          <w:trHeight w:val="197"/>
        </w:trPr>
        <w:tc>
          <w:tcPr>
            <w:tcW w:w="5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w:t>
            </w:r>
          </w:p>
        </w:tc>
        <w:tc>
          <w:tcPr>
            <w:tcW w:w="46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8"/>
        </w:trPr>
        <w:tc>
          <w:tcPr>
            <w:tcW w:w="5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Common Shares Outstanding</w:t>
            </w:r>
          </w:p>
        </w:tc>
        <w:tc>
          <w:tcPr>
            <w:tcW w:w="46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rPr>
              <w:t>27,611,255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7,631,669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88200" cy="311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8200" cy="3111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16"/>
          <w:szCs w:val="16"/>
          <w:b w:val="1"/>
          <w:bCs w:val="1"/>
          <w:color w:val="auto"/>
        </w:rPr>
        <w:t>TAPIMMUNE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STOCKHOLDERS’ EQUITY (DEFICIT)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Accumulated</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r>
        <w:trPr>
          <w:trHeight w:val="214"/>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4"/>
          </w:tcPr>
          <w:p>
            <w:pPr>
              <w:jc w:val="right"/>
              <w:ind w:right="880"/>
              <w:spacing w:after="0"/>
              <w:rPr>
                <w:sz w:val="20"/>
                <w:szCs w:val="20"/>
                <w:color w:val="auto"/>
              </w:rPr>
            </w:pPr>
            <w:r>
              <w:rPr>
                <w:rFonts w:ascii="Times New Roman" w:cs="Times New Roman" w:eastAsia="Times New Roman" w:hAnsi="Times New Roman"/>
                <w:sz w:val="16"/>
                <w:szCs w:val="16"/>
                <w:color w:val="auto"/>
              </w:rPr>
              <w:t>Common Stock</w:t>
            </w:r>
          </w:p>
        </w:tc>
        <w:tc>
          <w:tcPr>
            <w:tcW w:w="12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Additional</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Other</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7"/>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Number of</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Paid In</w:t>
            </w:r>
          </w:p>
        </w:tc>
        <w:tc>
          <w:tcPr>
            <w:tcW w:w="80" w:type="dxa"/>
            <w:vAlign w:val="bottom"/>
          </w:tcPr>
          <w:p>
            <w:pPr>
              <w:spacing w:after="0"/>
              <w:rPr>
                <w:sz w:val="24"/>
                <w:szCs w:val="24"/>
                <w:color w:val="auto"/>
              </w:rPr>
            </w:pPr>
          </w:p>
        </w:tc>
        <w:tc>
          <w:tcPr>
            <w:tcW w:w="1260" w:type="dxa"/>
            <w:vAlign w:val="bottom"/>
            <w:gridSpan w:val="2"/>
          </w:tcPr>
          <w:p>
            <w:pPr>
              <w:jc w:val="right"/>
              <w:ind w:right="178"/>
              <w:spacing w:after="0"/>
              <w:rPr>
                <w:sz w:val="20"/>
                <w:szCs w:val="20"/>
                <w:color w:val="auto"/>
              </w:rPr>
            </w:pPr>
            <w:r>
              <w:rPr>
                <w:rFonts w:ascii="Times New Roman" w:cs="Times New Roman" w:eastAsia="Times New Roman" w:hAnsi="Times New Roman"/>
                <w:sz w:val="16"/>
                <w:szCs w:val="16"/>
                <w:color w:val="auto"/>
              </w:rPr>
              <w:t>Accumulated</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Comprehensive</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tcPr>
          <w:p>
            <w:pPr>
              <w:spacing w:after="0"/>
              <w:rPr>
                <w:sz w:val="17"/>
                <w:szCs w:val="17"/>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Capital</w:t>
            </w:r>
          </w:p>
        </w:tc>
        <w:tc>
          <w:tcPr>
            <w:tcW w:w="80" w:type="dxa"/>
            <w:vAlign w:val="bottom"/>
          </w:tcPr>
          <w:p>
            <w:pPr>
              <w:spacing w:after="0"/>
              <w:rPr>
                <w:sz w:val="17"/>
                <w:szCs w:val="17"/>
                <w:color w:val="auto"/>
              </w:rPr>
            </w:pPr>
          </w:p>
        </w:tc>
        <w:tc>
          <w:tcPr>
            <w:tcW w:w="1260" w:type="dxa"/>
            <w:vAlign w:val="bottom"/>
            <w:gridSpan w:val="2"/>
          </w:tcPr>
          <w:p>
            <w:pPr>
              <w:jc w:val="right"/>
              <w:ind w:right="378"/>
              <w:spacing w:after="0"/>
              <w:rPr>
                <w:sz w:val="20"/>
                <w:szCs w:val="20"/>
                <w:color w:val="auto"/>
              </w:rPr>
            </w:pPr>
            <w:r>
              <w:rPr>
                <w:rFonts w:ascii="Times New Roman" w:cs="Times New Roman" w:eastAsia="Times New Roman" w:hAnsi="Times New Roman"/>
                <w:sz w:val="16"/>
                <w:szCs w:val="16"/>
                <w:color w:val="auto"/>
              </w:rPr>
              <w:t>Deficit</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Loss</w:t>
            </w:r>
          </w:p>
        </w:tc>
        <w:tc>
          <w:tcPr>
            <w:tcW w:w="220" w:type="dxa"/>
            <w:vAlign w:val="bottom"/>
          </w:tcPr>
          <w:p>
            <w:pPr>
              <w:spacing w:after="0"/>
              <w:rPr>
                <w:sz w:val="17"/>
                <w:szCs w:val="17"/>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Total</w:t>
            </w:r>
          </w:p>
        </w:tc>
      </w:tr>
      <w:tr>
        <w:trPr>
          <w:trHeight w:val="218"/>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978"/>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260" w:type="dxa"/>
            <w:vAlign w:val="bottom"/>
            <w:gridSpan w:val="2"/>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r>
        <w:trPr>
          <w:trHeight w:val="214"/>
        </w:trPr>
        <w:tc>
          <w:tcPr>
            <w:tcW w:w="3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Balance, December 31, 2014</w:t>
            </w: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20,318,816</w:t>
            </w:r>
          </w:p>
        </w:tc>
        <w:tc>
          <w:tcPr>
            <w:tcW w:w="24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85,265,776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(86,309,731)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(1,023,636)</w:t>
            </w:r>
          </w:p>
        </w:tc>
        <w:tc>
          <w:tcPr>
            <w:tcW w:w="100" w:type="dxa"/>
            <w:vAlign w:val="bottom"/>
          </w:tcPr>
          <w:p>
            <w:pPr>
              <w:spacing w:after="0"/>
              <w:rPr>
                <w:sz w:val="18"/>
                <w:szCs w:val="18"/>
                <w:color w:val="auto"/>
              </w:rPr>
            </w:pPr>
          </w:p>
        </w:tc>
      </w:tr>
      <w:tr>
        <w:trPr>
          <w:trHeight w:val="360"/>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Private placement (net of finders’ fee of</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$140,000)</w:t>
            </w: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12,319,995</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12,320</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2,313,694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2,326,014</w:t>
            </w:r>
          </w:p>
        </w:tc>
      </w:tr>
      <w:tr>
        <w:trPr>
          <w:trHeight w:val="197"/>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warrants recognized as derivative</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(2,090,000)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(2,090,000)</w:t>
            </w:r>
          </w:p>
        </w:tc>
      </w:tr>
      <w:tr>
        <w:trPr>
          <w:trHeight w:val="197"/>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3,750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3,750</w:t>
            </w:r>
          </w:p>
        </w:tc>
      </w:tr>
      <w:tr>
        <w:trPr>
          <w:trHeight w:val="218"/>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(981,724)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(981,724)</w:t>
            </w:r>
          </w:p>
        </w:tc>
      </w:tr>
      <w:tr>
        <w:trPr>
          <w:trHeight w:val="197"/>
        </w:trPr>
        <w:tc>
          <w:tcPr>
            <w:tcW w:w="3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Balance, March 31, 2015</w:t>
            </w:r>
          </w:p>
        </w:tc>
        <w:tc>
          <w:tcPr>
            <w:tcW w:w="1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32,638,811</w:t>
            </w:r>
          </w:p>
        </w:tc>
        <w:tc>
          <w:tcPr>
            <w:tcW w:w="24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85,493,220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(87,291,455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(1,765,596)</w:t>
            </w:r>
          </w:p>
        </w:tc>
        <w:tc>
          <w:tcPr>
            <w:tcW w:w="100" w:type="dxa"/>
            <w:vAlign w:val="bottom"/>
          </w:tcPr>
          <w:p>
            <w:pPr>
              <w:spacing w:after="0"/>
              <w:rPr>
                <w:sz w:val="17"/>
                <w:szCs w:val="17"/>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6"/>
          <w:szCs w:val="16"/>
          <w:b w:val="1"/>
          <w:bCs w:val="1"/>
          <w:color w:val="auto"/>
        </w:rPr>
        <w:t>TAPIMMUNE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Three Months</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Three Months</w:t>
            </w:r>
          </w:p>
        </w:tc>
      </w:tr>
      <w:tr>
        <w:trPr>
          <w:trHeight w:val="197"/>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Ended</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Ended</w:t>
            </w:r>
          </w:p>
        </w:tc>
      </w:tr>
      <w:tr>
        <w:trPr>
          <w:trHeight w:val="197"/>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March 31,</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March 31,</w:t>
            </w:r>
          </w:p>
        </w:tc>
      </w:tr>
      <w:tr>
        <w:trPr>
          <w:trHeight w:val="218"/>
        </w:trPr>
        <w:tc>
          <w:tcPr>
            <w:tcW w:w="8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color w:val="auto"/>
              </w:rPr>
              <w:t>2015</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color w:val="auto"/>
              </w:rPr>
              <w:t>2014</w:t>
            </w:r>
          </w:p>
        </w:tc>
        <w:tc>
          <w:tcPr>
            <w:tcW w:w="100" w:type="dxa"/>
            <w:vAlign w:val="bottom"/>
          </w:tcPr>
          <w:p>
            <w:pPr>
              <w:spacing w:after="0"/>
              <w:rPr>
                <w:sz w:val="18"/>
                <w:szCs w:val="18"/>
                <w:color w:val="auto"/>
              </w:rPr>
            </w:pPr>
          </w:p>
        </w:tc>
      </w:tr>
      <w:tr>
        <w:trPr>
          <w:trHeight w:val="378"/>
        </w:trPr>
        <w:tc>
          <w:tcPr>
            <w:tcW w:w="8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(981,724)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(29,707,230)</w:t>
            </w:r>
          </w:p>
        </w:tc>
      </w:tr>
      <w:tr>
        <w:trPr>
          <w:trHeight w:val="197"/>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loss to</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8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Changes in fair value of derivative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(46,440)</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338,297</w:t>
            </w:r>
          </w:p>
        </w:tc>
      </w:tr>
      <w:tr>
        <w:trPr>
          <w:trHeight w:val="197"/>
        </w:trPr>
        <w:tc>
          <w:tcPr>
            <w:tcW w:w="8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27,663,430</w:t>
            </w:r>
          </w:p>
        </w:tc>
      </w:tr>
      <w:tr>
        <w:trPr>
          <w:trHeight w:val="197"/>
        </w:trPr>
        <w:tc>
          <w:tcPr>
            <w:tcW w:w="8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Non-cash interest and finance charges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483,636</w:t>
            </w:r>
          </w:p>
        </w:tc>
      </w:tr>
      <w:tr>
        <w:trPr>
          <w:trHeight w:val="197"/>
        </w:trPr>
        <w:tc>
          <w:tcPr>
            <w:tcW w:w="8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690,000</w:t>
            </w:r>
          </w:p>
        </w:tc>
      </w:tr>
      <w:tr>
        <w:trPr>
          <w:trHeight w:val="197"/>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8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9, 961</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158,913</w:t>
            </w:r>
          </w:p>
        </w:tc>
      </w:tr>
      <w:tr>
        <w:trPr>
          <w:trHeight w:val="202"/>
        </w:trPr>
        <w:tc>
          <w:tcPr>
            <w:tcW w:w="8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(1,014,453)</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(372,954)</w:t>
            </w:r>
          </w:p>
        </w:tc>
        <w:tc>
          <w:tcPr>
            <w:tcW w:w="100" w:type="dxa"/>
            <w:vAlign w:val="bottom"/>
          </w:tcPr>
          <w:p>
            <w:pPr>
              <w:spacing w:after="0"/>
              <w:rPr>
                <w:sz w:val="17"/>
                <w:szCs w:val="17"/>
                <w:color w:val="auto"/>
              </w:rPr>
            </w:pPr>
          </w:p>
        </w:tc>
      </w:tr>
      <w:tr>
        <w:trPr>
          <w:trHeight w:val="378"/>
        </w:trPr>
        <w:tc>
          <w:tcPr>
            <w:tcW w:w="8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8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shares, net of issuance costs of $140,000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2,326,014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8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Convertible note issuance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418,000</w:t>
            </w:r>
          </w:p>
        </w:tc>
      </w:tr>
      <w:tr>
        <w:trPr>
          <w:trHeight w:val="202"/>
        </w:trPr>
        <w:tc>
          <w:tcPr>
            <w:tcW w:w="8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2,326,014</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418,000</w:t>
            </w:r>
          </w:p>
        </w:tc>
        <w:tc>
          <w:tcPr>
            <w:tcW w:w="100" w:type="dxa"/>
            <w:vAlign w:val="bottom"/>
          </w:tcPr>
          <w:p>
            <w:pPr>
              <w:spacing w:after="0"/>
              <w:rPr>
                <w:sz w:val="17"/>
                <w:szCs w:val="17"/>
                <w:color w:val="auto"/>
              </w:rPr>
            </w:pPr>
          </w:p>
        </w:tc>
      </w:tr>
      <w:tr>
        <w:trPr>
          <w:trHeight w:val="395"/>
        </w:trPr>
        <w:tc>
          <w:tcPr>
            <w:tcW w:w="8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INCREASE IN CASH</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1,311,561</w:t>
            </w: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45,046</w:t>
            </w:r>
          </w:p>
        </w:tc>
      </w:tr>
      <w:tr>
        <w:trPr>
          <w:trHeight w:val="398"/>
        </w:trPr>
        <w:tc>
          <w:tcPr>
            <w:tcW w:w="8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BEGINNING OF PERIOD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141,944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48,589</w:t>
            </w:r>
          </w:p>
        </w:tc>
      </w:tr>
      <w:tr>
        <w:trPr>
          <w:trHeight w:val="197"/>
        </w:trPr>
        <w:tc>
          <w:tcPr>
            <w:tcW w:w="8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CASH, END OF PERIOD</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1,453,505</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93,635</w:t>
            </w:r>
          </w:p>
        </w:tc>
        <w:tc>
          <w:tcPr>
            <w:tcW w:w="100" w:type="dxa"/>
            <w:vAlign w:val="bottom"/>
          </w:tcPr>
          <w:p>
            <w:pPr>
              <w:spacing w:after="0"/>
              <w:rPr>
                <w:sz w:val="17"/>
                <w:szCs w:val="17"/>
                <w:color w:val="auto"/>
              </w:rPr>
            </w:pPr>
          </w:p>
        </w:tc>
      </w:tr>
      <w:tr>
        <w:trPr>
          <w:trHeight w:val="20"/>
        </w:trPr>
        <w:tc>
          <w:tcPr>
            <w:tcW w:w="8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6"/>
          <w:szCs w:val="16"/>
          <w:b w:val="1"/>
          <w:bCs w:val="1"/>
          <w:color w:val="auto"/>
        </w:rPr>
        <w:t>TAPIMMUNE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Three Months</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Three Months</w:t>
            </w:r>
          </w:p>
        </w:tc>
      </w:tr>
      <w:tr>
        <w:trPr>
          <w:trHeight w:val="197"/>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Ended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Ended</w:t>
            </w:r>
          </w:p>
        </w:tc>
      </w:tr>
      <w:tr>
        <w:trPr>
          <w:trHeight w:val="197"/>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March 31,</w:t>
            </w:r>
          </w:p>
        </w:tc>
      </w:tr>
      <w:tr>
        <w:trPr>
          <w:trHeight w:val="218"/>
        </w:trPr>
        <w:tc>
          <w:tcPr>
            <w:tcW w:w="8700" w:type="dxa"/>
            <w:vAlign w:val="bottom"/>
          </w:tcPr>
          <w:p>
            <w:pPr>
              <w:spacing w:after="0"/>
              <w:rPr>
                <w:sz w:val="18"/>
                <w:szCs w:val="18"/>
                <w:color w:val="auto"/>
              </w:rPr>
            </w:pPr>
          </w:p>
        </w:tc>
        <w:tc>
          <w:tcPr>
            <w:tcW w:w="1180" w:type="dxa"/>
            <w:vAlign w:val="bottom"/>
            <w:gridSpan w:val="2"/>
          </w:tcPr>
          <w:p>
            <w:pPr>
              <w:jc w:val="center"/>
              <w:ind w:left="118"/>
              <w:spacing w:after="0"/>
              <w:rPr>
                <w:sz w:val="20"/>
                <w:szCs w:val="20"/>
                <w:color w:val="auto"/>
              </w:rPr>
            </w:pPr>
            <w:r>
              <w:rPr>
                <w:rFonts w:ascii="Times New Roman" w:cs="Times New Roman" w:eastAsia="Times New Roman" w:hAnsi="Times New Roman"/>
                <w:sz w:val="16"/>
                <w:szCs w:val="16"/>
                <w:color w:val="auto"/>
              </w:rPr>
              <w:t>2015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rPr>
              <w:t>2014</w:t>
            </w:r>
          </w:p>
        </w:tc>
        <w:tc>
          <w:tcPr>
            <w:tcW w:w="100" w:type="dxa"/>
            <w:vAlign w:val="bottom"/>
          </w:tcPr>
          <w:p>
            <w:pPr>
              <w:spacing w:after="0"/>
              <w:rPr>
                <w:sz w:val="18"/>
                <w:szCs w:val="18"/>
                <w:color w:val="auto"/>
              </w:rPr>
            </w:pPr>
          </w:p>
        </w:tc>
      </w:tr>
      <w:tr>
        <w:trPr>
          <w:trHeight w:val="395"/>
        </w:trPr>
        <w:tc>
          <w:tcPr>
            <w:tcW w:w="8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SUPPLEMENTAL SCHEDULE OF NON-CASH ACTIVITIES</w:t>
            </w:r>
          </w:p>
        </w:tc>
        <w:tc>
          <w:tcPr>
            <w:tcW w:w="1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94"/>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settled in common stock</w:t>
            </w:r>
          </w:p>
        </w:tc>
        <w:tc>
          <w:tcPr>
            <w:tcW w:w="1180" w:type="dxa"/>
            <w:vAlign w:val="bottom"/>
            <w:gridSpan w:val="2"/>
          </w:tcPr>
          <w:p>
            <w:pPr>
              <w:jc w:val="right"/>
              <w:ind w:right="89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513,000</w:t>
            </w:r>
          </w:p>
        </w:tc>
      </w:tr>
      <w:tr>
        <w:trPr>
          <w:trHeight w:val="377"/>
        </w:trPr>
        <w:tc>
          <w:tcPr>
            <w:tcW w:w="8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Conversion of debt obligations into common stock:</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Accrued interest</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476,000</w:t>
            </w:r>
          </w:p>
        </w:tc>
      </w:tr>
      <w:tr>
        <w:trPr>
          <w:trHeight w:val="197"/>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Convertible notes payable</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3,293,000</w:t>
            </w:r>
          </w:p>
        </w:tc>
      </w:tr>
      <w:tr>
        <w:trPr>
          <w:trHeight w:val="197"/>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Loans payable, related party</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42,000</w:t>
            </w:r>
          </w:p>
        </w:tc>
      </w:tr>
      <w:tr>
        <w:trPr>
          <w:trHeight w:val="197"/>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Promissory notes, related party</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210,000</w:t>
            </w:r>
          </w:p>
        </w:tc>
      </w:tr>
      <w:tr>
        <w:trPr>
          <w:trHeight w:val="197"/>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Due to related parties</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369,000</w:t>
            </w:r>
          </w:p>
        </w:tc>
      </w:tr>
      <w:tr>
        <w:trPr>
          <w:trHeight w:val="214"/>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Fair value derivative liability – conversion option at conversion</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708,000</w:t>
            </w:r>
          </w:p>
        </w:tc>
      </w:tr>
      <w:tr>
        <w:trPr>
          <w:trHeight w:val="398"/>
        </w:trPr>
        <w:tc>
          <w:tcPr>
            <w:tcW w:w="8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698" w:right="2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TAPIMMUNE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March 31, 2015</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(Unaudited)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NATURE OF OPERATIONS</w:t>
      </w:r>
    </w:p>
    <w:p>
      <w:pPr>
        <w:spacing w:after="0" w:line="2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BASIS OF PRESENTATION</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accompanying unaudited condensed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The condensed consolidated balance sheet as of March 31, 2015, condensed consolidated statements of interim financials include all adjustments, consisting only of normal recurring adjustments, which the Company considers necessary for a fair presentation of the financial position, operating results and cash flows for the periods presented.</w:t>
      </w:r>
    </w:p>
    <w:p>
      <w:pPr>
        <w:spacing w:after="0" w:line="188" w:lineRule="exact"/>
        <w:rPr>
          <w:sz w:val="20"/>
          <w:szCs w:val="20"/>
          <w:color w:val="auto"/>
        </w:rPr>
      </w:pPr>
    </w:p>
    <w:p>
      <w:pPr>
        <w:jc w:val="both"/>
        <w:ind w:firstLine="47"/>
        <w:spacing w:after="0" w:line="270" w:lineRule="auto"/>
        <w:rPr>
          <w:sz w:val="20"/>
          <w:szCs w:val="20"/>
          <w:color w:val="auto"/>
        </w:rPr>
      </w:pPr>
      <w:r>
        <w:rPr>
          <w:rFonts w:ascii="Times New Roman" w:cs="Times New Roman" w:eastAsia="Times New Roman" w:hAnsi="Times New Roman"/>
          <w:sz w:val="16"/>
          <w:szCs w:val="16"/>
          <w:color w:val="auto"/>
        </w:rPr>
        <w:t>The results for the statement of operations are not necessarily indicative of results to be expected for the year ending December 31, 2015 or for any future interim period. The condensed balance sheet at December 31, 2014 has been derived from audited financial statements; however, it does not include all of the information and notes required by U.S. GAAP for complete financial statements. The accompanying condensed financial statements should be read in conjunction with the consolidated financial statements for the year ended December 31, 2014, and notes thereto included in the Company’s annual report on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LIQUIDITY AND FINANCIAL CONDITION</w:t>
      </w:r>
    </w:p>
    <w:p>
      <w:pPr>
        <w:spacing w:after="0" w:line="2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From inception, the Company has been funded by a combination of equity and debt financings.</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As of March 31, 2015, the Company had cash and cash equivalents of approximately $1,454,000. Historically, the Company has net losses and negative cash flows from operations. The Company believes its current capital resources are not sufficient to support its operations. Management intends to continue its research efforts and to finance operations of the Company through debt and/or equity financings. Management plans to seek additional debt and/or equity financing through private or public offerings or through a business combination or strategic partnership. There can be no assurance that the Company will be successful in obtaining additional financing on favorable terms, or at all. These matters raise substantial doubt about the Company’s ability to continue as a going concern. The financial statements do not include any adjustments that might result from the outcome of these uncertainties.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color w:val="auto"/>
        </w:rPr>
        <w:t>NOTE 4: SIGNIFICANT ACCOUNTING POLICIES</w:t>
      </w:r>
    </w:p>
    <w:p>
      <w:pPr>
        <w:spacing w:after="0" w:line="23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There have been no material changes in the Company’s significant accounting policies to those previously disclosed in the Company’s annual report on Form 10-K, which was filed with the SEC on April 15,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Prior Period Reclassifications</w:t>
      </w:r>
    </w:p>
    <w:p>
      <w:pPr>
        <w:spacing w:after="0" w:line="23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Certain prior period amounts that were combined in the March 31, 2014 consolidated financial statements have been reclassified for comparability with the March 31, 2015 presentation. These reclassifications had no effect on previously reported net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POTENTIALLY DILUTIVE SECURITIES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Options, warrants, and convertible debt outstanding were all considered anti-dilutive for the three months ended March 31, 2015 and 2014, due to net losses.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securities were not included in the diluted net loss per share calculation because their effect was anti-dilutive as of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20" w:type="dxa"/>
            <w:vAlign w:val="bottom"/>
          </w:tcPr>
          <w:p>
            <w:pPr>
              <w:spacing w:after="0"/>
              <w:rPr>
                <w:sz w:val="19"/>
                <w:szCs w:val="19"/>
                <w:color w:val="auto"/>
              </w:rPr>
            </w:pPr>
          </w:p>
        </w:tc>
        <w:tc>
          <w:tcPr>
            <w:tcW w:w="16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40" w:type="dxa"/>
            <w:vAlign w:val="bottom"/>
            <w:tcBorders>
              <w:bottom w:val="single" w:sz="8" w:color="auto"/>
            </w:tcBorders>
          </w:tcPr>
          <w:p>
            <w:pPr>
              <w:spacing w:after="0"/>
              <w:rPr>
                <w:sz w:val="19"/>
                <w:szCs w:val="19"/>
                <w:color w:val="auto"/>
              </w:rPr>
            </w:pPr>
          </w:p>
        </w:tc>
      </w:tr>
      <w:tr>
        <w:trPr>
          <w:trHeight w:val="202"/>
        </w:trPr>
        <w:tc>
          <w:tcPr>
            <w:tcW w:w="8820" w:type="dxa"/>
            <w:vAlign w:val="bottom"/>
          </w:tcPr>
          <w:p>
            <w:pPr>
              <w:spacing w:after="0"/>
              <w:rPr>
                <w:sz w:val="17"/>
                <w:szCs w:val="17"/>
                <w:color w:val="auto"/>
              </w:rPr>
            </w:pPr>
          </w:p>
        </w:tc>
        <w:tc>
          <w:tcPr>
            <w:tcW w:w="114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2015</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181"/>
        </w:trPr>
        <w:tc>
          <w:tcPr>
            <w:tcW w:w="88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Common stock options</w:t>
            </w:r>
          </w:p>
        </w:tc>
        <w:tc>
          <w:tcPr>
            <w:tcW w:w="11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65,000</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65,000</w:t>
            </w:r>
          </w:p>
        </w:tc>
      </w:tr>
      <w:tr>
        <w:trPr>
          <w:trHeight w:val="197"/>
        </w:trPr>
        <w:tc>
          <w:tcPr>
            <w:tcW w:w="88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warrants - equity treatment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52,229,000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193,000</w:t>
            </w:r>
          </w:p>
        </w:tc>
      </w:tr>
      <w:tr>
        <w:trPr>
          <w:trHeight w:val="197"/>
        </w:trPr>
        <w:tc>
          <w:tcPr>
            <w:tcW w:w="88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warrants - liability treatment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12,514,000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57,000</w:t>
            </w:r>
          </w:p>
        </w:tc>
      </w:tr>
      <w:tr>
        <w:trPr>
          <w:trHeight w:val="218"/>
        </w:trPr>
        <w:tc>
          <w:tcPr>
            <w:tcW w:w="8820" w:type="dxa"/>
            <w:vAlign w:val="bottom"/>
          </w:tcPr>
          <w:p>
            <w:pPr>
              <w:spacing w:after="0"/>
              <w:rPr>
                <w:sz w:val="20"/>
                <w:szCs w:val="20"/>
                <w:color w:val="auto"/>
              </w:rPr>
            </w:pPr>
            <w:r>
              <w:rPr>
                <w:rFonts w:ascii="Times New Roman" w:cs="Times New Roman" w:eastAsia="Times New Roman" w:hAnsi="Times New Roman"/>
                <w:sz w:val="16"/>
                <w:szCs w:val="16"/>
                <w:color w:val="auto"/>
              </w:rPr>
              <w:t>Convertible notes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15,000</w:t>
            </w:r>
          </w:p>
        </w:tc>
      </w:tr>
      <w:tr>
        <w:trPr>
          <w:trHeight w:val="197"/>
        </w:trPr>
        <w:tc>
          <w:tcPr>
            <w:tcW w:w="8820" w:type="dxa"/>
            <w:vAlign w:val="bottom"/>
          </w:tcPr>
          <w:p>
            <w:pPr>
              <w:spacing w:after="0"/>
              <w:rPr>
                <w:sz w:val="20"/>
                <w:szCs w:val="20"/>
                <w:color w:val="auto"/>
              </w:rPr>
            </w:pPr>
            <w:r>
              <w:rPr>
                <w:rFonts w:ascii="Times New Roman" w:cs="Times New Roman" w:eastAsia="Times New Roman" w:hAnsi="Times New Roman"/>
                <w:sz w:val="16"/>
                <w:szCs w:val="16"/>
                <w:color w:val="auto"/>
              </w:rPr>
              <w:t>Potentially dilutive securities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64,808,000</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330,000</w:t>
            </w:r>
          </w:p>
        </w:tc>
      </w:tr>
      <w:tr>
        <w:trPr>
          <w:trHeight w:val="20"/>
        </w:trPr>
        <w:tc>
          <w:tcPr>
            <w:tcW w:w="8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DERIVATIVE LIABILITY - WARRANTS AND DERIVATIVE LIABILITY – CONVERSION OPTION</w:t>
      </w:r>
    </w:p>
    <w:p>
      <w:pPr>
        <w:spacing w:after="0" w:line="23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A summary of quantitative information with respect to valuation methodology and significant unobservable inputs used for the Company’s common stock purchase warrants that are categorized within Level 3 of the fair value hierarchy for the three months ended 2015 and 2014 is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6"/>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Weighted Average Inputs for the</w:t>
            </w:r>
          </w:p>
        </w:tc>
      </w:tr>
      <w:tr>
        <w:trPr>
          <w:trHeight w:val="222"/>
        </w:trPr>
        <w:tc>
          <w:tcPr>
            <w:tcW w:w="8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 Purchase Warrants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ind w:left="758"/>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9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177"/>
        </w:trPr>
        <w:tc>
          <w:tcPr>
            <w:tcW w:w="8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tcPr>
          <w:p>
            <w:pPr>
              <w:jc w:val="center"/>
              <w:ind w:right="200"/>
              <w:spacing w:after="0" w:line="177" w:lineRule="exact"/>
              <w:rPr>
                <w:sz w:val="20"/>
                <w:szCs w:val="20"/>
                <w:color w:val="auto"/>
              </w:rPr>
            </w:pPr>
            <w:r>
              <w:rPr>
                <w:rFonts w:ascii="Times New Roman" w:cs="Times New Roman" w:eastAsia="Times New Roman" w:hAnsi="Times New Roman"/>
                <w:sz w:val="16"/>
                <w:szCs w:val="16"/>
                <w:b w:val="1"/>
                <w:bCs w:val="1"/>
                <w:color w:val="auto"/>
              </w:rPr>
              <w:t>For the Quarter</w:t>
            </w:r>
          </w:p>
        </w:tc>
        <w:tc>
          <w:tcPr>
            <w:tcW w:w="60" w:type="dxa"/>
            <w:vAlign w:val="bottom"/>
          </w:tcPr>
          <w:p>
            <w:pPr>
              <w:spacing w:after="0"/>
              <w:rPr>
                <w:sz w:val="15"/>
                <w:szCs w:val="15"/>
                <w:color w:val="auto"/>
              </w:rPr>
            </w:pPr>
          </w:p>
        </w:tc>
        <w:tc>
          <w:tcPr>
            <w:tcW w:w="11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rPr>
              <w:t>For the Quarter</w:t>
            </w:r>
          </w:p>
        </w:tc>
        <w:tc>
          <w:tcPr>
            <w:tcW w:w="140" w:type="dxa"/>
            <w:vAlign w:val="bottom"/>
          </w:tcPr>
          <w:p>
            <w:pPr>
              <w:spacing w:after="0"/>
              <w:rPr>
                <w:sz w:val="15"/>
                <w:szCs w:val="15"/>
                <w:color w:val="auto"/>
              </w:rPr>
            </w:pPr>
          </w:p>
        </w:tc>
      </w:tr>
      <w:tr>
        <w:trPr>
          <w:trHeight w:val="197"/>
        </w:trPr>
        <w:tc>
          <w:tcPr>
            <w:tcW w:w="8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Ending March</w:t>
            </w:r>
          </w:p>
        </w:tc>
        <w:tc>
          <w:tcPr>
            <w:tcW w:w="6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Ending March</w:t>
            </w:r>
          </w:p>
        </w:tc>
      </w:tr>
      <w:tr>
        <w:trPr>
          <w:trHeight w:val="222"/>
        </w:trPr>
        <w:tc>
          <w:tcPr>
            <w:tcW w:w="8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Date of valuation</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31, 2015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rPr>
              <w:t>31, 2014</w:t>
            </w:r>
          </w:p>
        </w:tc>
        <w:tc>
          <w:tcPr>
            <w:tcW w:w="140" w:type="dxa"/>
            <w:vAlign w:val="bottom"/>
          </w:tcPr>
          <w:p>
            <w:pPr>
              <w:spacing w:after="0"/>
              <w:rPr>
                <w:sz w:val="19"/>
                <w:szCs w:val="19"/>
                <w:color w:val="auto"/>
              </w:rPr>
            </w:pPr>
          </w:p>
        </w:tc>
      </w:tr>
      <w:tr>
        <w:trPr>
          <w:trHeight w:val="181"/>
        </w:trPr>
        <w:tc>
          <w:tcPr>
            <w:tcW w:w="8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Dividend yield (per share)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0%</w:t>
            </w:r>
          </w:p>
        </w:tc>
      </w:tr>
      <w:tr>
        <w:trPr>
          <w:trHeight w:val="197"/>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Strike price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1.52</w:t>
            </w:r>
          </w:p>
        </w:tc>
        <w:tc>
          <w:tcPr>
            <w:tcW w:w="26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5.84</w:t>
            </w:r>
          </w:p>
        </w:tc>
      </w:tr>
      <w:tr>
        <w:trPr>
          <w:trHeight w:val="197"/>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Volatility (annual)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155.00%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159.00%</w:t>
            </w:r>
          </w:p>
        </w:tc>
      </w:tr>
      <w:tr>
        <w:trPr>
          <w:trHeight w:val="197"/>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Risk-free rate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1.37%</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0.65%</w:t>
            </w:r>
          </w:p>
        </w:tc>
      </w:tr>
      <w:tr>
        <w:trPr>
          <w:trHeight w:val="214"/>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Contractual term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4.85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3.83</w:t>
            </w:r>
          </w:p>
        </w:tc>
      </w:tr>
      <w:tr>
        <w:trPr>
          <w:trHeight w:val="25"/>
        </w:trPr>
        <w:tc>
          <w:tcPr>
            <w:tcW w:w="8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0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Assets and Liabilities Measured at Fair Value on a Recurring Basis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assets and liabilities measured at fair value on a recurring basis are summarized below and disclosed on the balance sheet under Derivative liability – warrants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Derivative liability – conversion option: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698"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26"/>
        </w:trPr>
        <w:tc>
          <w:tcPr>
            <w:tcW w:w="45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As of March 31, 2015</w:t>
            </w:r>
          </w:p>
        </w:tc>
        <w:tc>
          <w:tcPr>
            <w:tcW w:w="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02"/>
        </w:trPr>
        <w:tc>
          <w:tcPr>
            <w:tcW w:w="4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20" w:type="dxa"/>
            <w:vAlign w:val="bottom"/>
            <w:gridSpan w:val="6"/>
          </w:tcPr>
          <w:p>
            <w:pPr>
              <w:ind w:left="104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1"/>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118"/>
              <w:spacing w:after="0" w:line="181"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Pr>
          <w:p>
            <w:pPr>
              <w:spacing w:after="0"/>
              <w:rPr>
                <w:sz w:val="15"/>
                <w:szCs w:val="15"/>
                <w:color w:val="auto"/>
              </w:rPr>
            </w:pPr>
          </w:p>
        </w:tc>
        <w:tc>
          <w:tcPr>
            <w:tcW w:w="11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5"/>
                <w:szCs w:val="15"/>
                <w:color w:val="auto"/>
              </w:rPr>
            </w:pPr>
          </w:p>
        </w:tc>
        <w:tc>
          <w:tcPr>
            <w:tcW w:w="1320" w:type="dxa"/>
            <w:vAlign w:val="bottom"/>
            <w:gridSpan w:val="2"/>
          </w:tcPr>
          <w:p>
            <w:pPr>
              <w:ind w:left="620"/>
              <w:spacing w:after="0" w:line="181" w:lineRule="exact"/>
              <w:rPr>
                <w:sz w:val="20"/>
                <w:szCs w:val="20"/>
                <w:color w:val="auto"/>
              </w:rPr>
            </w:pPr>
            <w:r>
              <w:rPr>
                <w:rFonts w:ascii="Times New Roman" w:cs="Times New Roman" w:eastAsia="Times New Roman" w:hAnsi="Times New Roman"/>
                <w:sz w:val="16"/>
                <w:szCs w:val="16"/>
                <w:b w:val="1"/>
                <w:bCs w:val="1"/>
                <w:color w:val="auto"/>
              </w:rPr>
              <w:t>Level 2</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15"/>
                <w:szCs w:val="15"/>
                <w:color w:val="auto"/>
              </w:rPr>
            </w:pPr>
          </w:p>
        </w:tc>
        <w:tc>
          <w:tcPr>
            <w:tcW w:w="960" w:type="dxa"/>
            <w:vAlign w:val="bottom"/>
            <w:gridSpan w:val="2"/>
          </w:tcPr>
          <w:p>
            <w:pPr>
              <w:ind w:left="500"/>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18"/>
        </w:trPr>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 liability - warrants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320" w:type="dxa"/>
            <w:vAlign w:val="bottom"/>
            <w:gridSpan w:val="2"/>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2,053,000</w:t>
            </w:r>
          </w:p>
        </w:tc>
        <w:tc>
          <w:tcPr>
            <w:tcW w:w="220" w:type="dxa"/>
            <w:vAlign w:val="bottom"/>
          </w:tcPr>
          <w:p>
            <w:pPr>
              <w:spacing w:after="0"/>
              <w:rPr>
                <w:sz w:val="18"/>
                <w:szCs w:val="18"/>
                <w:color w:val="auto"/>
              </w:rPr>
            </w:pP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2,053,000</w:t>
            </w:r>
          </w:p>
        </w:tc>
      </w:tr>
      <w:tr>
        <w:trPr>
          <w:trHeight w:val="197"/>
        </w:trPr>
        <w:tc>
          <w:tcPr>
            <w:tcW w:w="4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2,053,000</w:t>
            </w:r>
          </w:p>
        </w:tc>
        <w:tc>
          <w:tcPr>
            <w:tcW w:w="24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2,053,000</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2,053,000</w:t>
            </w:r>
          </w:p>
        </w:tc>
        <w:tc>
          <w:tcPr>
            <w:tcW w:w="100" w:type="dxa"/>
            <w:vAlign w:val="bottom"/>
          </w:tcPr>
          <w:p>
            <w:pPr>
              <w:spacing w:after="0"/>
              <w:rPr>
                <w:sz w:val="17"/>
                <w:szCs w:val="17"/>
                <w:color w:val="auto"/>
              </w:rPr>
            </w:pP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7"/>
        </w:trPr>
        <w:tc>
          <w:tcPr>
            <w:tcW w:w="4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02"/>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6"/>
          </w:tcPr>
          <w:p>
            <w:pPr>
              <w:ind w:left="1040"/>
              <w:spacing w:after="0"/>
              <w:rPr>
                <w:sz w:val="20"/>
                <w:szCs w:val="20"/>
                <w:color w:val="auto"/>
              </w:rPr>
            </w:pPr>
            <w:r>
              <w:rPr>
                <w:rFonts w:ascii="Times New Roman" w:cs="Times New Roman" w:eastAsia="Times New Roman" w:hAnsi="Times New Roman"/>
                <w:sz w:val="16"/>
                <w:szCs w:val="16"/>
                <w:b w:val="1"/>
                <w:bCs w:val="1"/>
                <w:color w:val="auto"/>
              </w:rPr>
              <w:t>As of December 31, 2014</w:t>
            </w: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20" w:type="dxa"/>
            <w:vAlign w:val="bottom"/>
            <w:gridSpan w:val="6"/>
          </w:tcPr>
          <w:p>
            <w:pPr>
              <w:ind w:left="104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1"/>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118"/>
              <w:spacing w:after="0" w:line="181"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Pr>
          <w:p>
            <w:pPr>
              <w:spacing w:after="0"/>
              <w:rPr>
                <w:sz w:val="15"/>
                <w:szCs w:val="15"/>
                <w:color w:val="auto"/>
              </w:rPr>
            </w:pPr>
          </w:p>
        </w:tc>
        <w:tc>
          <w:tcPr>
            <w:tcW w:w="11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5"/>
                <w:szCs w:val="15"/>
                <w:color w:val="auto"/>
              </w:rPr>
            </w:pPr>
          </w:p>
        </w:tc>
        <w:tc>
          <w:tcPr>
            <w:tcW w:w="1320" w:type="dxa"/>
            <w:vAlign w:val="bottom"/>
            <w:gridSpan w:val="2"/>
          </w:tcPr>
          <w:p>
            <w:pPr>
              <w:ind w:left="620"/>
              <w:spacing w:after="0" w:line="181" w:lineRule="exact"/>
              <w:rPr>
                <w:sz w:val="20"/>
                <w:szCs w:val="20"/>
                <w:color w:val="auto"/>
              </w:rPr>
            </w:pPr>
            <w:r>
              <w:rPr>
                <w:rFonts w:ascii="Times New Roman" w:cs="Times New Roman" w:eastAsia="Times New Roman" w:hAnsi="Times New Roman"/>
                <w:sz w:val="16"/>
                <w:szCs w:val="16"/>
                <w:b w:val="1"/>
                <w:bCs w:val="1"/>
                <w:color w:val="auto"/>
              </w:rPr>
              <w:t>Level 2</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15"/>
                <w:szCs w:val="15"/>
                <w:color w:val="auto"/>
              </w:rPr>
            </w:pPr>
          </w:p>
        </w:tc>
        <w:tc>
          <w:tcPr>
            <w:tcW w:w="960" w:type="dxa"/>
            <w:vAlign w:val="bottom"/>
            <w:gridSpan w:val="2"/>
          </w:tcPr>
          <w:p>
            <w:pPr>
              <w:ind w:left="500"/>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18"/>
        </w:trPr>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 liability - warrants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320" w:type="dxa"/>
            <w:vAlign w:val="bottom"/>
            <w:gridSpan w:val="2"/>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220" w:type="dxa"/>
            <w:vAlign w:val="bottom"/>
          </w:tcPr>
          <w:p>
            <w:pPr>
              <w:spacing w:after="0"/>
              <w:rPr>
                <w:sz w:val="18"/>
                <w:szCs w:val="18"/>
                <w:color w:val="auto"/>
              </w:rPr>
            </w:pP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9,000</w:t>
            </w:r>
          </w:p>
        </w:tc>
      </w:tr>
      <w:tr>
        <w:trPr>
          <w:trHeight w:val="197"/>
        </w:trPr>
        <w:tc>
          <w:tcPr>
            <w:tcW w:w="4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24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00" w:type="dxa"/>
            <w:vAlign w:val="bottom"/>
          </w:tcPr>
          <w:p>
            <w:pPr>
              <w:spacing w:after="0"/>
              <w:rPr>
                <w:sz w:val="17"/>
                <w:szCs w:val="17"/>
                <w:color w:val="auto"/>
              </w:rPr>
            </w:pP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transfers between Level 1, 2 or 3 during the three months ended March 31, 2015.</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18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presents changes in Level 3 liabilities measured at fair value for the three months ended March 31, 2015:</w:t>
            </w:r>
          </w:p>
        </w:tc>
        <w:tc>
          <w:tcPr>
            <w:tcW w:w="160" w:type="dxa"/>
            <w:vAlign w:val="bottom"/>
          </w:tcPr>
          <w:p>
            <w:pPr>
              <w:spacing w:after="0"/>
              <w:rPr>
                <w:sz w:val="18"/>
                <w:szCs w:val="18"/>
                <w:color w:val="auto"/>
              </w:rPr>
            </w:pPr>
          </w:p>
        </w:tc>
        <w:tc>
          <w:tcPr>
            <w:tcW w:w="10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rPr>
              <w:t>Derivative</w:t>
            </w:r>
          </w:p>
        </w:tc>
        <w:tc>
          <w:tcPr>
            <w:tcW w:w="0" w:type="dxa"/>
            <w:vAlign w:val="bottom"/>
          </w:tcPr>
          <w:p>
            <w:pPr>
              <w:spacing w:after="0"/>
              <w:rPr>
                <w:sz w:val="1"/>
                <w:szCs w:val="1"/>
                <w:color w:val="auto"/>
              </w:rPr>
            </w:pPr>
          </w:p>
        </w:tc>
      </w:tr>
      <w:tr>
        <w:trPr>
          <w:trHeight w:val="180"/>
        </w:trPr>
        <w:tc>
          <w:tcPr>
            <w:tcW w:w="10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0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rPr>
              <w:t>liability –</w:t>
            </w:r>
          </w:p>
        </w:tc>
        <w:tc>
          <w:tcPr>
            <w:tcW w:w="0" w:type="dxa"/>
            <w:vAlign w:val="bottom"/>
          </w:tcPr>
          <w:p>
            <w:pPr>
              <w:spacing w:after="0"/>
              <w:rPr>
                <w:sz w:val="1"/>
                <w:szCs w:val="1"/>
                <w:color w:val="auto"/>
              </w:rPr>
            </w:pPr>
          </w:p>
        </w:tc>
      </w:tr>
      <w:tr>
        <w:trPr>
          <w:trHeight w:val="218"/>
        </w:trPr>
        <w:tc>
          <w:tcPr>
            <w:tcW w:w="10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rPr>
              <w:t>warrants</w:t>
            </w:r>
          </w:p>
        </w:tc>
        <w:tc>
          <w:tcPr>
            <w:tcW w:w="0" w:type="dxa"/>
            <w:vAlign w:val="bottom"/>
          </w:tcPr>
          <w:p>
            <w:pPr>
              <w:spacing w:after="0"/>
              <w:rPr>
                <w:sz w:val="1"/>
                <w:szCs w:val="1"/>
                <w:color w:val="auto"/>
              </w:rPr>
            </w:pPr>
          </w:p>
        </w:tc>
      </w:tr>
      <w:tr>
        <w:trPr>
          <w:trHeight w:val="181"/>
        </w:trPr>
        <w:tc>
          <w:tcPr>
            <w:tcW w:w="101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Balance – December 31, 2014</w:t>
            </w:r>
          </w:p>
        </w:tc>
        <w:tc>
          <w:tcPr>
            <w:tcW w:w="1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9,000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0180" w:type="dxa"/>
            <w:vAlign w:val="bottom"/>
          </w:tcPr>
          <w:p>
            <w:pPr>
              <w:spacing w:after="0"/>
              <w:rPr>
                <w:sz w:val="20"/>
                <w:szCs w:val="20"/>
                <w:color w:val="auto"/>
              </w:rPr>
            </w:pPr>
            <w:r>
              <w:rPr>
                <w:rFonts w:ascii="Times New Roman" w:cs="Times New Roman" w:eastAsia="Times New Roman" w:hAnsi="Times New Roman"/>
                <w:sz w:val="16"/>
                <w:szCs w:val="16"/>
                <w:color w:val="auto"/>
              </w:rPr>
              <w:t>Additions during the quarter</w:t>
            </w:r>
          </w:p>
        </w:tc>
        <w:tc>
          <w:tcPr>
            <w:tcW w:w="16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2,090,000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18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(46,000)</w:t>
            </w:r>
          </w:p>
        </w:tc>
        <w:tc>
          <w:tcPr>
            <w:tcW w:w="0" w:type="dxa"/>
            <w:vAlign w:val="bottom"/>
          </w:tcPr>
          <w:p>
            <w:pPr>
              <w:spacing w:after="0"/>
              <w:rPr>
                <w:sz w:val="1"/>
                <w:szCs w:val="1"/>
                <w:color w:val="auto"/>
              </w:rPr>
            </w:pPr>
          </w:p>
        </w:tc>
      </w:tr>
      <w:tr>
        <w:trPr>
          <w:trHeight w:val="197"/>
        </w:trPr>
        <w:tc>
          <w:tcPr>
            <w:tcW w:w="10180" w:type="dxa"/>
            <w:vAlign w:val="bottom"/>
          </w:tcPr>
          <w:p>
            <w:pPr>
              <w:spacing w:after="0"/>
              <w:rPr>
                <w:sz w:val="20"/>
                <w:szCs w:val="20"/>
                <w:color w:val="auto"/>
              </w:rPr>
            </w:pPr>
            <w:r>
              <w:rPr>
                <w:rFonts w:ascii="Times New Roman" w:cs="Times New Roman" w:eastAsia="Times New Roman" w:hAnsi="Times New Roman"/>
                <w:sz w:val="16"/>
                <w:szCs w:val="16"/>
                <w:color w:val="auto"/>
              </w:rPr>
              <w:t>Balance – March 31, 2015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2,053,000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920" w:right="239" w:bottom="1440" w:gutter="0" w:footer="0" w:header="0"/>
        </w:sectPr>
      </w:pPr>
    </w:p>
    <w:bookmarkStart w:id="80" w:name="page81"/>
    <w:bookmarkEnd w:id="80"/>
    <w:p>
      <w:pPr>
        <w:jc w:val="both"/>
        <w:spacing w:after="0" w:line="276" w:lineRule="auto"/>
        <w:rPr>
          <w:sz w:val="20"/>
          <w:szCs w:val="20"/>
          <w:color w:val="auto"/>
        </w:rPr>
      </w:pPr>
      <w:r>
        <w:rPr>
          <w:rFonts w:ascii="Times New Roman" w:cs="Times New Roman" w:eastAsia="Times New Roman" w:hAnsi="Times New Roman"/>
          <w:sz w:val="16"/>
          <w:szCs w:val="16"/>
          <w:color w:val="auto"/>
        </w:rPr>
        <w:t>During 2014 the Company entered into numerous extinguishment agreements with various holders. As a result the derivative liability associated with the bifurcated conversion options were extinguished at the date of conversion and recorded in the loss on extinguishment in the Statement of Operations. The inputs utilized in the final mark to market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Inputs for the</w:t>
            </w:r>
          </w:p>
        </w:tc>
      </w:tr>
      <w:tr>
        <w:trPr>
          <w:trHeight w:val="222"/>
        </w:trPr>
        <w:tc>
          <w:tcPr>
            <w:tcW w:w="8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Conversion Option</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ind w:left="9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9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177"/>
        </w:trPr>
        <w:tc>
          <w:tcPr>
            <w:tcW w:w="8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For the Quarter</w:t>
            </w:r>
          </w:p>
        </w:tc>
        <w:tc>
          <w:tcPr>
            <w:tcW w:w="60" w:type="dxa"/>
            <w:vAlign w:val="bottom"/>
          </w:tcPr>
          <w:p>
            <w:pPr>
              <w:spacing w:after="0"/>
              <w:rPr>
                <w:sz w:val="15"/>
                <w:szCs w:val="15"/>
                <w:color w:val="auto"/>
              </w:rPr>
            </w:pPr>
          </w:p>
        </w:tc>
        <w:tc>
          <w:tcPr>
            <w:tcW w:w="1140" w:type="dxa"/>
            <w:vAlign w:val="bottom"/>
            <w:gridSpan w:val="2"/>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For the Quarter</w:t>
            </w:r>
          </w:p>
        </w:tc>
        <w:tc>
          <w:tcPr>
            <w:tcW w:w="140" w:type="dxa"/>
            <w:vAlign w:val="bottom"/>
          </w:tcPr>
          <w:p>
            <w:pPr>
              <w:spacing w:after="0"/>
              <w:rPr>
                <w:sz w:val="15"/>
                <w:szCs w:val="15"/>
                <w:color w:val="auto"/>
              </w:rPr>
            </w:pPr>
          </w:p>
        </w:tc>
      </w:tr>
      <w:tr>
        <w:trPr>
          <w:trHeight w:val="197"/>
        </w:trPr>
        <w:tc>
          <w:tcPr>
            <w:tcW w:w="8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Ending March</w:t>
            </w:r>
          </w:p>
        </w:tc>
        <w:tc>
          <w:tcPr>
            <w:tcW w:w="60" w:type="dxa"/>
            <w:vAlign w:val="bottom"/>
          </w:tcPr>
          <w:p>
            <w:pPr>
              <w:spacing w:after="0"/>
              <w:rPr>
                <w:sz w:val="17"/>
                <w:szCs w:val="17"/>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Ending March</w:t>
            </w:r>
          </w:p>
        </w:tc>
      </w:tr>
      <w:tr>
        <w:trPr>
          <w:trHeight w:val="222"/>
        </w:trPr>
        <w:tc>
          <w:tcPr>
            <w:tcW w:w="8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Date of valuation</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31, 2015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31, 2014</w:t>
            </w:r>
          </w:p>
        </w:tc>
        <w:tc>
          <w:tcPr>
            <w:tcW w:w="140" w:type="dxa"/>
            <w:vAlign w:val="bottom"/>
          </w:tcPr>
          <w:p>
            <w:pPr>
              <w:spacing w:after="0"/>
              <w:rPr>
                <w:sz w:val="19"/>
                <w:szCs w:val="19"/>
                <w:color w:val="auto"/>
              </w:rPr>
            </w:pPr>
          </w:p>
        </w:tc>
      </w:tr>
      <w:tr>
        <w:trPr>
          <w:trHeight w:val="181"/>
        </w:trPr>
        <w:tc>
          <w:tcPr>
            <w:tcW w:w="8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Dividend yield (per share)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ind w:left="980"/>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89"/>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0%</w:t>
            </w:r>
          </w:p>
        </w:tc>
      </w:tr>
      <w:tr>
        <w:trPr>
          <w:trHeight w:val="197"/>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Strike price</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1.03</w:t>
            </w:r>
          </w:p>
        </w:tc>
      </w:tr>
      <w:tr>
        <w:trPr>
          <w:trHeight w:val="197"/>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Volatility (annual)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199.00%</w:t>
            </w:r>
          </w:p>
        </w:tc>
      </w:tr>
      <w:tr>
        <w:trPr>
          <w:trHeight w:val="197"/>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Risk-free rate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14"/>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Contractual term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0.24</w:t>
            </w:r>
          </w:p>
        </w:tc>
      </w:tr>
      <w:tr>
        <w:trPr>
          <w:trHeight w:val="201"/>
        </w:trPr>
        <w:tc>
          <w:tcPr>
            <w:tcW w:w="864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260" w:type="dxa"/>
            <w:vAlign w:val="bottom"/>
            <w:gridSpan w:val="2"/>
          </w:tcPr>
          <w:p>
            <w:pPr>
              <w:spacing w:after="0"/>
              <w:rPr>
                <w:sz w:val="17"/>
                <w:szCs w:val="17"/>
                <w:color w:val="auto"/>
              </w:rPr>
            </w:pPr>
          </w:p>
        </w:tc>
        <w:tc>
          <w:tcPr>
            <w:tcW w:w="1080" w:type="dxa"/>
            <w:vAlign w:val="bottom"/>
            <w:gridSpan w:val="2"/>
          </w:tcPr>
          <w:p>
            <w:pPr>
              <w:spacing w:after="0"/>
              <w:rPr>
                <w:sz w:val="17"/>
                <w:szCs w:val="17"/>
                <w:color w:val="auto"/>
              </w:rPr>
            </w:pPr>
          </w:p>
        </w:tc>
      </w:tr>
      <w:tr>
        <w:trPr>
          <w:trHeight w:val="202"/>
        </w:trPr>
        <w:tc>
          <w:tcPr>
            <w:tcW w:w="86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Fair value of Conversion Option at extinguishment</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708,000</w:t>
            </w:r>
          </w:p>
        </w:tc>
        <w:tc>
          <w:tcPr>
            <w:tcW w:w="140" w:type="dxa"/>
            <w:vAlign w:val="bottom"/>
          </w:tcPr>
          <w:p>
            <w:pPr>
              <w:spacing w:after="0"/>
              <w:rPr>
                <w:sz w:val="17"/>
                <w:szCs w:val="17"/>
                <w:color w:val="auto"/>
              </w:rPr>
            </w:pPr>
          </w:p>
        </w:tc>
      </w:tr>
      <w:tr>
        <w:trPr>
          <w:trHeight w:val="420"/>
        </w:trPr>
        <w:tc>
          <w:tcPr>
            <w:tcW w:w="8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7: PROMISSORY NOTES, RELATED PARTY</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Company has outstanding promissory notes in the amount of $52,942 (December 31, 2014 - $52,942), of which $23,000 of promissory notes are from an officer and a director of the Company. The promissory notes bear no interest charges and have no fixed repayment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CAPITAL STOCK</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2015 Share Transactions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Private placements</w:t>
      </w:r>
    </w:p>
    <w:p>
      <w:pPr>
        <w:spacing w:after="0" w:line="2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In January, 2015, the Company entered into a Securities Purchase Agreement with certain investors for the sale of 7,320,000 units at a purchase price of $0.20 per unit, for a total purchase price of approximately $1,250,000, net of finders’ fee and offering expenses of approximately $214,000.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“January 2015 Warrants”). Series A warrants are exercisable at $1.50 per share, with a five year term. Series B warrants are exercisable at $0.40 per share, with a six 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18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Pursuant to a placement agent agreement, the Company agreed to issue warrants to purchase 366,000 common shares with substantially the same terms as the January 2015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Series A warrants were issued with price reset features. The fair value of these warrants was determined to be $1,346,000 and recognized as a derivative liability.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 of Series B, C, D &amp; E warrants was determined to be $4,635,000 and was included within equity.</w:t>
      </w:r>
    </w:p>
    <w:p>
      <w:pPr>
        <w:spacing w:after="0" w:line="23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In March, 2015, the Company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“March 2015 Warrants”). The March 2015 Warrants have substantially the same terms as the January 2015 Warrants.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924" w:right="239" w:bottom="1440" w:gutter="0" w:footer="0" w:header="0"/>
        </w:sectPr>
      </w:pPr>
    </w:p>
    <w:bookmarkStart w:id="81" w:name="page82"/>
    <w:bookmarkEnd w:id="81"/>
    <w:p>
      <w:pPr>
        <w:spacing w:after="0" w:line="296" w:lineRule="auto"/>
        <w:rPr>
          <w:sz w:val="20"/>
          <w:szCs w:val="20"/>
          <w:color w:val="auto"/>
        </w:rPr>
      </w:pPr>
      <w:r>
        <w:rPr>
          <w:rFonts w:ascii="Times New Roman" w:cs="Times New Roman" w:eastAsia="Times New Roman" w:hAnsi="Times New Roman"/>
          <w:sz w:val="16"/>
          <w:szCs w:val="16"/>
          <w:color w:val="auto"/>
        </w:rPr>
        <w:t>Pursuant to a placement agent agreement, the Company agreed to issue warrants to purchase 125,000 common shares with substantially the same terms as the March 2015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Series A warrants were issued with price reset features. The fair value of these warrants was determined to be $744,000 and recognized as a derivative liability.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 of Series B, C, D &amp; E warrants was determined to be $2,588,000 and was included within equity.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Purchase Warrants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the Company’s share purchase warrants as of March 31, 2015 and changes during the period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258685"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-243840</wp:posOffset>
            </wp:positionV>
            <wp:extent cx="4646295"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646295" cy="15875"/>
                    </a:xfrm>
                    <a:prstGeom prst="rect">
                      <a:avLst/>
                    </a:prstGeom>
                    <a:noFill/>
                  </pic:spPr>
                </pic:pic>
              </a:graphicData>
            </a:graphic>
          </wp:anchor>
        </w:drawing>
      </w: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Issued</w:t>
      </w:r>
    </w:p>
    <w:p>
      <w:pPr>
        <w:spacing w:after="0" w:line="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Exercised</w:t>
      </w:r>
    </w:p>
    <w:p>
      <w:pPr>
        <w:spacing w:after="0" w:line="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Extinguished or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4646295"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646295" cy="158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Balance, 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464629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6462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45085</wp:posOffset>
            </wp:positionV>
            <wp:extent cx="464629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646295" cy="762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CONTINGENCIES AND COMMITMENTS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Contingencies: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Consultant Litigation</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Weighted</w:t>
            </w: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Weighted</w:t>
            </w:r>
          </w:p>
        </w:tc>
      </w:tr>
      <w:tr>
        <w:trPr>
          <w:trHeight w:val="197"/>
        </w:trPr>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Number of</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Average</w:t>
            </w: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Average</w:t>
            </w:r>
          </w:p>
        </w:tc>
      </w:tr>
      <w:tr>
        <w:trPr>
          <w:trHeight w:val="218"/>
        </w:trPr>
        <w:tc>
          <w:tcPr>
            <w:tcW w:w="11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rPr>
              <w:t>Warrants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color w:val="auto"/>
              </w:rPr>
              <w:t>Exercise Price</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Remaining Life</w:t>
            </w:r>
          </w:p>
        </w:tc>
        <w:tc>
          <w:tcPr>
            <w:tcW w:w="20" w:type="dxa"/>
            <w:vAlign w:val="bottom"/>
          </w:tcPr>
          <w:p>
            <w:pPr>
              <w:spacing w:after="0"/>
              <w:rPr>
                <w:sz w:val="18"/>
                <w:szCs w:val="18"/>
                <w:color w:val="auto"/>
              </w:rPr>
            </w:pPr>
          </w:p>
        </w:tc>
      </w:tr>
      <w:tr>
        <w:trPr>
          <w:trHeight w:val="378"/>
        </w:trPr>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2,659,417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1.83</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4.15</w:t>
            </w:r>
          </w:p>
        </w:tc>
      </w:tr>
      <w:tr>
        <w:trPr>
          <w:trHeight w:val="197"/>
        </w:trPr>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62,090,975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1.03</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3.96</w:t>
            </w:r>
          </w:p>
        </w:tc>
      </w:tr>
      <w:tr>
        <w:trPr>
          <w:trHeight w:val="197"/>
        </w:trPr>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64,742,892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20" w:type="dxa"/>
            <w:vAlign w:val="bottom"/>
          </w:tcPr>
          <w:p>
            <w:pPr>
              <w:spacing w:after="0"/>
              <w:rPr>
                <w:sz w:val="17"/>
                <w:szCs w:val="17"/>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22" w:lineRule="exact"/>
        <w:rPr>
          <w:sz w:val="20"/>
          <w:szCs w:val="20"/>
          <w:color w:val="auto"/>
        </w:rPr>
      </w:pPr>
    </w:p>
    <w:p>
      <w:pPr>
        <w:sectPr>
          <w:pgSz w:w="11900" w:h="16838" w:orient="portrait"/>
          <w:cols w:equalWidth="0" w:num="2">
            <w:col w:w="6720" w:space="720"/>
            <w:col w:w="3980"/>
          </w:cols>
          <w:pgMar w:left="240" w:top="480" w:right="239" w:bottom="1440" w:gutter="0" w:footer="0" w:header="0"/>
          <w:type w:val="continuous"/>
        </w:sectPr>
      </w:pPr>
    </w:p>
    <w:p>
      <w:pPr>
        <w:spacing w:after="0" w:line="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May 2012, the Company issued 112,000 post-consolidated shares of common stock to two consultants. The Company contested the validity of the services provided and initially was able to delay the sale of the contested shares. The Company was not successful in recovering the contested shares. A claim for alleged damages of approximately $362,000 plus costs by one of the consultants as a result of the contesting of the issuance of the shares was filed in the Supreme Court of New York. The claim was for damages on the difference between market price at the time the Company was able to delay the sale of his shares and the market price at the time of the sale of all of his shares. As the result of a judicial decision in New York the consultant received a bond payment of approximately $100,000 that the Company had used to secure a temporary restraining order against the issuance of stock to him. Following hearings at the International Arbitration Tribunal held in New York on May 13-16, 2014 the arbitrator ordered (on July 18, 2014) the consultant to pay Tapimmune $196,204 plus 9% interest from the date of the award. The Company is attempting to collect the award from Mr. Michael Gardner.</w:t>
      </w:r>
    </w:p>
    <w:p>
      <w:pPr>
        <w:spacing w:after="0" w:line="3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On July 18, 2014, the International Center for Dispute Resolution International Arbitration Tribunal issued a Final Award in the matter of TapImmune Inc. vs. Michael Gardner awarding TapImmune $196,204 plus post-award interest at a rate of 9% per year. This award stemmed from the dispute discussed above with Mr. Gardner regarding the May 2012 consulting agreement. The arbitrator found that we were fraudulently induced into entering said agreement through “1) misrepresentations as to what he would or could do for the Company, including raising funds, and 2) omissions about his reputation and ability to obtain or assist in obtaining financing for TapImmune” among other reasons. We are attempting to collect the award from Mr. Gardner.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Vendor Litigation</w:t>
      </w:r>
    </w:p>
    <w:p>
      <w:pPr>
        <w:spacing w:after="0" w:line="21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One of our suppliers, Fischer Scientific was awarded a judgment against us for $51,000 which is equal to the amount owed to them and is currently accrued on the balance sheet. We intend on settling that matter in the second quarter of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TAPIMMUNE INC.</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93,126,792 Shares of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 2015]</w:t>
      </w:r>
    </w:p>
    <w:p>
      <w:pPr>
        <w:spacing w:after="0" w:line="200" w:lineRule="exact"/>
        <w:rPr>
          <w:sz w:val="20"/>
          <w:szCs w:val="20"/>
          <w:color w:val="auto"/>
        </w:rPr>
      </w:pPr>
    </w:p>
    <w:p>
      <w:pPr>
        <w:spacing w:after="0" w:line="38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Until [[♦], 2015] (the 90th day after the date of this Prospectus), all dealers that buy, sell or trade our common stock, whether or not participating in this offering, may be required to deliver a Prospectus. This delivery requirement is in addition to the dealers’ obligation to deliver a Prospectus when acting as underwriters and with respect to unsold allotments or subscriptions.</w:t>
      </w:r>
    </w:p>
    <w:p>
      <w:pPr>
        <w:spacing w:after="0" w:line="1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b w:val="1"/>
          <w:bCs w:val="1"/>
          <w:color w:val="auto"/>
        </w:rPr>
        <w:t>No dealer, salesperson or other individual has been authorized to give any information or to make any representations not contained in this Prospectus in connection with the offering covered by this Prospectus. If given or made, such information or representations must not be relied upon as having been authorized by us. This Prospectus does not constitute an offer to sell, or a solicitation of an offer to buy the offered securities in any jurisdiction where, or to any person to whom, it is unlawful to make any such offer or solicitation. Neither the delivery of this Prospectus nor any offer or sale made hereunder shall, under any circumstances, create an implication that there has not been any change in the facts set forth in this Prospectus or in our affairs since the date hereof.</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698" w:right="2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10" w:lineRule="exact"/>
        <w:rPr>
          <w:sz w:val="20"/>
          <w:szCs w:val="20"/>
          <w:color w:val="auto"/>
        </w:rPr>
      </w:pPr>
    </w:p>
    <w:p>
      <w:pPr>
        <w:ind w:left="3581"/>
        <w:spacing w:after="0"/>
        <w:rPr>
          <w:sz w:val="20"/>
          <w:szCs w:val="20"/>
          <w:color w:val="auto"/>
        </w:rPr>
      </w:pPr>
      <w:r>
        <w:rPr>
          <w:rFonts w:ascii="Times New Roman" w:cs="Times New Roman" w:eastAsia="Times New Roman" w:hAnsi="Times New Roman"/>
          <w:sz w:val="16"/>
          <w:szCs w:val="16"/>
          <w:b w:val="1"/>
          <w:bCs w:val="1"/>
          <w:color w:val="auto"/>
        </w:rPr>
        <w:t>INFORMATION NOT REQUIRED IN THE PROSPECTUS</w:t>
      </w:r>
    </w:p>
    <w:p>
      <w:pPr>
        <w:spacing w:after="0" w:line="210" w:lineRule="exact"/>
        <w:rPr>
          <w:sz w:val="20"/>
          <w:szCs w:val="20"/>
          <w:color w:val="auto"/>
        </w:rPr>
      </w:pPr>
    </w:p>
    <w:p>
      <w:pPr>
        <w:ind w:left="1"/>
        <w:spacing w:after="0"/>
        <w:tabs>
          <w:tab w:leader="none" w:pos="1241" w:val="left"/>
        </w:tabs>
        <w:rPr>
          <w:sz w:val="20"/>
          <w:szCs w:val="20"/>
          <w:color w:val="auto"/>
        </w:rPr>
      </w:pPr>
      <w:r>
        <w:rPr>
          <w:rFonts w:ascii="Times New Roman" w:cs="Times New Roman" w:eastAsia="Times New Roman" w:hAnsi="Times New Roman"/>
          <w:sz w:val="16"/>
          <w:szCs w:val="16"/>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OTHER EXPENSES OF ISSUANCE AND DISTRIBUTION.</w:t>
      </w:r>
    </w:p>
    <w:p>
      <w:pPr>
        <w:spacing w:after="0" w:line="214" w:lineRule="exact"/>
        <w:rPr>
          <w:sz w:val="20"/>
          <w:szCs w:val="20"/>
          <w:color w:val="auto"/>
        </w:rPr>
      </w:pPr>
    </w:p>
    <w:p>
      <w:pPr>
        <w:ind w:left="1"/>
        <w:spacing w:after="0" w:line="296" w:lineRule="auto"/>
        <w:rPr>
          <w:sz w:val="20"/>
          <w:szCs w:val="20"/>
          <w:color w:val="auto"/>
        </w:rPr>
      </w:pPr>
      <w:r>
        <w:rPr>
          <w:rFonts w:ascii="Times New Roman" w:cs="Times New Roman" w:eastAsia="Times New Roman" w:hAnsi="Times New Roman"/>
          <w:sz w:val="16"/>
          <w:szCs w:val="16"/>
          <w:color w:val="auto"/>
        </w:rPr>
        <w:t>The table below itemizes the expenses payable by the registrant in connection with the registration and issuance of the securities being registered hereunder, other than underwriting discounts and commissions. All amounts except the Securities and Exchange Commission registration fee are estimated.</w:t>
      </w:r>
    </w:p>
    <w:p>
      <w:pPr>
        <w:spacing w:after="0" w:line="162" w:lineRule="exact"/>
        <w:rPr>
          <w:sz w:val="20"/>
          <w:szCs w:val="20"/>
          <w:color w:val="auto"/>
        </w:rPr>
      </w:pPr>
    </w:p>
    <w:tbl>
      <w:tblPr>
        <w:tblLayout w:type="fixed"/>
        <w:tblInd w:w="1" w:type="dxa"/>
        <w:tblCellMar>
          <w:top w:w="0" w:type="dxa"/>
          <w:left w:w="0" w:type="dxa"/>
          <w:bottom w:w="0" w:type="dxa"/>
          <w:right w:w="0" w:type="dxa"/>
        </w:tblCellMar>
      </w:tblPr>
      <w:tr>
        <w:trPr>
          <w:trHeight w:val="197"/>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Securities and Exchange Commission Registration Fee</w:t>
            </w:r>
          </w:p>
        </w:tc>
        <w:tc>
          <w:tcPr>
            <w:tcW w:w="7080" w:type="dxa"/>
            <w:vAlign w:val="bottom"/>
          </w:tcPr>
          <w:p>
            <w:pPr>
              <w:jc w:val="right"/>
              <w:ind w:right="3278"/>
              <w:spacing w:after="0"/>
              <w:rPr>
                <w:sz w:val="20"/>
                <w:szCs w:val="20"/>
                <w:color w:val="auto"/>
              </w:rPr>
            </w:pPr>
            <w:r>
              <w:rPr>
                <w:rFonts w:ascii="Times New Roman" w:cs="Times New Roman" w:eastAsia="Times New Roman" w:hAnsi="Times New Roman"/>
                <w:sz w:val="16"/>
                <w:szCs w:val="16"/>
                <w:color w:val="auto"/>
              </w:rPr>
              <w:t>$2,606†</w:t>
            </w:r>
          </w:p>
        </w:tc>
      </w:tr>
      <w:tr>
        <w:trPr>
          <w:trHeight w:val="197"/>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Legal Fees and Expenses</w:t>
            </w:r>
          </w:p>
        </w:tc>
        <w:tc>
          <w:tcPr>
            <w:tcW w:w="7080" w:type="dxa"/>
            <w:vAlign w:val="bottom"/>
          </w:tcPr>
          <w:p>
            <w:pPr>
              <w:jc w:val="right"/>
              <w:ind w:right="3278"/>
              <w:spacing w:after="0"/>
              <w:rPr>
                <w:sz w:val="20"/>
                <w:szCs w:val="20"/>
                <w:color w:val="auto"/>
              </w:rPr>
            </w:pPr>
            <w:r>
              <w:rPr>
                <w:rFonts w:ascii="Times New Roman" w:cs="Times New Roman" w:eastAsia="Times New Roman" w:hAnsi="Times New Roman"/>
                <w:sz w:val="16"/>
                <w:szCs w:val="16"/>
                <w:color w:val="auto"/>
              </w:rPr>
              <w:t>$25,000†</w:t>
            </w:r>
          </w:p>
        </w:tc>
      </w:tr>
      <w:tr>
        <w:trPr>
          <w:trHeight w:val="197"/>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Accountants’ Fees and Expenses</w:t>
            </w:r>
          </w:p>
        </w:tc>
        <w:tc>
          <w:tcPr>
            <w:tcW w:w="7080" w:type="dxa"/>
            <w:vAlign w:val="bottom"/>
          </w:tcPr>
          <w:p>
            <w:pPr>
              <w:jc w:val="right"/>
              <w:ind w:right="3278"/>
              <w:spacing w:after="0"/>
              <w:rPr>
                <w:sz w:val="20"/>
                <w:szCs w:val="20"/>
                <w:color w:val="auto"/>
              </w:rPr>
            </w:pPr>
            <w:r>
              <w:rPr>
                <w:rFonts w:ascii="Times New Roman" w:cs="Times New Roman" w:eastAsia="Times New Roman" w:hAnsi="Times New Roman"/>
                <w:sz w:val="16"/>
                <w:szCs w:val="16"/>
                <w:color w:val="auto"/>
              </w:rPr>
              <w:t>$10,000†</w:t>
            </w:r>
          </w:p>
        </w:tc>
      </w:tr>
      <w:tr>
        <w:trPr>
          <w:trHeight w:val="197"/>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Transfer agent and registrar’s fees and expenses</w:t>
            </w:r>
          </w:p>
        </w:tc>
        <w:tc>
          <w:tcPr>
            <w:tcW w:w="7080" w:type="dxa"/>
            <w:vAlign w:val="bottom"/>
          </w:tcPr>
          <w:p>
            <w:pPr>
              <w:jc w:val="right"/>
              <w:ind w:right="3278"/>
              <w:spacing w:after="0"/>
              <w:rPr>
                <w:sz w:val="20"/>
                <w:szCs w:val="20"/>
                <w:color w:val="auto"/>
              </w:rPr>
            </w:pPr>
            <w:r>
              <w:rPr>
                <w:rFonts w:ascii="Times New Roman" w:cs="Times New Roman" w:eastAsia="Times New Roman" w:hAnsi="Times New Roman"/>
                <w:sz w:val="16"/>
                <w:szCs w:val="16"/>
                <w:color w:val="auto"/>
              </w:rPr>
              <w:t>$2,500†</w:t>
            </w:r>
          </w:p>
        </w:tc>
      </w:tr>
      <w:tr>
        <w:trPr>
          <w:trHeight w:val="197"/>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Miscellaneous Expenses</w:t>
            </w:r>
          </w:p>
        </w:tc>
        <w:tc>
          <w:tcPr>
            <w:tcW w:w="7080" w:type="dxa"/>
            <w:vAlign w:val="bottom"/>
          </w:tcPr>
          <w:p>
            <w:pPr>
              <w:jc w:val="right"/>
              <w:ind w:right="3278"/>
              <w:spacing w:after="0"/>
              <w:rPr>
                <w:sz w:val="20"/>
                <w:szCs w:val="20"/>
                <w:color w:val="auto"/>
              </w:rPr>
            </w:pPr>
            <w:r>
              <w:rPr>
                <w:rFonts w:ascii="Times New Roman" w:cs="Times New Roman" w:eastAsia="Times New Roman" w:hAnsi="Times New Roman"/>
                <w:sz w:val="16"/>
                <w:szCs w:val="16"/>
                <w:color w:val="auto"/>
              </w:rPr>
              <w:t>$2,000†</w:t>
            </w:r>
          </w:p>
        </w:tc>
      </w:tr>
      <w:tr>
        <w:trPr>
          <w:trHeight w:val="214"/>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7080" w:type="dxa"/>
            <w:vAlign w:val="bottom"/>
          </w:tcPr>
          <w:p>
            <w:pPr>
              <w:jc w:val="right"/>
              <w:ind w:right="3278"/>
              <w:spacing w:after="0"/>
              <w:rPr>
                <w:sz w:val="20"/>
                <w:szCs w:val="20"/>
                <w:color w:val="auto"/>
              </w:rPr>
            </w:pPr>
            <w:r>
              <w:rPr>
                <w:rFonts w:ascii="Times New Roman" w:cs="Times New Roman" w:eastAsia="Times New Roman" w:hAnsi="Times New Roman"/>
                <w:sz w:val="16"/>
                <w:szCs w:val="16"/>
                <w:color w:val="auto"/>
              </w:rPr>
              <w:t>$42,106†</w:t>
            </w:r>
          </w:p>
        </w:tc>
      </w:tr>
      <w:tr>
        <w:trPr>
          <w:trHeight w:val="377"/>
        </w:trPr>
        <w:tc>
          <w:tcPr>
            <w:tcW w:w="420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w:t>
            </w:r>
          </w:p>
        </w:tc>
        <w:tc>
          <w:tcPr>
            <w:tcW w:w="70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Estimated expenses are not presently known. The foregoing sets forth the general categories of</w:t>
            </w:r>
          </w:p>
        </w:tc>
      </w:tr>
      <w:tr>
        <w:trPr>
          <w:trHeight w:val="197"/>
        </w:trPr>
        <w:tc>
          <w:tcPr>
            <w:tcW w:w="4200" w:type="dxa"/>
            <w:vAlign w:val="bottom"/>
          </w:tcPr>
          <w:p>
            <w:pPr>
              <w:spacing w:after="0"/>
              <w:rPr>
                <w:sz w:val="17"/>
                <w:szCs w:val="17"/>
                <w:color w:val="auto"/>
              </w:rPr>
            </w:pPr>
          </w:p>
        </w:tc>
        <w:tc>
          <w:tcPr>
            <w:tcW w:w="70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expenses (other than underwriting discounts and commissions) that the Company anticipates it will</w:t>
            </w:r>
          </w:p>
        </w:tc>
      </w:tr>
      <w:tr>
        <w:trPr>
          <w:trHeight w:val="214"/>
        </w:trPr>
        <w:tc>
          <w:tcPr>
            <w:tcW w:w="4200" w:type="dxa"/>
            <w:vAlign w:val="bottom"/>
          </w:tcPr>
          <w:p>
            <w:pPr>
              <w:spacing w:after="0"/>
              <w:rPr>
                <w:sz w:val="18"/>
                <w:szCs w:val="18"/>
                <w:color w:val="auto"/>
              </w:rPr>
            </w:pPr>
          </w:p>
        </w:tc>
        <w:tc>
          <w:tcPr>
            <w:tcW w:w="70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incur in connection with the offering of securities under the registration statement.</w:t>
            </w:r>
          </w:p>
        </w:tc>
      </w:tr>
    </w:tbl>
    <w:p>
      <w:pPr>
        <w:spacing w:after="0" w:line="398" w:lineRule="exact"/>
        <w:rPr>
          <w:sz w:val="20"/>
          <w:szCs w:val="20"/>
          <w:color w:val="auto"/>
        </w:rPr>
      </w:pPr>
    </w:p>
    <w:p>
      <w:pPr>
        <w:ind w:left="1"/>
        <w:spacing w:after="0"/>
        <w:tabs>
          <w:tab w:leader="none" w:pos="1121" w:val="left"/>
        </w:tabs>
        <w:rPr>
          <w:sz w:val="20"/>
          <w:szCs w:val="20"/>
          <w:color w:val="auto"/>
        </w:rPr>
      </w:pPr>
      <w:r>
        <w:rPr>
          <w:rFonts w:ascii="Times New Roman" w:cs="Times New Roman" w:eastAsia="Times New Roman" w:hAnsi="Times New Roman"/>
          <w:sz w:val="16"/>
          <w:szCs w:val="16"/>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INDEMNIFICATION OF DIRECTORS AND OFFICERS.</w:t>
      </w:r>
    </w:p>
    <w:p>
      <w:pPr>
        <w:spacing w:after="0" w:line="239" w:lineRule="exact"/>
        <w:rPr>
          <w:sz w:val="20"/>
          <w:szCs w:val="20"/>
          <w:color w:val="auto"/>
        </w:rPr>
      </w:pPr>
    </w:p>
    <w:p>
      <w:pPr>
        <w:ind w:left="1" w:right="440"/>
        <w:spacing w:after="0" w:line="296" w:lineRule="auto"/>
        <w:rPr>
          <w:sz w:val="20"/>
          <w:szCs w:val="20"/>
          <w:color w:val="auto"/>
        </w:rPr>
      </w:pPr>
      <w:r>
        <w:rPr>
          <w:rFonts w:ascii="Times New Roman" w:cs="Times New Roman" w:eastAsia="Times New Roman" w:hAnsi="Times New Roman"/>
          <w:sz w:val="16"/>
          <w:szCs w:val="16"/>
          <w:color w:val="auto"/>
        </w:rPr>
        <w:t>Our officers and directors are indemnified under Nevada law. Our Amended and Restated Articles of Incorporation and our By-laws are silent as to director and officer indemnification.</w:t>
      </w:r>
    </w:p>
    <w:p>
      <w:pPr>
        <w:spacing w:after="0" w:line="16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Nevada Revised Statute. The registrant is a Nevada corporation.</w:t>
      </w:r>
    </w:p>
    <w:p>
      <w:pPr>
        <w:spacing w:after="0" w:line="21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Section 78.138 of the Nevada Revised Statutes provides that a director or officer will not be personally liable to the corporation and its stockholders unless it is proven that</w:t>
      </w:r>
    </w:p>
    <w:p>
      <w:pPr>
        <w:spacing w:after="0" w:line="30" w:lineRule="exact"/>
        <w:rPr>
          <w:sz w:val="20"/>
          <w:szCs w:val="20"/>
          <w:color w:val="auto"/>
        </w:rPr>
      </w:pPr>
    </w:p>
    <w:p>
      <w:pPr>
        <w:jc w:val="both"/>
        <w:ind w:left="1" w:hanging="1"/>
        <w:spacing w:after="0" w:line="265" w:lineRule="auto"/>
        <w:tabs>
          <w:tab w:leader="none" w:pos="203"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or officer's acts or omissions constituted a breach of his fiduciary duties, and (ii) such breach involved intentional misconduct, fraud or a knowing violation of the law. The provisions of the Nevada Revised Statutes with respect to limiting personal liability for directors and officers are self-executing and, to the extent the provisions of our Amended and Restated Articles of Incorporation and By-laws would be deemed to be inconsistent therewith, the provisions of the Nevada Revised Statutes will control.</w:t>
      </w:r>
    </w:p>
    <w:p>
      <w:pPr>
        <w:spacing w:after="0" w:line="359" w:lineRule="exact"/>
        <w:rPr>
          <w:sz w:val="20"/>
          <w:szCs w:val="20"/>
          <w:color w:val="auto"/>
        </w:rPr>
      </w:pPr>
    </w:p>
    <w:p>
      <w:pPr>
        <w:jc w:val="both"/>
        <w:ind w:left="1"/>
        <w:spacing w:after="0" w:line="266" w:lineRule="auto"/>
        <w:rPr>
          <w:sz w:val="20"/>
          <w:szCs w:val="20"/>
          <w:color w:val="auto"/>
        </w:rPr>
      </w:pPr>
      <w:r>
        <w:rPr>
          <w:rFonts w:ascii="Times New Roman" w:cs="Times New Roman" w:eastAsia="Times New Roman" w:hAnsi="Times New Roman"/>
          <w:sz w:val="16"/>
          <w:szCs w:val="16"/>
          <w:color w:val="auto"/>
        </w:rPr>
        <w:t>Section 78.7502 of the Nevada Revised Statutes permits a corporation to indemnify a present or former director, officer, employee or agent of the corporation, or of another entity or enterprise for which such person is or was serving in such capacity at the request of the corporation, who was or is a party or is threatened to be made a party to any threatened, pending or completed action, suit or proceeding, except an action by or in the right of the corporation, against expenses, including attorneys’ fees, judgments, fines and amounts paid in settlement actually and reasonably incurred in connection therewith, arising by reason of such person’s service in such capacity if such person (i) is not liable pursuant to Section 78.138 of the</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63765"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698" w:right="239" w:bottom="1440" w:gutter="0" w:footer="0" w:header="0"/>
        </w:sectPr>
      </w:pPr>
    </w:p>
    <w:bookmarkStart w:id="84" w:name="page85"/>
    <w:bookmarkEnd w:id="84"/>
    <w:p>
      <w:pPr>
        <w:jc w:val="both"/>
        <w:spacing w:after="0" w:line="264" w:lineRule="auto"/>
        <w:rPr>
          <w:sz w:val="20"/>
          <w:szCs w:val="20"/>
          <w:color w:val="auto"/>
        </w:rPr>
      </w:pPr>
      <w:r>
        <w:rPr>
          <w:rFonts w:ascii="Times New Roman" w:cs="Times New Roman" w:eastAsia="Times New Roman" w:hAnsi="Times New Roman"/>
          <w:sz w:val="16"/>
          <w:szCs w:val="16"/>
          <w:color w:val="auto"/>
        </w:rPr>
        <w:t>Nevada Revised Statutes, or (ii) acted in good faith and in a manner which he or she reasonably believed to be in or not opposed to the best interests of the corporation and, with respect to a criminal action or proceeding, had no reasonable cause to believe his or her conduct was unlawful. In the case of actions brought by or in the right of the corporation, however, no indemnification may be made for any claim, issue or matter as to which such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such person is fairly and reasonably entitled to indemnity for such expenses as the court deems proper.</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Section 78.751 of the Nevada Revised Statutes permits any discretionary indemnification under Section 78.7502 of the Nevada Revised Statutes, unless ordered by a court or advanced to a director or officer by the corporation in accordance with the Nevada Revised Statutes, to be made by a corporation only as authorized in each specific case upon a determination that indemnification of the director, officer, employee or agent is proper in the circumstances. Such determination must be made (1) by the stockholders, (2) by the board of directors by majority vote of a quorum consisting of directors who were not parties to the action, suit or proceeding, (3) if a majority vote of a quorum consisting of directors who were not parties to the action, suit or proceeding so orders, by independent legal counsel in a written opinion, or (4) if a quorum consisting of directors who were not parties to the action, suit or proceeding cannot be obtained, by independent legal counsel in a written opinion.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16.</w:t>
            </w:r>
          </w:p>
        </w:tc>
        <w:tc>
          <w:tcPr>
            <w:tcW w:w="10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EXHIBITS.</w:t>
            </w:r>
          </w:p>
        </w:tc>
      </w:tr>
      <w:tr>
        <w:trPr>
          <w:trHeight w:val="373"/>
        </w:trPr>
        <w:tc>
          <w:tcPr>
            <w:tcW w:w="1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60" w:type="dxa"/>
            <w:vAlign w:val="bottom"/>
          </w:tcPr>
          <w:p>
            <w:pPr>
              <w:spacing w:after="0"/>
              <w:rPr>
                <w:sz w:val="24"/>
                <w:szCs w:val="24"/>
                <w:color w:val="auto"/>
              </w:rPr>
            </w:pPr>
          </w:p>
        </w:tc>
        <w:tc>
          <w:tcPr>
            <w:tcW w:w="10100" w:type="dxa"/>
            <w:vAlign w:val="bottom"/>
          </w:tcPr>
          <w:p>
            <w:pPr>
              <w:spacing w:after="0"/>
              <w:rPr>
                <w:sz w:val="24"/>
                <w:szCs w:val="24"/>
                <w:color w:val="auto"/>
              </w:rPr>
            </w:pPr>
          </w:p>
        </w:tc>
      </w:tr>
      <w:tr>
        <w:trPr>
          <w:trHeight w:val="218"/>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60" w:type="dxa"/>
            <w:vAlign w:val="bottom"/>
          </w:tcPr>
          <w:p>
            <w:pPr>
              <w:spacing w:after="0"/>
              <w:rPr>
                <w:sz w:val="18"/>
                <w:szCs w:val="18"/>
                <w:color w:val="auto"/>
              </w:rPr>
            </w:pPr>
          </w:p>
        </w:tc>
        <w:tc>
          <w:tcPr>
            <w:tcW w:w="10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100" w:type="dxa"/>
            <w:vAlign w:val="bottom"/>
            <w:tcBorders>
              <w:bottom w:val="single" w:sz="8" w:color="auto"/>
            </w:tcBorders>
          </w:tcPr>
          <w:p>
            <w:pPr>
              <w:spacing w:after="0" w:line="20" w:lineRule="exact"/>
              <w:rPr>
                <w:sz w:val="1"/>
                <w:szCs w:val="1"/>
                <w:color w:val="auto"/>
              </w:rPr>
            </w:pPr>
          </w:p>
        </w:tc>
      </w:tr>
      <w:tr>
        <w:trPr>
          <w:trHeight w:val="36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Amended Articles of Incorporation dated February 3, 2009 as filed as Exhibit 3.1 to Form 8-K filed on February 6, 2009 and incorporated herein by</w:t>
            </w:r>
          </w:p>
        </w:tc>
      </w:tr>
      <w:tr>
        <w:trPr>
          <w:trHeight w:val="197"/>
        </w:trPr>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reference</w:t>
            </w:r>
          </w:p>
        </w:tc>
      </w:t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Amended Articles of Incorporation dated May 19, 1999 as filed as Exhibit 2.1 to the Registration Statement filed on Form 10-SB on September 3,</w:t>
            </w:r>
          </w:p>
        </w:tc>
      </w:tr>
      <w:tr>
        <w:trPr>
          <w:trHeight w:val="197"/>
        </w:trPr>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1999 and incorporated herein by reference</w:t>
            </w:r>
          </w:p>
        </w:tc>
      </w:t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3.3</w:t>
            </w: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Amended and Restated Bylaws of the company dated May 10, 2004 as filed as Exhibit 3.1 to the company's Quarterly Report on Form 10-QSB as filed</w:t>
            </w:r>
          </w:p>
        </w:tc>
      </w:tr>
      <w:tr>
        <w:trPr>
          <w:trHeight w:val="197"/>
        </w:trPr>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on May 20, 2004 and incorporated herein by reference</w:t>
            </w:r>
          </w:p>
        </w:tc>
      </w:t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3.4</w:t>
            </w: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Certificate of Designation for the company’s Series A Convertible Preferred Stock, dated January 6, 2014 as filed as exhibit 3.2 to the company’s current</w:t>
            </w:r>
          </w:p>
        </w:tc>
      </w:tr>
      <w:tr>
        <w:trPr>
          <w:trHeight w:val="197"/>
        </w:trPr>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report on Form 8-K filed on January 7, 2014 and incorporated herein by reference</w:t>
            </w:r>
          </w:p>
        </w:tc>
      </w:t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3.5</w:t>
            </w: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Certificate of Amendment to Articles of Incorporation dated February 20, 2014 as filed as Exhibit 3.3 to the company’s current report on Form 8-K filed</w:t>
            </w:r>
          </w:p>
        </w:tc>
      </w:tr>
      <w:tr>
        <w:trPr>
          <w:trHeight w:val="197"/>
        </w:trPr>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on March 3, 2014 and incorporated herein by reference</w:t>
            </w:r>
          </w:p>
        </w:tc>
      </w:t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3.6</w:t>
            </w: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Certificate of Designation for the company’s Series B Convertible Preferred Stock, dated February 18, 2014 as filed as exhibit 3.2 to the company’s</w:t>
            </w:r>
          </w:p>
        </w:tc>
      </w:tr>
      <w:tr>
        <w:trPr>
          <w:trHeight w:val="197"/>
        </w:trPr>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current report on Form 8-K filed on March 3, 2014 and incorporated herein by reference</w:t>
            </w:r>
          </w:p>
        </w:tc>
      </w:t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Form of Common Stock Purchase Warrant issued on August 13, 2014 as filed as Exhibit 4.1 to the company’s current report on Form 8-K filed on</w:t>
            </w:r>
          </w:p>
        </w:tc>
      </w:tr>
      <w:tr>
        <w:trPr>
          <w:trHeight w:val="197"/>
        </w:trPr>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August 14, 2014 and incorporated herein by reference</w:t>
            </w:r>
          </w:p>
        </w:tc>
      </w:t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Form of Common Stock Purchase Warrants-Series A as filed as filed as Exhibit 4.1 to the company’s current report on Form 8-K filed on January 12,</w:t>
            </w:r>
          </w:p>
        </w:tc>
      </w:tr>
      <w:tr>
        <w:trPr>
          <w:trHeight w:val="197"/>
        </w:trPr>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2015 and incorporated herein by reference</w:t>
            </w:r>
          </w:p>
        </w:tc>
      </w:t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Form of Common Stock Purchase Warrants-Series B as filed as filed as Exhibit 4.2 to the company’s current report on Form 8-K filed on January 12,</w:t>
            </w:r>
          </w:p>
        </w:tc>
      </w:tr>
      <w:tr>
        <w:trPr>
          <w:trHeight w:val="197"/>
        </w:trPr>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2015 and incorporated herein by reference</w:t>
            </w:r>
          </w:p>
        </w:tc>
      </w:t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4.4</w:t>
            </w: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Form of Common Stock Purchase Warrants-Series C as filed as filed as Exhibit 4.3 to the company’s current report on Form 8-K filed on January 12,</w:t>
            </w:r>
          </w:p>
        </w:tc>
      </w:tr>
      <w:tr>
        <w:trPr>
          <w:trHeight w:val="197"/>
        </w:trPr>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2015 and incorporated herein by reference</w:t>
            </w:r>
          </w:p>
        </w:tc>
      </w:t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Form of Common Stock Purchase Warrants-Series D as filed as filed as Exhibit 4.4 to the company’s current report on Form 8-K filed on January 12,</w:t>
            </w:r>
          </w:p>
        </w:tc>
      </w:tr>
      <w:tr>
        <w:trPr>
          <w:trHeight w:val="197"/>
        </w:trPr>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2015 and incorporated herein by reference</w:t>
            </w:r>
          </w:p>
        </w:tc>
      </w:t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4.6</w:t>
            </w: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Form of Common Stock Purchase Warrants-Series E as filed as filed as Exhibit 4.5 to the company’s current report on Form 8-K filed on January 12,</w:t>
            </w:r>
          </w:p>
        </w:tc>
      </w:tr>
      <w:tr>
        <w:trPr>
          <w:trHeight w:val="197"/>
        </w:trPr>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2015 and incorporated herein by reference</w:t>
            </w:r>
          </w:p>
        </w:tc>
      </w:t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4.7</w:t>
            </w: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Form of Common Stock Purchase Warrants-Series A-1 as filed as filed as Exhibit 4.1 to the company’s current report on Form 8-K filed on March 10,</w:t>
            </w:r>
          </w:p>
        </w:tc>
      </w:tr>
      <w:tr>
        <w:trPr>
          <w:trHeight w:val="197"/>
        </w:trPr>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2015 and incorporated herein by reference</w:t>
            </w:r>
          </w:p>
        </w:tc>
      </w:t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4.8</w:t>
            </w: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Form of Common Stock Purchase Warrants-Series B-1 as filed as filed as Exhibit 4.2 to the company’s current report on Form 8-K filed on March 10,</w:t>
            </w:r>
          </w:p>
        </w:tc>
      </w:tr>
      <w:tr>
        <w:trPr>
          <w:trHeight w:val="197"/>
        </w:trPr>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2015 and incorporated herein by reference</w:t>
            </w:r>
          </w:p>
        </w:tc>
      </w:t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4.9</w:t>
            </w: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Form of Common Stock Purchase Warrants-Series C-1 as filed as filed as Exhibit 4.3 to the company’s current report on Form 8-K filed on March 10,</w:t>
            </w:r>
          </w:p>
        </w:tc>
      </w:tr>
      <w:tr>
        <w:trPr>
          <w:trHeight w:val="197"/>
        </w:trPr>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2015 and incorporated herein by reference</w:t>
            </w:r>
          </w:p>
        </w:tc>
      </w:t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4.10</w:t>
            </w: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Form of Common Stock Purchase Warrants-Series D-1 as filed as filed as Exhibit 4.4 to the company’s current report on Form 8-K filed on March 10,</w:t>
            </w:r>
          </w:p>
        </w:tc>
      </w:tr>
      <w:tr>
        <w:trPr>
          <w:trHeight w:val="197"/>
        </w:trPr>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2015 and incorporated herein by reference</w:t>
            </w:r>
          </w:p>
        </w:tc>
      </w:t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4.11</w:t>
            </w: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Form of Common Stock Purchase Warrants-Series E-1 as filed as filed as Exhibit 4.5 to the company’s current report on Form 8-K filed on March 10,</w:t>
            </w:r>
          </w:p>
        </w:tc>
      </w:tr>
      <w:tr>
        <w:trPr>
          <w:trHeight w:val="197"/>
        </w:trPr>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2015 and incorporated herein by reference</w:t>
            </w:r>
          </w:p>
        </w:tc>
      </w:t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5.1</w:t>
            </w: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Opinion of Sanders Ortoli Vaughn-Flam Rosenstadt LLP*</w:t>
            </w:r>
          </w:p>
        </w:tc>
      </w:t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Form of Securities Purchase Agreement, dated as of August 11, 2014, by and among the company and the Purchasers in the August 2014 offering as filed</w:t>
            </w:r>
          </w:p>
        </w:tc>
      </w:tr>
      <w:tr>
        <w:trPr>
          <w:trHeight w:val="197"/>
        </w:trPr>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as Exhibit 10.1 to the company’s current report on Form 8-K filed on August 14, 2014 and incorporated herein by reference</w:t>
            </w:r>
          </w:p>
        </w:tc>
      </w:t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Form of Securities Purchase Agreement, dated as of January 12, 2015, by and among the Company and the Purchasers in the January offering as filed as</w:t>
            </w:r>
          </w:p>
        </w:tc>
      </w:tr>
      <w:tr>
        <w:trPr>
          <w:trHeight w:val="197"/>
        </w:trPr>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Exhibit 10.1 to the company’s current report on Form 8-K filed on January 12, 2015 and incorporated herein by reference</w:t>
            </w:r>
          </w:p>
        </w:tc>
      </w:t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Securities Purchase Agreement, dated as of March 9, 2015, between the Company and Eastern Capital Limited as filed as Exhibit 10.1 to the company’s</w:t>
            </w:r>
          </w:p>
        </w:tc>
      </w:tr>
      <w:tr>
        <w:trPr>
          <w:trHeight w:val="197"/>
        </w:trPr>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current report on Form 8-K filed on March 10, 2015 and incorporated herein by reference</w:t>
            </w:r>
          </w:p>
        </w:tc>
      </w:t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Form of Restructuring Agreement, dated as of May 28, 2015, among the company and the purchasers in the January 2015 offering and the March 2015</w:t>
            </w:r>
          </w:p>
        </w:tc>
      </w:tr>
      <w:tr>
        <w:trPr>
          <w:trHeight w:val="197"/>
        </w:trPr>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offering as filed as Exhibit 10.1 to the company’s current report on Form 8-K filed on June 3, 2015 and incorporated herein by reference</w:t>
            </w:r>
          </w:p>
        </w:tc>
      </w:t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Amended and Restated Restructuring Agreement, dated as June 2, 2015, between the company and Eastern Capital Limited as filed as Exhibit 10.1 to the</w:t>
            </w:r>
          </w:p>
        </w:tc>
      </w:tr>
      <w:tr>
        <w:trPr>
          <w:trHeight w:val="197"/>
        </w:trPr>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company’s current report on Form 8-K filed on June 5, 2015 and incorporated herein by reference</w:t>
            </w:r>
          </w:p>
        </w:tc>
      </w:t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List of subsidiaries as filed as Exhibit 21.2 to the company’s registration statement on Form S-1 filed on June 16, 2010 and incorporated herein by</w:t>
            </w:r>
          </w:p>
        </w:tc>
      </w:tr>
      <w:tr>
        <w:trPr>
          <w:trHeight w:val="197"/>
        </w:trPr>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reference</w:t>
            </w:r>
          </w:p>
        </w:tc>
      </w:t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Consent of Dale Matheson Carr-Hilton LaBonte LLP*</w:t>
            </w:r>
          </w:p>
        </w:tc>
      </w:t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23.2</w:t>
            </w: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Consent of Marcum LLP*</w:t>
            </w:r>
          </w:p>
        </w:tc>
      </w:t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23.2</w:t>
            </w:r>
          </w:p>
        </w:tc>
        <w:tc>
          <w:tcPr>
            <w:tcW w:w="260" w:type="dxa"/>
            <w:vAlign w:val="bottom"/>
          </w:tcPr>
          <w:p>
            <w:pPr>
              <w:spacing w:after="0"/>
              <w:rPr>
                <w:sz w:val="17"/>
                <w:szCs w:val="17"/>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Consent of Sanders Ortoli Vaughn-Flam Rosenstadt LLP (included in the opinion filed as Exhibit 5.1)</w:t>
            </w:r>
          </w:p>
        </w:tc>
      </w:tr>
      <w:tr>
        <w:trPr>
          <w:trHeight w:val="214"/>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24.1</w:t>
            </w:r>
          </w:p>
        </w:tc>
        <w:tc>
          <w:tcPr>
            <w:tcW w:w="26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6"/>
                <w:szCs w:val="16"/>
                <w:color w:val="auto"/>
              </w:rPr>
              <w:t>Power of Attorney (included on the signature page to this Registration Statement)*</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Filed herewith</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63765" cy="20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013" w:gutter="0" w:footer="0" w:header="0"/>
        </w:sectPr>
      </w:pPr>
    </w:p>
    <w:bookmarkStart w:id="85" w:name="page86"/>
    <w:bookmarkEnd w:id="85"/>
    <w:p>
      <w:pPr>
        <w:ind w:left="1"/>
        <w:spacing w:after="0"/>
        <w:tabs>
          <w:tab w:leader="none" w:pos="1241" w:val="left"/>
        </w:tabs>
        <w:rPr>
          <w:sz w:val="20"/>
          <w:szCs w:val="20"/>
          <w:color w:val="auto"/>
        </w:rPr>
      </w:pPr>
      <w:r>
        <w:rPr>
          <w:rFonts w:ascii="Times New Roman" w:cs="Times New Roman" w:eastAsia="Times New Roman" w:hAnsi="Times New Roman"/>
          <w:sz w:val="16"/>
          <w:szCs w:val="16"/>
          <w:b w:val="1"/>
          <w:bCs w:val="1"/>
          <w:color w:val="auto"/>
        </w:rPr>
        <w:t>ITEM 17.</w:t>
      </w:r>
      <w:r>
        <w:rPr>
          <w:sz w:val="20"/>
          <w:szCs w:val="20"/>
          <w:color w:val="auto"/>
        </w:rPr>
        <w:tab/>
      </w:r>
      <w:r>
        <w:rPr>
          <w:rFonts w:ascii="Times New Roman" w:cs="Times New Roman" w:eastAsia="Times New Roman" w:hAnsi="Times New Roman"/>
          <w:sz w:val="16"/>
          <w:szCs w:val="16"/>
          <w:b w:val="1"/>
          <w:bCs w:val="1"/>
          <w:color w:val="auto"/>
        </w:rPr>
        <w:t>UNDERTAKINGS.</w:t>
      </w:r>
    </w:p>
    <w:p>
      <w:pPr>
        <w:spacing w:after="0" w:line="214" w:lineRule="exact"/>
        <w:rPr>
          <w:sz w:val="20"/>
          <w:szCs w:val="20"/>
          <w:color w:val="auto"/>
        </w:rPr>
      </w:pPr>
    </w:p>
    <w:p>
      <w:pPr>
        <w:ind w:left="1"/>
        <w:spacing w:after="0"/>
        <w:tabs>
          <w:tab w:leader="none" w:pos="3961" w:val="left"/>
        </w:tabs>
        <w:rPr>
          <w:sz w:val="20"/>
          <w:szCs w:val="20"/>
          <w:color w:val="auto"/>
        </w:rPr>
      </w:pPr>
      <w:r>
        <w:rPr>
          <w:rFonts w:ascii="Times New Roman" w:cs="Times New Roman" w:eastAsia="Times New Roman" w:hAnsi="Times New Roman"/>
          <w:sz w:val="16"/>
          <w:szCs w:val="16"/>
          <w:color w:val="auto"/>
        </w:rPr>
        <w:t>A.</w:t>
      </w:r>
      <w:r>
        <w:rPr>
          <w:sz w:val="20"/>
          <w:szCs w:val="20"/>
          <w:color w:val="auto"/>
        </w:rPr>
        <w:tab/>
      </w:r>
      <w:r>
        <w:rPr>
          <w:rFonts w:ascii="Times New Roman" w:cs="Times New Roman" w:eastAsia="Times New Roman" w:hAnsi="Times New Roman"/>
          <w:sz w:val="16"/>
          <w:szCs w:val="16"/>
          <w:color w:val="auto"/>
        </w:rPr>
        <w:t>RULE 415 OFFERING</w:t>
      </w:r>
    </w:p>
    <w:p>
      <w:pPr>
        <w:spacing w:after="0" w:line="21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undersigned registrant hereby undertakes:</w:t>
      </w:r>
    </w:p>
    <w:p>
      <w:pPr>
        <w:spacing w:after="0" w:line="210" w:lineRule="exact"/>
        <w:rPr>
          <w:sz w:val="20"/>
          <w:szCs w:val="20"/>
          <w:color w:val="auto"/>
        </w:rPr>
      </w:pPr>
    </w:p>
    <w:p>
      <w:pPr>
        <w:ind w:left="261" w:hanging="261"/>
        <w:spacing w:after="0"/>
        <w:tabs>
          <w:tab w:leader="none" w:pos="261"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during any period in which offers or sales are being made, a post-effective amendment to this Registration Statement:</w:t>
      </w:r>
    </w:p>
    <w:p>
      <w:pPr>
        <w:spacing w:after="0" w:line="210" w:lineRule="exact"/>
        <w:rPr>
          <w:rFonts w:ascii="Times New Roman" w:cs="Times New Roman" w:eastAsia="Times New Roman" w:hAnsi="Times New Roman"/>
          <w:sz w:val="16"/>
          <w:szCs w:val="16"/>
          <w:color w:val="auto"/>
        </w:rPr>
      </w:pPr>
    </w:p>
    <w:p>
      <w:pPr>
        <w:ind w:left="821" w:hanging="230"/>
        <w:spacing w:after="0"/>
        <w:tabs>
          <w:tab w:leader="none" w:pos="821"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prospectus required by Section 10(a)(3) of the Securities Act of 1933, as amended;</w:t>
      </w:r>
    </w:p>
    <w:p>
      <w:pPr>
        <w:spacing w:after="0" w:line="210" w:lineRule="exact"/>
        <w:rPr>
          <w:rFonts w:ascii="Times New Roman" w:cs="Times New Roman" w:eastAsia="Times New Roman" w:hAnsi="Times New Roman"/>
          <w:sz w:val="16"/>
          <w:szCs w:val="16"/>
          <w:color w:val="auto"/>
        </w:rPr>
      </w:pPr>
    </w:p>
    <w:p>
      <w:pPr>
        <w:jc w:val="both"/>
        <w:ind w:left="581" w:firstLine="10"/>
        <w:spacing w:after="0" w:line="264" w:lineRule="auto"/>
        <w:tabs>
          <w:tab w:leader="none" w:pos="864"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89" w:lineRule="exact"/>
        <w:rPr>
          <w:rFonts w:ascii="Times New Roman" w:cs="Times New Roman" w:eastAsia="Times New Roman" w:hAnsi="Times New Roman"/>
          <w:sz w:val="16"/>
          <w:szCs w:val="16"/>
          <w:color w:val="auto"/>
        </w:rPr>
      </w:pPr>
    </w:p>
    <w:p>
      <w:pPr>
        <w:ind w:left="1" w:firstLine="590"/>
        <w:spacing w:after="0" w:line="296" w:lineRule="auto"/>
        <w:tabs>
          <w:tab w:leader="none" w:pos="921"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3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Provided, however, That:</w:t>
      </w:r>
    </w:p>
    <w:p>
      <w:pPr>
        <w:spacing w:after="0" w:line="210" w:lineRule="exact"/>
        <w:rPr>
          <w:sz w:val="20"/>
          <w:szCs w:val="20"/>
          <w:color w:val="auto"/>
        </w:rPr>
      </w:pPr>
    </w:p>
    <w:p>
      <w:pPr>
        <w:jc w:val="both"/>
        <w:ind w:left="581" w:firstLine="10"/>
        <w:spacing w:after="0" w:line="276" w:lineRule="auto"/>
        <w:tabs>
          <w:tab w:leader="none" w:pos="854"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Paragraphs (a)(1)(i) and (a)(1)(ii) of this section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and</w:t>
      </w:r>
    </w:p>
    <w:p>
      <w:pPr>
        <w:spacing w:after="0" w:line="153" w:lineRule="exact"/>
        <w:rPr>
          <w:rFonts w:ascii="Times New Roman" w:cs="Times New Roman" w:eastAsia="Times New Roman" w:hAnsi="Times New Roman"/>
          <w:sz w:val="16"/>
          <w:szCs w:val="16"/>
          <w:color w:val="auto"/>
        </w:rPr>
      </w:pPr>
    </w:p>
    <w:p>
      <w:pPr>
        <w:jc w:val="both"/>
        <w:ind w:left="581" w:firstLine="10"/>
        <w:spacing w:after="0" w:line="270" w:lineRule="auto"/>
        <w:tabs>
          <w:tab w:leader="none" w:pos="842"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Paragraphs (a)(1)(i), (a)(1)(ii), and (a)(1)(iii) of this section do not apply if the registration statement is on Form S-3 or Form F-3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57" w:lineRule="exact"/>
        <w:rPr>
          <w:rFonts w:ascii="Times New Roman" w:cs="Times New Roman" w:eastAsia="Times New Roman" w:hAnsi="Times New Roman"/>
          <w:sz w:val="16"/>
          <w:szCs w:val="16"/>
          <w:color w:val="auto"/>
        </w:rPr>
      </w:pPr>
    </w:p>
    <w:p>
      <w:pPr>
        <w:ind w:left="1" w:hanging="1"/>
        <w:spacing w:after="0" w:line="296" w:lineRule="auto"/>
        <w:tabs>
          <w:tab w:leader="none" w:pos="307"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any liability under the Securities Act of 1933, as amended, each such post- effective amendment shall be deemed to be a new registration statement relating to the securities offered therein, and the offering of such securities at that time shall be deemed to be initial bona fide offering thereof.</w:t>
      </w:r>
    </w:p>
    <w:p>
      <w:pPr>
        <w:spacing w:after="0" w:line="137" w:lineRule="exact"/>
        <w:rPr>
          <w:rFonts w:ascii="Times New Roman" w:cs="Times New Roman" w:eastAsia="Times New Roman" w:hAnsi="Times New Roman"/>
          <w:sz w:val="16"/>
          <w:szCs w:val="16"/>
          <w:color w:val="auto"/>
        </w:rPr>
      </w:pPr>
    </w:p>
    <w:p>
      <w:pPr>
        <w:ind w:left="261" w:hanging="261"/>
        <w:spacing w:after="0"/>
        <w:tabs>
          <w:tab w:leader="none" w:pos="261"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remove from registration by means of a post-effective amendment any of the securities being registered which remain unsold at the termination of the offering.</w:t>
      </w:r>
    </w:p>
    <w:p>
      <w:pPr>
        <w:spacing w:after="0" w:line="210" w:lineRule="exact"/>
        <w:rPr>
          <w:rFonts w:ascii="Times New Roman" w:cs="Times New Roman" w:eastAsia="Times New Roman" w:hAnsi="Times New Roman"/>
          <w:sz w:val="16"/>
          <w:szCs w:val="16"/>
          <w:color w:val="auto"/>
        </w:rPr>
      </w:pPr>
    </w:p>
    <w:p>
      <w:pPr>
        <w:ind w:left="261" w:hanging="261"/>
        <w:spacing w:after="0"/>
        <w:tabs>
          <w:tab w:leader="none" w:pos="261"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liability under the Securities Act of 1933, as amended, to any purchaser:</w:t>
      </w:r>
    </w:p>
    <w:p>
      <w:pPr>
        <w:spacing w:after="0" w:line="210" w:lineRule="exact"/>
        <w:rPr>
          <w:rFonts w:ascii="Times New Roman" w:cs="Times New Roman" w:eastAsia="Times New Roman" w:hAnsi="Times New Roman"/>
          <w:sz w:val="16"/>
          <w:szCs w:val="16"/>
          <w:color w:val="auto"/>
        </w:rPr>
      </w:pPr>
    </w:p>
    <w:p>
      <w:pPr>
        <w:ind w:left="581" w:firstLine="10"/>
        <w:spacing w:after="0" w:line="296" w:lineRule="auto"/>
        <w:tabs>
          <w:tab w:leader="none" w:pos="861"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37" w:lineRule="exact"/>
        <w:rPr>
          <w:rFonts w:ascii="Times New Roman" w:cs="Times New Roman" w:eastAsia="Times New Roman" w:hAnsi="Times New Roman"/>
          <w:sz w:val="16"/>
          <w:szCs w:val="16"/>
          <w:color w:val="auto"/>
        </w:rPr>
      </w:pPr>
    </w:p>
    <w:p>
      <w:pPr>
        <w:jc w:val="both"/>
        <w:ind w:left="581" w:firstLine="10"/>
        <w:spacing w:after="0" w:line="261" w:lineRule="auto"/>
        <w:tabs>
          <w:tab w:leader="none" w:pos="856"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the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rFonts w:ascii="Times New Roman" w:cs="Times New Roman" w:eastAsia="Times New Roman" w:hAnsi="Times New Roman"/>
          <w:sz w:val="16"/>
          <w:szCs w:val="16"/>
          <w:color w:val="auto"/>
        </w:rPr>
      </w:pPr>
    </w:p>
    <w:p>
      <w:pPr>
        <w:jc w:val="both"/>
        <w:ind w:left="1" w:hanging="1"/>
        <w:spacing w:after="0" w:line="270" w:lineRule="auto"/>
        <w:tabs>
          <w:tab w:leader="none" w:pos="285"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liability of the registrant under the Securities Act of 1933, as amended,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7" w:lineRule="exact"/>
        <w:rPr>
          <w:sz w:val="20"/>
          <w:szCs w:val="20"/>
          <w:color w:val="auto"/>
        </w:rPr>
      </w:pPr>
    </w:p>
    <w:p>
      <w:pPr>
        <w:ind w:left="201" w:hanging="201"/>
        <w:spacing w:after="0"/>
        <w:tabs>
          <w:tab w:leader="none" w:pos="201"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preliminary prospectus or prospectus of the undersigned registrant relating to the offering required to be filed pursuant to Rule 424;</w:t>
      </w:r>
    </w:p>
    <w:p>
      <w:pPr>
        <w:spacing w:after="0" w:line="234" w:lineRule="exact"/>
        <w:rPr>
          <w:rFonts w:ascii="Times New Roman" w:cs="Times New Roman" w:eastAsia="Times New Roman" w:hAnsi="Times New Roman"/>
          <w:sz w:val="16"/>
          <w:szCs w:val="16"/>
          <w:color w:val="auto"/>
        </w:rPr>
      </w:pPr>
    </w:p>
    <w:p>
      <w:pPr>
        <w:ind w:left="241" w:hanging="241"/>
        <w:spacing w:after="0"/>
        <w:tabs>
          <w:tab w:leader="none" w:pos="241"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free writing prospectus relating to the offering prepared by or on behalf of the undersigned registrant or used or referred to by the undersigned registrant;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63765" cy="20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698" w:right="239" w:bottom="1440" w:gutter="0" w:footer="0" w:header="0"/>
        </w:sectPr>
      </w:pPr>
    </w:p>
    <w:bookmarkStart w:id="86" w:name="page87"/>
    <w:bookmarkEnd w:id="86"/>
    <w:p>
      <w:pPr>
        <w:ind w:left="1" w:hanging="1"/>
        <w:spacing w:after="0" w:line="296" w:lineRule="auto"/>
        <w:tabs>
          <w:tab w:leader="none" w:pos="289"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portion of any other free writing prospectuses relating to the offering containing material information about the undersigned registrant or its securities provided by or on behalf of the undersigned registrant; and</w:t>
      </w:r>
    </w:p>
    <w:p>
      <w:pPr>
        <w:spacing w:after="0" w:line="137" w:lineRule="exact"/>
        <w:rPr>
          <w:rFonts w:ascii="Times New Roman" w:cs="Times New Roman" w:eastAsia="Times New Roman" w:hAnsi="Times New Roman"/>
          <w:sz w:val="16"/>
          <w:szCs w:val="16"/>
          <w:color w:val="auto"/>
        </w:rPr>
      </w:pPr>
    </w:p>
    <w:p>
      <w:pPr>
        <w:ind w:left="281" w:hanging="281"/>
        <w:spacing w:after="0"/>
        <w:tabs>
          <w:tab w:leader="none" w:pos="281"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communication that is an offer in the offering made by the undersigned registrant to the purchaser.</w:t>
      </w:r>
    </w:p>
    <w:p>
      <w:pPr>
        <w:spacing w:after="0" w:line="210" w:lineRule="exact"/>
        <w:rPr>
          <w:sz w:val="20"/>
          <w:szCs w:val="20"/>
          <w:color w:val="auto"/>
        </w:rPr>
      </w:pPr>
    </w:p>
    <w:p>
      <w:pPr>
        <w:jc w:val="both"/>
        <w:ind w:left="1" w:hanging="1"/>
        <w:spacing w:after="0" w:line="266" w:lineRule="auto"/>
        <w:tabs>
          <w:tab w:leader="none" w:pos="279"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are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63" w:lineRule="exact"/>
        <w:rPr>
          <w:sz w:val="20"/>
          <w:szCs w:val="20"/>
          <w:color w:val="auto"/>
        </w:rPr>
      </w:pPr>
    </w:p>
    <w:p>
      <w:pPr>
        <w:jc w:val="both"/>
        <w:ind w:left="1" w:hanging="1"/>
        <w:spacing w:after="0" w:line="263" w:lineRule="auto"/>
        <w:tabs>
          <w:tab w:leader="none" w:pos="308"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63765" cy="20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480" w:right="2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380" w:firstLine="443"/>
        <w:spacing w:after="0" w:line="296"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the registrant has duly caused this registration statement to be signed on its behalf by the undersigned, thereunto duly authorized, on June 19, 2015.</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TapImmune Inc.</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Glynn Wilson</w:t>
            </w:r>
          </w:p>
        </w:tc>
        <w:tc>
          <w:tcPr>
            <w:tcW w:w="2480" w:type="dxa"/>
            <w:vAlign w:val="bottom"/>
          </w:tcPr>
          <w:p>
            <w:pPr>
              <w:spacing w:after="0"/>
              <w:rPr>
                <w:sz w:val="16"/>
                <w:szCs w:val="16"/>
                <w:color w:val="auto"/>
              </w:rPr>
            </w:pPr>
          </w:p>
        </w:tc>
      </w:tr>
      <w:tr>
        <w:trPr>
          <w:trHeight w:val="198"/>
        </w:trPr>
        <w:tc>
          <w:tcPr>
            <w:tcW w:w="102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Glynn Wilson</w:t>
            </w:r>
          </w:p>
        </w:tc>
      </w:tr>
      <w:tr>
        <w:trPr>
          <w:trHeight w:val="197"/>
        </w:trPr>
        <w:tc>
          <w:tcPr>
            <w:tcW w:w="102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Executive Officer (Principal Executive Officer),</w:t>
            </w:r>
          </w:p>
        </w:tc>
      </w:tr>
      <w:tr>
        <w:trPr>
          <w:trHeight w:val="214"/>
        </w:trPr>
        <w:tc>
          <w:tcPr>
            <w:tcW w:w="10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Financial Officer (Principal Accounting Officer)</w:t>
            </w:r>
          </w:p>
        </w:tc>
      </w:tr>
    </w:tbl>
    <w:p>
      <w:pPr>
        <w:spacing w:after="0" w:line="200" w:lineRule="exact"/>
        <w:rPr>
          <w:sz w:val="20"/>
          <w:szCs w:val="20"/>
          <w:color w:val="auto"/>
        </w:rPr>
      </w:pPr>
    </w:p>
    <w:p>
      <w:pPr>
        <w:spacing w:after="0" w:line="3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as amended, this Registration Statement has been signed by the following persons in the capacities and on the dates indicated. Each person in so signing also makes, constitutes and appoints Glynn Wilson, his or her true and lawful attorney-in-fact, with full power of substitution, in any and all capacities, to execute and cause to be filed with the Securities and Exchange Commission pursuant to the requirements of the Securities Act of 1933, as amended, any and all amendments and post-effective amendments to this Registration Statement, with exhibits to such registration statements and amendments and other documents in connection therewith, and hereby ratifies and confirms all that said attorney-in-fact or his or her substitute or substitutes may do or cause to be done by virtue hereof.</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0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520" w:type="dxa"/>
            <w:vAlign w:val="bottom"/>
          </w:tcPr>
          <w:p>
            <w:pPr>
              <w:spacing w:after="0"/>
              <w:rPr>
                <w:sz w:val="18"/>
                <w:szCs w:val="18"/>
                <w:color w:val="auto"/>
              </w:rPr>
            </w:pPr>
          </w:p>
        </w:tc>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Title</w:t>
            </w:r>
          </w:p>
        </w:tc>
        <w:tc>
          <w:tcPr>
            <w:tcW w:w="260" w:type="dxa"/>
            <w:vAlign w:val="bottom"/>
          </w:tcPr>
          <w:p>
            <w:pPr>
              <w:spacing w:after="0"/>
              <w:rPr>
                <w:sz w:val="18"/>
                <w:szCs w:val="18"/>
                <w:color w:val="auto"/>
              </w:rPr>
            </w:pPr>
          </w:p>
        </w:tc>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346"/>
        </w:trPr>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Sherry Grisewood</w:t>
            </w:r>
          </w:p>
        </w:tc>
        <w:tc>
          <w:tcPr>
            <w:tcW w:w="162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June 19, 2015</w:t>
            </w:r>
          </w:p>
        </w:tc>
      </w:tr>
      <w:tr>
        <w:trPr>
          <w:trHeight w:val="215"/>
        </w:trPr>
        <w:tc>
          <w:tcPr>
            <w:tcW w:w="30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Sherry Grisewood</w:t>
            </w:r>
          </w:p>
        </w:tc>
        <w:tc>
          <w:tcPr>
            <w:tcW w:w="5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56"/>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Glynn Wilson</w:t>
            </w:r>
          </w:p>
        </w:tc>
        <w:tc>
          <w:tcPr>
            <w:tcW w:w="190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June 19, 2015</w:t>
            </w:r>
          </w:p>
        </w:tc>
      </w:tr>
      <w:tr>
        <w:trPr>
          <w:trHeight w:val="215"/>
        </w:trPr>
        <w:tc>
          <w:tcPr>
            <w:tcW w:w="30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Glynn Wilson</w:t>
            </w:r>
          </w:p>
        </w:tc>
        <w:tc>
          <w:tcPr>
            <w:tcW w:w="5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56"/>
        </w:trPr>
        <w:tc>
          <w:tcPr>
            <w:tcW w:w="30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/s/David Laskow-Pooley</w:t>
            </w:r>
          </w:p>
        </w:tc>
        <w:tc>
          <w:tcPr>
            <w:tcW w:w="5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15"/>
        </w:trPr>
        <w:tc>
          <w:tcPr>
            <w:tcW w:w="16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David Laskow-Pooley</w:t>
            </w: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June19, 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263765"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3765" cy="41275"/>
                    </a:xfrm>
                    <a:prstGeom prst="rect">
                      <a:avLst/>
                    </a:prstGeom>
                    <a:noFill/>
                  </pic:spPr>
                </pic:pic>
              </a:graphicData>
            </a:graphic>
          </wp:anchor>
        </w:drawing>
      </w:r>
    </w:p>
    <w:p>
      <w:pPr>
        <w:sectPr>
          <w:pgSz w:w="11900" w:h="16838" w:orient="portrait"/>
          <w:cols w:equalWidth="0" w:num="1">
            <w:col w:w="11420"/>
          </w:cols>
          <w:pgMar w:left="240" w:top="1289" w:right="2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149225</wp:posOffset>
            </wp:positionH>
            <wp:positionV relativeFrom="page">
              <wp:posOffset>328930</wp:posOffset>
            </wp:positionV>
            <wp:extent cx="7263765" cy="36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3765" cy="36195"/>
                    </a:xfrm>
                    <a:prstGeom prst="rect">
                      <a:avLst/>
                    </a:prstGeom>
                    <a:noFill/>
                  </pic:spPr>
                </pic:pic>
              </a:graphicData>
            </a:graphic>
          </wp:anchor>
        </w:drawing>
        <w:t>EXHIBIT 5.1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19, 2015</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TapImmune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1551 Eastlake Avenue East,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Suite 100, Seattle, WA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235" w:lineRule="exact"/>
        <w:rPr>
          <w:sz w:val="20"/>
          <w:szCs w:val="20"/>
          <w:color w:val="auto"/>
        </w:rPr>
      </w:pPr>
    </w:p>
    <w:p>
      <w:pPr>
        <w:jc w:val="both"/>
        <w:ind w:firstLine="591"/>
        <w:spacing w:after="0" w:line="276" w:lineRule="auto"/>
        <w:rPr>
          <w:sz w:val="20"/>
          <w:szCs w:val="20"/>
          <w:color w:val="auto"/>
        </w:rPr>
      </w:pPr>
      <w:r>
        <w:rPr>
          <w:rFonts w:ascii="Times New Roman" w:cs="Times New Roman" w:eastAsia="Times New Roman" w:hAnsi="Times New Roman"/>
          <w:sz w:val="16"/>
          <w:szCs w:val="16"/>
          <w:color w:val="auto"/>
        </w:rPr>
        <w:t>We have acted as counsel for TapImmune Inc. (the “Company”) in connection with the preparation of the Company’s Registration Statement on Form S-1 filed with the Securities and Exchange Commission on June 19, 2015, concerning the registration of up to 93,126,792 shares of the Company’s common stock (the “Common Stock”) by certain stockholders of the Company (the “Selling Stockholders”).</w:t>
      </w:r>
    </w:p>
    <w:p>
      <w:pPr>
        <w:spacing w:after="0" w:line="154" w:lineRule="exact"/>
        <w:rPr>
          <w:sz w:val="20"/>
          <w:szCs w:val="20"/>
          <w:color w:val="auto"/>
        </w:rPr>
      </w:pPr>
    </w:p>
    <w:p>
      <w:pPr>
        <w:jc w:val="both"/>
        <w:ind w:firstLine="591"/>
        <w:spacing w:after="0" w:line="264" w:lineRule="auto"/>
        <w:rPr>
          <w:sz w:val="20"/>
          <w:szCs w:val="20"/>
          <w:color w:val="auto"/>
        </w:rPr>
      </w:pPr>
      <w:r>
        <w:rPr>
          <w:rFonts w:ascii="Times New Roman" w:cs="Times New Roman" w:eastAsia="Times New Roman" w:hAnsi="Times New Roman"/>
          <w:sz w:val="16"/>
          <w:szCs w:val="16"/>
          <w:color w:val="auto"/>
        </w:rPr>
        <w:t>We have examined the Articles of Incorporation, as amended, and the Bylaws, as amended, of the Company and the record of the Company’s corporate proceedings concerning the registration described above. In addition, we have examined such other certificates, agreements, documents and papers, and we have made such other inquiries and investigations of law as we have deemed appropriate and necessary to express the opinion set forth in this letter. In our examinations, we have assumed the genuineness of all signatures, the authenticity of all documents submitted to us as originals, photostatic, or conformed copies and the authenticity of the originals of all such latter documents. In addition, as to certain matters we have relied upon certificates and advice from various state authorities and public officials, and we have assumed the accuracy of the material and the factual matters contained herein.</w:t>
      </w:r>
    </w:p>
    <w:p>
      <w:pPr>
        <w:spacing w:after="0" w:line="165" w:lineRule="exact"/>
        <w:rPr>
          <w:sz w:val="20"/>
          <w:szCs w:val="20"/>
          <w:color w:val="auto"/>
        </w:rPr>
      </w:pPr>
    </w:p>
    <w:p>
      <w:pPr>
        <w:jc w:val="both"/>
        <w:ind w:firstLine="591"/>
        <w:spacing w:after="0" w:line="276" w:lineRule="auto"/>
        <w:rPr>
          <w:sz w:val="20"/>
          <w:szCs w:val="20"/>
          <w:color w:val="auto"/>
        </w:rPr>
      </w:pPr>
      <w:r>
        <w:rPr>
          <w:rFonts w:ascii="Times New Roman" w:cs="Times New Roman" w:eastAsia="Times New Roman" w:hAnsi="Times New Roman"/>
          <w:sz w:val="16"/>
          <w:szCs w:val="16"/>
          <w:color w:val="auto"/>
        </w:rPr>
        <w:t>Subject to the foregoing and on the basis of the aforementioned examinations and investigations, it is our opinion that the shares of Common Stock that may be issued to the Selling Stockholders, when issued in accordance with the terms described in the constituent documents and the Articles of Incorporation, as amended, will be validly issued and fully paid and non-assessable.</w:t>
      </w:r>
    </w:p>
    <w:p>
      <w:pPr>
        <w:spacing w:after="0" w:line="154" w:lineRule="exact"/>
        <w:rPr>
          <w:sz w:val="20"/>
          <w:szCs w:val="20"/>
          <w:color w:val="auto"/>
        </w:rPr>
      </w:pPr>
    </w:p>
    <w:p>
      <w:pPr>
        <w:jc w:val="both"/>
        <w:ind w:firstLine="591"/>
        <w:spacing w:after="0" w:line="276" w:lineRule="auto"/>
        <w:rPr>
          <w:sz w:val="20"/>
          <w:szCs w:val="20"/>
          <w:color w:val="auto"/>
        </w:rPr>
      </w:pPr>
      <w:r>
        <w:rPr>
          <w:rFonts w:ascii="Times New Roman" w:cs="Times New Roman" w:eastAsia="Times New Roman" w:hAnsi="Times New Roman"/>
          <w:sz w:val="16"/>
          <w:szCs w:val="16"/>
          <w:color w:val="auto"/>
        </w:rPr>
        <w:t>We hereby consent (a) to be named in the Registration Statement and in the prospectus that constitutes a part of the Registration Statement as acting as counsel in connection with the offering, including with respect to the issuance of securities offered in the offering; and (b) to the filing of this opinion as an exhibit to the Registration Statement.</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This opinion is to be used solely for the purpose of the registration of the Common Stock and may not be used for any other purpose.</w:t>
      </w:r>
    </w:p>
    <w:p>
      <w:pPr>
        <w:spacing w:after="0" w:line="200" w:lineRule="exact"/>
        <w:rPr>
          <w:sz w:val="20"/>
          <w:szCs w:val="20"/>
          <w:color w:val="auto"/>
        </w:rPr>
      </w:pP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21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u w:val="single" w:color="auto"/>
          <w:color w:val="auto"/>
        </w:rPr>
        <w:t>/s/ SANDERS ORTOLI VAUGHN-FLAM ROSENSTADT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1635760</wp:posOffset>
            </wp:positionV>
            <wp:extent cx="7263765"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3765" cy="41275"/>
                    </a:xfrm>
                    <a:prstGeom prst="rect">
                      <a:avLst/>
                    </a:prstGeom>
                    <a:noFill/>
                  </pic:spPr>
                </pic:pic>
              </a:graphicData>
            </a:graphic>
          </wp:anchor>
        </w:drawing>
      </w:r>
    </w:p>
    <w:p>
      <w:pPr>
        <w:sectPr>
          <w:pgSz w:w="11900" w:h="16838" w:orient="portrait"/>
          <w:cols w:equalWidth="0" w:num="1">
            <w:col w:w="11420"/>
          </w:cols>
          <w:pgMar w:left="240" w:top="628" w:right="2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149225</wp:posOffset>
            </wp:positionH>
            <wp:positionV relativeFrom="page">
              <wp:posOffset>328930</wp:posOffset>
            </wp:positionV>
            <wp:extent cx="7263765" cy="36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3765" cy="36195"/>
                    </a:xfrm>
                    <a:prstGeom prst="rect">
                      <a:avLst/>
                    </a:prstGeom>
                    <a:noFill/>
                  </pic:spPr>
                </pic:pic>
              </a:graphicData>
            </a:graphic>
          </wp:anchor>
        </w:drawing>
        <w:t>EXHIBIT 23.2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INDEPENDENT REGISTERED PUBLIC ACCOUNTING FIRM’S CONSENT</w:t>
      </w:r>
    </w:p>
    <w:p>
      <w:pPr>
        <w:spacing w:after="0" w:line="200" w:lineRule="exact"/>
        <w:rPr>
          <w:sz w:val="20"/>
          <w:szCs w:val="20"/>
          <w:color w:val="auto"/>
        </w:rPr>
      </w:pPr>
    </w:p>
    <w:p>
      <w:pPr>
        <w:spacing w:after="0" w:line="2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We consent to the inclusion in this Registration Statement of TapImmune, Inc. on Form S-1 of our report dated April 15, 2015, which includes an explanatory paragraph as to the Company’s ability to continue as a going concern, with respect to our audit of the consolidated financial statements of TapImmune, Inc. as of December 31, 2014 and for the year then ended, which report appears in the Prospectus, which is part of this Registration Statement. We also consent to the reference to our Firm under the heading “Experts” in such Prospectus.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 Marcum </w:t>
      </w:r>
      <w:r>
        <w:rPr>
          <w:rFonts w:ascii="Times New Roman" w:cs="Times New Roman" w:eastAsia="Times New Roman" w:hAnsi="Times New Roman"/>
          <w:sz w:val="11"/>
          <w:szCs w:val="11"/>
          <w:color w:val="auto"/>
        </w:rPr>
        <w:t>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19,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3861435</wp:posOffset>
            </wp:positionV>
            <wp:extent cx="7263765"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3765" cy="41275"/>
                    </a:xfrm>
                    <a:prstGeom prst="rect">
                      <a:avLst/>
                    </a:prstGeom>
                    <a:noFill/>
                  </pic:spPr>
                </pic:pic>
              </a:graphicData>
            </a:graphic>
          </wp:anchor>
        </w:drawing>
      </w:r>
    </w:p>
    <w:p>
      <w:pPr>
        <w:sectPr>
          <w:pgSz w:w="11900" w:h="16838" w:orient="portrait"/>
          <w:cols w:equalWidth="0" w:num="1">
            <w:col w:w="11420"/>
          </w:cols>
          <w:pgMar w:left="240" w:top="628" w:right="2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187960</wp:posOffset>
            </wp:positionV>
            <wp:extent cx="7263765" cy="36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3765" cy="36195"/>
                    </a:xfrm>
                    <a:prstGeom prst="rect">
                      <a:avLst/>
                    </a:prstGeom>
                    <a:noFill/>
                  </pic:spPr>
                </pic:pic>
              </a:graphicData>
            </a:graphic>
          </wp:anchor>
        </w:drawing>
        <w:t>Exhibit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7315835" cy="16503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15835" cy="165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00" w:lineRule="exact"/>
        <w:rPr>
          <w:sz w:val="20"/>
          <w:szCs w:val="20"/>
          <w:color w:val="auto"/>
        </w:rPr>
      </w:pPr>
    </w:p>
    <w:p>
      <w:pPr>
        <w:spacing w:after="0" w:line="261"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We consent to the use of our report dated April 14, 2014 relating to the consolidated financial statements of TapImmune Inc. (the "Company") appearing in the Prospectus which is part of the Company's Post-Effective Amendment No. 1 to Form S-3 on Form S-1 for the registration of up to 88,126,792 shares of its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we also consent to the reference to our firm included under the heading "Experts" in such Registration Statement.</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"DMCL"</w:t>
      </w: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Dale Matheson Carr-Hilton LaBonte LLP</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Chartered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3595370</wp:posOffset>
            </wp:positionV>
            <wp:extent cx="7263765" cy="41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3765" cy="41275"/>
                    </a:xfrm>
                    <a:prstGeom prst="rect">
                      <a:avLst/>
                    </a:prstGeom>
                    <a:noFill/>
                  </pic:spPr>
                </pic:pic>
              </a:graphicData>
            </a:graphic>
          </wp:anchor>
        </w:drawing>
      </w:r>
    </w:p>
    <w:sectPr>
      <w:pgSz w:w="11900" w:h="16838" w:orient="portrait"/>
      <w:cols w:equalWidth="0" w:num="1">
        <w:col w:w="11420"/>
      </w:cols>
      <w:pgMar w:left="240" w:top="6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1"/>
    </w:lvl>
  </w:abstractNum>
  <w:abstractNum w:abstractNumId="1">
    <w:nsid w:val="54E49EB4"/>
    <w:multiLevelType w:val="hybridMultilevel"/>
    <w:lvl w:ilvl="0">
      <w:lvlJc w:val="left"/>
      <w:lvlText w:val="(%1)"/>
      <w:numFmt w:val="lowerLetter"/>
      <w:start w:val="9"/>
    </w:lvl>
    <w:lvl w:ilvl="1">
      <w:lvlJc w:val="left"/>
      <w:lvlText w:val="(%2)"/>
      <w:numFmt w:val="lowerLetter"/>
      <w:start w:val="1"/>
    </w:lvl>
  </w:abstractNum>
  <w:abstractNum w:abstractNumId="2">
    <w:nsid w:val="71F32454"/>
    <w:multiLevelType w:val="hybridMultilevel"/>
    <w:lvl w:ilvl="0">
      <w:lvlJc w:val="left"/>
      <w:lvlText w:val="(%1)"/>
      <w:numFmt w:val="lowerLetter"/>
      <w:start w:val="35"/>
    </w:lvl>
    <w:lvl w:ilvl="1">
      <w:lvlJc w:val="left"/>
      <w:lvlText w:val="(%2)"/>
      <w:numFmt w:val="lowerLetter"/>
      <w:start w:val="1"/>
    </w:lvl>
  </w:abstractNum>
  <w:abstractNum w:abstractNumId="3">
    <w:nsid w:val="2CA88611"/>
    <w:multiLevelType w:val="hybridMultilevel"/>
    <w:lvl w:ilvl="0">
      <w:lvlJc w:val="left"/>
      <w:lvlText w:val="%1"/>
      <w:numFmt w:val="lowerLetter"/>
      <w:start w:val="1"/>
    </w:lvl>
    <w:lvl w:ilvl="1">
      <w:lvlJc w:val="left"/>
      <w:lvlText w:val="(%2)"/>
      <w:numFmt w:val="lowerLetter"/>
      <w:start w:val="2"/>
    </w:lvl>
  </w:abstractNum>
  <w:abstractNum w:abstractNumId="4">
    <w:nsid w:val="836C40E"/>
    <w:multiLevelType w:val="hybridMultilevel"/>
    <w:lvl w:ilvl="0">
      <w:lvlJc w:val="left"/>
      <w:lvlText w:val="(%1)"/>
      <w:numFmt w:val="lowerLetter"/>
      <w:start w:val="61"/>
    </w:lvl>
    <w:lvl w:ilvl="1">
      <w:lvlJc w:val="left"/>
      <w:lvlText w:val="%2"/>
      <w:numFmt w:val="lowerLetter"/>
      <w:start w:val="1"/>
    </w:lvl>
  </w:abstractNum>
  <w:abstractNum w:abstractNumId="5">
    <w:nsid w:val="2901D82"/>
    <w:multiLevelType w:val="hybridMultilevel"/>
    <w:lvl w:ilvl="0">
      <w:lvlJc w:val="left"/>
      <w:lvlText w:val="(%1)"/>
      <w:numFmt w:val="lowerRoman"/>
      <w:start w:val="1"/>
    </w:lvl>
    <w:lvl w:ilvl="1">
      <w:lvlJc w:val="left"/>
      <w:lvlText w:val="(%2)"/>
      <w:numFmt w:val="lowerRoman"/>
      <w:start w:val="7"/>
    </w:lvl>
  </w:abstractNum>
  <w:abstractNum w:abstractNumId="6">
    <w:nsid w:val="3A95F874"/>
    <w:multiLevelType w:val="hybridMultilevel"/>
    <w:lvl w:ilvl="0">
      <w:lvlJc w:val="left"/>
      <w:lvlText w:val="(%1)"/>
      <w:numFmt w:val="lowerRoman"/>
      <w:start w:val="9"/>
    </w:lvl>
  </w:abstractNum>
  <w:abstractNum w:abstractNumId="7">
    <w:nsid w:val="8138641"/>
    <w:multiLevelType w:val="hybridMultilevel"/>
    <w:lvl w:ilvl="0">
      <w:lvlJc w:val="left"/>
      <w:lvlText w:val="(%1)"/>
      <w:numFmt w:val="lowerRoman"/>
      <w:start w:val="10"/>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4"/>
    </w:lvl>
  </w:abstractNum>
  <w:abstractNum w:abstractNumId="26">
    <w:nsid w:val="51EAD36B"/>
    <w:multiLevelType w:val="hybridMultilevel"/>
    <w:lvl w:ilvl="0">
      <w:lvlJc w:val="left"/>
      <w:lvlText w:val="(%1)"/>
      <w:numFmt w:val="decimal"/>
      <w:start w:val="8"/>
    </w:lvl>
    <w:lvl w:ilvl="1">
      <w:lvlJc w:val="left"/>
      <w:lvlText w:val="(%2)"/>
      <w:numFmt w:val="lowerRoman"/>
      <w:start w:val="2"/>
    </w:lvl>
  </w:abstractNum>
  <w:abstractNum w:abstractNumId="27">
    <w:nsid w:val="2D517796"/>
    <w:multiLevelType w:val="hybridMultilevel"/>
    <w:lvl w:ilvl="0">
      <w:lvlJc w:val="left"/>
      <w:lvlText w:val="(%1)"/>
      <w:numFmt w:val="decimal"/>
      <w:start w:val="13"/>
    </w:lvl>
    <w:lvl w:ilvl="1">
      <w:lvlJc w:val="left"/>
      <w:lvlText w:val="(%2)"/>
      <w:numFmt w:val="lowerRoman"/>
      <w:start w:val="2"/>
    </w:lvl>
  </w:abstractNum>
  <w:abstractNum w:abstractNumId="28">
    <w:nsid w:val="580BD78F"/>
    <w:multiLevelType w:val="hybridMultilevel"/>
    <w:lvl w:ilvl="0">
      <w:lvlJc w:val="left"/>
      <w:lvlText w:val="·"/>
      <w:numFmt w:val="bullet"/>
      <w:start w:val="1"/>
    </w:lvl>
    <w:lvl w:ilvl="1">
      <w:lvlJc w:val="left"/>
      <w:lvlText w:val="·"/>
      <w:numFmt w:val="bullet"/>
      <w:start w:val="1"/>
    </w:lvl>
  </w:abstractNum>
  <w:abstractNum w:abstractNumId="29">
    <w:nsid w:val="153EA438"/>
    <w:multiLevelType w:val="hybridMultilevel"/>
    <w:lvl w:ilvl="0">
      <w:lvlJc w:val="left"/>
      <w:lvlText w:val="(%1)"/>
      <w:numFmt w:val="lowerRoman"/>
      <w:start w:val="1"/>
    </w:lvl>
  </w:abstractNum>
  <w:abstractNum w:abstractNumId="30">
    <w:nsid w:val="3855585C"/>
    <w:multiLevelType w:val="hybridMultilevel"/>
    <w:lvl w:ilvl="0">
      <w:lvlJc w:val="left"/>
      <w:lvlText w:val="(%1)"/>
      <w:numFmt w:val="lowerRoman"/>
      <w:start w:val="4"/>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
      <w:numFmt w:val="bullet"/>
      <w:start w:val="1"/>
    </w:lvl>
    <w:lvl w:ilvl="1">
      <w:lvlJc w:val="left"/>
      <w:lvlText w:val="·"/>
      <w:numFmt w:val="bullet"/>
      <w:start w:val="1"/>
    </w:lvl>
  </w:abstractNum>
  <w:abstractNum w:abstractNumId="33">
    <w:nsid w:val="2A487CB0"/>
    <w:multiLevelType w:val="hybridMultilevel"/>
    <w:lvl w:ilvl="0">
      <w:lvlJc w:val="left"/>
      <w:lvlText w:val="(%1)"/>
      <w:numFmt w:val="lowerRoman"/>
      <w:start w:val="2"/>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5"/>
    </w:lvl>
    <w:lvl w:ilvl="1">
      <w:lvlJc w:val="left"/>
      <w:lvlText w:val="(%2)"/>
      <w:numFmt w:val="decimal"/>
      <w:start w:val="6"/>
    </w:lvl>
  </w:abstractNum>
  <w:abstractNum w:abstractNumId="37">
    <w:nsid w:val="57E4CCAF"/>
    <w:multiLevelType w:val="hybridMultilevel"/>
    <w:lvl w:ilvl="0">
      <w:lvlJc w:val="left"/>
      <w:lvlText w:val="(%1)"/>
      <w:numFmt w:val="decimal"/>
      <w:start w:val="9"/>
    </w:lvl>
  </w:abstractNum>
  <w:abstractNum w:abstractNumId="38">
    <w:nsid w:val="7A6D8D3C"/>
    <w:multiLevelType w:val="hybridMultilevel"/>
    <w:lvl w:ilvl="0">
      <w:lvlJc w:val="left"/>
      <w:lvlText w:val="•"/>
      <w:numFmt w:val="bullet"/>
      <w:start w:val="1"/>
    </w:lvl>
    <w:lvl w:ilvl="1">
      <w:lvlJc w:val="left"/>
      <w:lvlText w:val="•"/>
      <w:numFmt w:val="bullet"/>
      <w:start w:val="1"/>
    </w:lvl>
  </w:abstractNum>
  <w:abstractNum w:abstractNumId="39">
    <w:nsid w:val="4B588F54"/>
    <w:multiLevelType w:val="hybridMultilevel"/>
    <w:lvl w:ilvl="0">
      <w:lvlJc w:val="left"/>
      <w:lvlText w:val="·"/>
      <w:numFmt w:val="bullet"/>
      <w:start w:val="1"/>
    </w:lvl>
    <w:lvl w:ilvl="1">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1"/>
    </w:lvl>
    <w:lvl w:ilvl="1">
      <w:lvlJc w:val="left"/>
      <w:lvlText w:val="%2."/>
      <w:numFmt w:val="decimal"/>
      <w:start w:val="1"/>
    </w:lvl>
  </w:abstractNum>
  <w:abstractNum w:abstractNumId="43">
    <w:nsid w:val="7644A45C"/>
    <w:multiLevelType w:val="hybridMultilevel"/>
    <w:lvl w:ilvl="0">
      <w:lvlJc w:val="left"/>
      <w:lvlText w:val="%1."/>
      <w:numFmt w:val="decimal"/>
      <w:start w:val="2"/>
    </w:lvl>
    <w:lvl w:ilvl="1">
      <w:lvlJc w:val="left"/>
      <w:lvlText w:val="%2"/>
      <w:numFmt w:val="decimal"/>
      <w:start w:val="1"/>
    </w:lvl>
  </w:abstractNum>
  <w:abstractNum w:abstractNumId="44">
    <w:nsid w:val="32FFF902"/>
    <w:multiLevelType w:val="hybridMultilevel"/>
    <w:lvl w:ilvl="0">
      <w:lvlJc w:val="left"/>
      <w:lvlText w:val="(%1)"/>
      <w:numFmt w:val="lowerRoman"/>
      <w:start w:val="1"/>
    </w:lvl>
  </w:abstractNum>
  <w:abstractNum w:abstractNumId="45">
    <w:nsid w:val="684A481A"/>
    <w:multiLevelType w:val="hybridMultilevel"/>
    <w:lvl w:ilvl="0">
      <w:lvlJc w:val="left"/>
      <w:lvlText w:val="(%1)"/>
      <w:numFmt w:val="decimal"/>
      <w:start w:val="1"/>
    </w:lvl>
    <w:lvl w:ilvl="1">
      <w:lvlJc w:val="left"/>
      <w:lvlText w:val="(%2)"/>
      <w:numFmt w:val="lowerRoman"/>
      <w:start w:val="1"/>
    </w:lvl>
  </w:abstractNum>
  <w:abstractNum w:abstractNumId="46">
    <w:nsid w:val="579478FE"/>
    <w:multiLevelType w:val="hybridMultilevel"/>
    <w:lvl w:ilvl="0">
      <w:lvlJc w:val="left"/>
      <w:lvlText w:val="%1"/>
      <w:numFmt w:val="decimal"/>
      <w:start w:val="1"/>
    </w:lvl>
    <w:lvl w:ilvl="1">
      <w:lvlJc w:val="left"/>
      <w:lvlText w:val="(%2)"/>
      <w:numFmt w:val="upperLetter"/>
      <w:start w:val="1"/>
    </w:lvl>
  </w:abstractNum>
  <w:abstractNum w:abstractNumId="47">
    <w:nsid w:val="749ABB43"/>
    <w:multiLevelType w:val="hybridMultilevel"/>
    <w:lvl w:ilvl="0">
      <w:lvlJc w:val="left"/>
      <w:lvlText w:val="(%1)"/>
      <w:numFmt w:val="decimal"/>
      <w:start w:val="2"/>
    </w:lvl>
    <w:lvl w:ilvl="1">
      <w:lvlJc w:val="left"/>
      <w:lvlText w:val="(%2)"/>
      <w:numFmt w:val="upperLetter"/>
      <w:start w:val="1"/>
    </w:lvl>
  </w:abstractNum>
  <w:abstractNum w:abstractNumId="48">
    <w:nsid w:val="3DC240FB"/>
    <w:multiLevelType w:val="hybridMultilevel"/>
    <w:lvl w:ilvl="0">
      <w:lvlJc w:val="left"/>
      <w:lvlText w:val="(%1)"/>
      <w:numFmt w:val="lowerRoman"/>
      <w:start w:val="1"/>
    </w:lvl>
  </w:abstractNum>
  <w:abstractNum w:abstractNumId="49">
    <w:nsid w:val="1BA026FA"/>
    <w:multiLevelType w:val="hybridMultilevel"/>
    <w:lvl w:ilvl="0">
      <w:lvlJc w:val="left"/>
      <w:lvlText w:val="(%1)"/>
      <w:numFmt w:val="lowerRoman"/>
      <w:start w:val="3"/>
    </w:lvl>
  </w:abstractNum>
  <w:abstractNum w:abstractNumId="50">
    <w:nsid w:val="79A1DEAA"/>
    <w:multiLevelType w:val="hybridMultilevel"/>
    <w:lvl w:ilvl="0">
      <w:lvlJc w:val="left"/>
      <w:lvlText w:val="(%1)"/>
      <w:numFmt w:val="lowerLetter"/>
      <w:start w:val="5"/>
    </w:lvl>
  </w:abstractNum>
  <w:abstractNum w:abstractNumId="51">
    <w:nsid w:val="75C6C33A"/>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2020-01-23T19:30:04Z</dcterms:created>
  <dcterms:modified xsi:type="dcterms:W3CDTF">2020-01-23T19:30:04Z</dcterms:modified>
</cp:coreProperties>
</file>