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2582545</wp:posOffset>
            </wp:positionH>
            <wp:positionV relativeFrom="page">
              <wp:posOffset>311785</wp:posOffset>
            </wp:positionV>
            <wp:extent cx="2348865" cy="6343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December 4, 2024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20549-3628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Attn: Jason Drory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Marker Therapeutics, Inc. (the “Company”)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 No. 333-283512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Request for Acceleration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Ladies and Gentlemen: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6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 accordance with Rule 461 under the Securities Act of 1933, as amended, the undersigned registrant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respectfully requests that the Securities and Exchange Commission take appropriate action to cause the above referenced Registration Statement on Form S-3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Registration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Statement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to be declared effective at 4:00 p.m., Eastern Time, on Friday, December 6, 2024, or as soon thereafter as is practicable.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both"/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Once the Registration Statement has been declared effective, please orally confirm that event with Mark Catchur of Shumaker, Loop &amp; Kendrick, LLP at (813) 227-2264. Thank you for your assistance in this matter.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Juan Vera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Juan Vera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-127635</wp:posOffset>
            </wp:positionV>
            <wp:extent cx="21342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4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President and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cc: Mark A. Catchur, Shumaker, Loop &amp; Kendrick, LLP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Marker Therapeutics,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2450 Holcombe Blvd., Suite BCM-A, MS: BCM251, Houston, TX 77021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440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2025-01-10T23:24:28Z</dcterms:created>
  <dcterms:modified xsi:type="dcterms:W3CDTF">2025-01-10T23:24:28Z</dcterms:modified>
</cp:coreProperties>
</file>