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July 6,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w w:val="90"/>
              </w:rPr>
              <w:t>Nevada</w:t>
            </w:r>
          </w:p>
        </w:tc>
        <w:tc>
          <w:tcPr>
            <w:tcW w:w="260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w w:val="90"/>
              </w:rPr>
              <w:t>001-37939</w:t>
            </w:r>
          </w:p>
        </w:tc>
        <w:tc>
          <w:tcPr>
            <w:tcW w:w="166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5"/>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50 N. Laura Street, Suite 2500</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32202</w:t>
            </w:r>
          </w:p>
        </w:tc>
        <w:tc>
          <w:tcPr>
            <w:tcW w:w="800" w:type="dxa"/>
            <w:vAlign w:val="bottom"/>
          </w:tcPr>
          <w:p>
            <w:pPr>
              <w:spacing w:after="0"/>
              <w:rPr>
                <w:sz w:val="16"/>
                <w:szCs w:val="16"/>
                <w:color w:val="auto"/>
              </w:rPr>
            </w:pPr>
          </w:p>
        </w:tc>
      </w:tr>
      <w:tr>
        <w:trPr>
          <w:trHeight w:val="20"/>
        </w:trPr>
        <w:tc>
          <w:tcPr>
            <w:tcW w:w="33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39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w w:val="90"/>
              </w:rPr>
              <w:t>(904) 516-5436</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6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1260" w:hanging="125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260" w:hanging="125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60" w:hanging="125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260" w:hanging="125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firstLine="45"/>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6, 2017, the Board of Directors of TapImmune Inc. (the “Company”) approved the 2017 bonus program for Dr. Glynn Wilson, our Chief Executive Officer and President, and Mr. Michael J. Loiacono, our Chief Financial Officer, Treasurer and Secretary, as recommended by the Compensation Committee of the Board of Directors. Under such bonus program, Dr. Wilson and Mr. Loiacono are eligible for bonuses of up to $140,000 and $60,000, respectively, equaling up to 50% and 30%, of their respective base salaries (each a “Bonus Target”).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bonuses payable to Dr. Wilson are to be based upon the achievement of the following objectives:</w:t>
      </w:r>
    </w:p>
    <w:p>
      <w:pPr>
        <w:spacing w:after="0" w:line="225" w:lineRule="exact"/>
        <w:rPr>
          <w:sz w:val="20"/>
          <w:szCs w:val="20"/>
          <w:color w:val="auto"/>
        </w:rPr>
      </w:pPr>
    </w:p>
    <w:p>
      <w:pPr>
        <w:ind w:left="1540" w:hanging="210"/>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40% of the Bonus Target for meeting scientific, technical and clinical objectives;</w:t>
      </w:r>
    </w:p>
    <w:p>
      <w:pPr>
        <w:spacing w:after="0" w:line="23" w:lineRule="exact"/>
        <w:rPr>
          <w:rFonts w:ascii="Arial" w:cs="Arial" w:eastAsia="Arial" w:hAnsi="Arial"/>
          <w:sz w:val="18"/>
          <w:szCs w:val="18"/>
          <w:color w:val="auto"/>
        </w:rPr>
      </w:pPr>
    </w:p>
    <w:p>
      <w:pPr>
        <w:ind w:left="1600" w:hanging="270"/>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20% of the Bonus Target for financial performance and corporate objectives related to our raising capital; and</w:t>
      </w:r>
    </w:p>
    <w:p>
      <w:pPr>
        <w:spacing w:after="0" w:line="9" w:lineRule="exact"/>
        <w:rPr>
          <w:rFonts w:ascii="Arial" w:cs="Arial" w:eastAsia="Arial" w:hAnsi="Arial"/>
          <w:sz w:val="18"/>
          <w:szCs w:val="18"/>
          <w:color w:val="auto"/>
        </w:rPr>
      </w:pPr>
    </w:p>
    <w:p>
      <w:pPr>
        <w:ind w:left="1640" w:hanging="310"/>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40% of the Bonus Target designated to be discretionary as determined by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bonuses payable to Mr. Loiacono are to be based upon the achievement of the following objectives:</w:t>
      </w:r>
    </w:p>
    <w:p>
      <w:pPr>
        <w:spacing w:after="0" w:line="225" w:lineRule="exact"/>
        <w:rPr>
          <w:sz w:val="20"/>
          <w:szCs w:val="20"/>
          <w:color w:val="auto"/>
        </w:rPr>
      </w:pPr>
    </w:p>
    <w:p>
      <w:pPr>
        <w:ind w:left="1540" w:hanging="210"/>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 to 33.3% of the Bonus Target for meeting corporate and operational objectives;</w:t>
      </w:r>
    </w:p>
    <w:p>
      <w:pPr>
        <w:spacing w:after="0" w:line="23" w:lineRule="exact"/>
        <w:rPr>
          <w:rFonts w:ascii="Arial" w:cs="Arial" w:eastAsia="Arial" w:hAnsi="Arial"/>
          <w:sz w:val="18"/>
          <w:szCs w:val="18"/>
          <w:color w:val="auto"/>
        </w:rPr>
      </w:pPr>
    </w:p>
    <w:p>
      <w:pPr>
        <w:ind w:left="1600" w:hanging="270"/>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 to 33.3% of the Bonus Target for financial performance objectives including related to our raising capital; and</w:t>
      </w:r>
    </w:p>
    <w:p>
      <w:pPr>
        <w:spacing w:after="0" w:line="9" w:lineRule="exact"/>
        <w:rPr>
          <w:rFonts w:ascii="Arial" w:cs="Arial" w:eastAsia="Arial" w:hAnsi="Arial"/>
          <w:sz w:val="18"/>
          <w:szCs w:val="18"/>
          <w:color w:val="auto"/>
        </w:rPr>
      </w:pPr>
    </w:p>
    <w:p>
      <w:pPr>
        <w:ind w:left="1640" w:hanging="310"/>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 to 33.3% of the Bonus Target designated to be discretionary as determined by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bonuses will be paid in a combination of cash and common stock at the discretion of the Compensation Committee.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7, 2017, the Board of Directors of the Company adopted and approved an amendment to the Company’s Amended and Restated Bylaws relating to voting by stockholders to make the Bylaws consistent with Nevada’s default statute. Section 3.10 of the Company’s Amended and Restated Bylaws was amended to read as follows in its entirety:</w:t>
      </w:r>
    </w:p>
    <w:p>
      <w:pPr>
        <w:spacing w:after="0" w:line="181" w:lineRule="exact"/>
        <w:rPr>
          <w:sz w:val="20"/>
          <w:szCs w:val="20"/>
          <w:color w:val="auto"/>
        </w:rPr>
      </w:pPr>
    </w:p>
    <w:p>
      <w:pPr>
        <w:ind w:left="660" w:right="40" w:firstLine="648"/>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Manner of Acting</w:t>
      </w:r>
      <w:r>
        <w:rPr>
          <w:rFonts w:ascii="Arial" w:cs="Arial" w:eastAsia="Arial" w:hAnsi="Arial"/>
          <w:sz w:val="18"/>
          <w:szCs w:val="18"/>
          <w:color w:val="auto"/>
        </w:rPr>
        <w:t>. If a quorum is present, unless the laws of the State of Nevada, the Articles of Incorporation or these Bylaws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 If a quorum is present, directors shall be elected by a plurality of the votes cast on the election.</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information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Amendment to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-130810</wp:posOffset>
            </wp:positionV>
            <wp:extent cx="64662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991870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780" w:type="dxa"/>
            <w:vAlign w:val="bottom"/>
            <w:gridSpan w:val="2"/>
          </w:tcPr>
          <w:p>
            <w:pPr>
              <w:ind w:left="2020"/>
              <w:spacing w:after="0"/>
              <w:rPr>
                <w:sz w:val="20"/>
                <w:szCs w:val="20"/>
                <w:color w:val="auto"/>
              </w:rPr>
            </w:pPr>
            <w:r>
              <w:rPr>
                <w:rFonts w:ascii="Arial" w:cs="Arial" w:eastAsia="Arial" w:hAnsi="Arial"/>
                <w:sz w:val="18"/>
                <w:szCs w:val="18"/>
                <w:b w:val="1"/>
                <w:bCs w:val="1"/>
                <w:color w:val="auto"/>
              </w:rPr>
              <w:t>TAPIMMUNE INC.</w:t>
            </w:r>
          </w:p>
        </w:tc>
        <w:tc>
          <w:tcPr>
            <w:tcW w:w="110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b w:val="1"/>
                <w:bCs w:val="1"/>
                <w:color w:val="auto"/>
              </w:rPr>
              <w:t>Date: July 11, 2017</w:t>
            </w:r>
          </w:p>
        </w:tc>
        <w:tc>
          <w:tcPr>
            <w:tcW w:w="2860" w:type="dxa"/>
            <w:vAlign w:val="bottom"/>
          </w:tcPr>
          <w:p>
            <w:pPr>
              <w:ind w:left="20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c>
          <w:tcPr>
            <w:tcW w:w="110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86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Glynn Wilson</w:t>
            </w:r>
          </w:p>
        </w:tc>
        <w:tc>
          <w:tcPr>
            <w:tcW w:w="110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860" w:type="dxa"/>
            <w:vAlign w:val="bottom"/>
          </w:tcPr>
          <w:p>
            <w:pPr>
              <w:ind w:left="20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Chairman, CEO and President</w:t>
            </w:r>
          </w:p>
        </w:tc>
        <w:tc>
          <w:tcPr>
            <w:tcW w:w="1100" w:type="dxa"/>
            <w:vAlign w:val="bottom"/>
          </w:tcPr>
          <w:p>
            <w:pPr>
              <w:spacing w:after="0"/>
              <w:rPr>
                <w:sz w:val="20"/>
                <w:szCs w:val="20"/>
                <w:color w:val="auto"/>
              </w:rPr>
            </w:pPr>
          </w:p>
        </w:tc>
      </w:tr>
      <w:tr>
        <w:trPr>
          <w:trHeight w:val="1324"/>
        </w:trPr>
        <w:tc>
          <w:tcPr>
            <w:tcW w:w="35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TAPIMMUNE INC.</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Adopted July 7,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3.10 of Article III is hereby amended to read as follows in its entirety:</w:t>
      </w:r>
    </w:p>
    <w:p>
      <w:pPr>
        <w:spacing w:after="0" w:line="225" w:lineRule="exact"/>
        <w:rPr>
          <w:sz w:val="20"/>
          <w:szCs w:val="20"/>
          <w:color w:val="auto"/>
        </w:rPr>
      </w:pPr>
    </w:p>
    <w:p>
      <w:pPr>
        <w:ind w:left="660" w:right="40" w:firstLine="648"/>
        <w:spacing w:after="0" w:line="255" w:lineRule="auto"/>
        <w:rPr>
          <w:sz w:val="20"/>
          <w:szCs w:val="20"/>
          <w:color w:val="auto"/>
        </w:rPr>
      </w:pPr>
      <w:r>
        <w:rPr>
          <w:rFonts w:ascii="Arial" w:cs="Arial" w:eastAsia="Arial" w:hAnsi="Arial"/>
          <w:sz w:val="18"/>
          <w:szCs w:val="18"/>
          <w:color w:val="auto"/>
        </w:rPr>
        <w:t>Section 3.10 Manner of Acting. If a quorum is present, unless the laws of the State of Nevada, the Articles of Incorporation or these Bylaws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 If a quorum is present, directors shall be elected by a plurality of the votes cast on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2020-01-17T18:32:27Z</dcterms:created>
  <dcterms:modified xsi:type="dcterms:W3CDTF">2020-01-17T18:32:27Z</dcterms:modified>
</cp:coreProperties>
</file>