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13D/A</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11)*</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 of Issuer)</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57055L107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(CUSIP Number)</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William Sullivan, 10 Market Street, #773 Camana Bay Grand Cayman, KY1-9006 CAYMAN ISLANDS, 345-640-3300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 Address and Telephone Number of Person</w:t>
      </w: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June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185" w:lineRule="exact"/>
        <w:rPr>
          <w:sz w:val="24"/>
          <w:szCs w:val="24"/>
          <w:color w:val="auto"/>
        </w:rPr>
      </w:pPr>
    </w:p>
    <w:p>
      <w:pPr>
        <w:ind w:right="80"/>
        <w:spacing w:after="0" w:line="21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40"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134" w:lineRule="exact"/>
        <w:rPr>
          <w:sz w:val="24"/>
          <w:szCs w:val="24"/>
          <w:color w:val="auto"/>
        </w:rPr>
      </w:pPr>
    </w:p>
    <w:p>
      <w:pPr>
        <w:ind w:right="480" w:firstLine="8"/>
        <w:spacing w:after="0" w:line="184" w:lineRule="auto"/>
        <w:tabs>
          <w:tab w:leader="none" w:pos="108" w:val="left"/>
        </w:tabs>
        <w:numPr>
          <w:ilvl w:val="0"/>
          <w:numId w:val="1"/>
        </w:numPr>
        <w:rPr>
          <w:rFonts w:ascii="Arial" w:cs="Arial" w:eastAsia="Arial" w:hAnsi="Arial"/>
          <w:sz w:val="29"/>
          <w:szCs w:val="29"/>
          <w:color w:val="auto"/>
          <w:vertAlign w:val="superscript"/>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0" w:lineRule="exact"/>
        <w:rPr>
          <w:sz w:val="24"/>
          <w:szCs w:val="24"/>
          <w:color w:val="auto"/>
        </w:rPr>
      </w:pPr>
    </w:p>
    <w:p>
      <w:pPr>
        <w:spacing w:after="0" w:line="22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80"/>
          </w:cols>
          <w:pgMar w:left="320" w:top="1062" w:right="399" w:bottom="1440" w:gutter="0" w:footer="0" w:header="0"/>
        </w:sectPr>
      </w:pPr>
    </w:p>
    <w:bookmarkStart w:id="1" w:name="page2"/>
    <w:bookmarkEnd w:id="1"/>
    <w:p>
      <w:pPr>
        <w:spacing w:after="0"/>
        <w:tabs>
          <w:tab w:leader="none" w:pos="5220" w:val="left"/>
          <w:tab w:leader="none" w:pos="10280" w:val="left"/>
        </w:tabs>
        <w:rPr>
          <w:sz w:val="20"/>
          <w:szCs w:val="20"/>
          <w:color w:val="auto"/>
        </w:rPr>
      </w:pPr>
      <w:r>
        <w:rPr>
          <w:rFonts w:ascii="Arial" w:cs="Arial" w:eastAsia="Arial" w:hAnsi="Arial"/>
          <w:sz w:val="18"/>
          <w:szCs w:val="18"/>
          <w:b w:val="1"/>
          <w:bCs w:val="1"/>
          <w:color w:val="auto"/>
        </w:rPr>
        <w:t>CUSIP No. 57055L107</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7"/>
          <w:szCs w:val="17"/>
          <w:b w:val="1"/>
          <w:bCs w:val="1"/>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left="580" w:hanging="38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EASTERN CAPITAL LIMITED</w:t>
      </w:r>
    </w:p>
    <w:p>
      <w:pPr>
        <w:spacing w:after="0" w:line="44" w:lineRule="exact"/>
        <w:rPr>
          <w:rFonts w:ascii="Arial" w:cs="Arial" w:eastAsia="Arial" w:hAnsi="Arial"/>
          <w:sz w:val="18"/>
          <w:szCs w:val="18"/>
          <w:color w:val="auto"/>
        </w:rPr>
      </w:pPr>
    </w:p>
    <w:p>
      <w:pPr>
        <w:ind w:left="580" w:right="5480" w:hanging="384"/>
        <w:spacing w:after="0" w:line="234"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1000" w:hanging="425"/>
        <w:spacing w:after="0" w:line="202"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1000" w:hanging="425"/>
        <w:spacing w:after="0" w:line="207"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580" w:hanging="38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580" w:hanging="38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31" w:lineRule="exact"/>
        <w:rPr>
          <w:rFonts w:ascii="Arial" w:cs="Arial" w:eastAsia="Arial" w:hAnsi="Arial"/>
          <w:sz w:val="18"/>
          <w:szCs w:val="18"/>
          <w:color w:val="auto"/>
        </w:rPr>
      </w:pPr>
    </w:p>
    <w:p>
      <w:pPr>
        <w:ind w:left="580" w:hanging="384"/>
        <w:spacing w:after="0" w:line="230"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5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40" w:lineRule="exact"/>
        <w:rPr>
          <w:rFonts w:ascii="Arial" w:cs="Arial" w:eastAsia="Arial" w:hAnsi="Arial"/>
          <w:sz w:val="18"/>
          <w:szCs w:val="18"/>
          <w:color w:val="auto"/>
        </w:rPr>
      </w:pPr>
    </w:p>
    <w:p>
      <w:pPr>
        <w:ind w:left="580" w:hanging="38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47" w:lineRule="exact"/>
        <w:rPr>
          <w:rFonts w:ascii="Arial" w:cs="Arial" w:eastAsia="Arial" w:hAnsi="Arial"/>
          <w:sz w:val="18"/>
          <w:szCs w:val="18"/>
          <w:color w:val="auto"/>
        </w:rPr>
      </w:pPr>
    </w:p>
    <w:p>
      <w:pPr>
        <w:ind w:left="2300" w:hanging="363"/>
        <w:spacing w:after="0"/>
        <w:tabs>
          <w:tab w:leader="none" w:pos="230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-2118995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-1596390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-1330325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-935990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-670560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80" w:type="dxa"/>
            <w:vAlign w:val="bottom"/>
            <w:vMerge w:val="restart"/>
          </w:tcPr>
          <w:p>
            <w:pPr>
              <w:jc w:val="center"/>
              <w:ind w:right="170"/>
              <w:spacing w:after="0"/>
              <w:rPr>
                <w:sz w:val="20"/>
                <w:szCs w:val="20"/>
                <w:color w:val="auto"/>
              </w:rPr>
            </w:pPr>
            <w:r>
              <w:rPr>
                <w:rFonts w:ascii="Arial" w:cs="Arial" w:eastAsia="Arial" w:hAnsi="Arial"/>
                <w:sz w:val="18"/>
                <w:szCs w:val="18"/>
                <w:color w:val="auto"/>
                <w:w w:val="99"/>
              </w:rPr>
              <w:t>NUMBER OF</w:t>
            </w:r>
          </w:p>
        </w:tc>
        <w:tc>
          <w:tcPr>
            <w:tcW w:w="380" w:type="dxa"/>
            <w:vAlign w:val="bottom"/>
            <w:tcBorders>
              <w:bottom w:val="single" w:sz="8" w:color="auto"/>
            </w:tcBorders>
          </w:tcPr>
          <w:p>
            <w:pPr>
              <w:spacing w:after="0"/>
              <w:rPr>
                <w:sz w:val="17"/>
                <w:szCs w:val="17"/>
                <w:color w:val="auto"/>
              </w:rPr>
            </w:pPr>
          </w:p>
        </w:tc>
        <w:tc>
          <w:tcPr>
            <w:tcW w:w="9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1780" w:type="dxa"/>
            <w:vAlign w:val="bottom"/>
            <w:vMerge w:val="continue"/>
          </w:tcPr>
          <w:p>
            <w:pPr>
              <w:spacing w:after="0"/>
              <w:rPr>
                <w:sz w:val="16"/>
                <w:szCs w:val="16"/>
                <w:color w:val="auto"/>
              </w:rPr>
            </w:pPr>
          </w:p>
        </w:tc>
        <w:tc>
          <w:tcPr>
            <w:tcW w:w="3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8.</w:t>
            </w:r>
          </w:p>
        </w:tc>
        <w:tc>
          <w:tcPr>
            <w:tcW w:w="90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3"/>
        </w:trPr>
        <w:tc>
          <w:tcPr>
            <w:tcW w:w="178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9"/>
              </w:rPr>
              <w:t>SHARES</w:t>
            </w:r>
          </w:p>
        </w:tc>
        <w:tc>
          <w:tcPr>
            <w:tcW w:w="380" w:type="dxa"/>
            <w:vAlign w:val="bottom"/>
          </w:tcPr>
          <w:p>
            <w:pPr>
              <w:spacing w:after="0"/>
              <w:rPr>
                <w:sz w:val="17"/>
                <w:szCs w:val="17"/>
                <w:color w:val="auto"/>
              </w:rPr>
            </w:pPr>
          </w:p>
        </w:tc>
        <w:tc>
          <w:tcPr>
            <w:tcW w:w="90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4,883,335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78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9"/>
              </w:rPr>
              <w:t>BENEFICIALLY</w:t>
            </w:r>
          </w:p>
        </w:tc>
        <w:tc>
          <w:tcPr>
            <w:tcW w:w="380" w:type="dxa"/>
            <w:vAlign w:val="bottom"/>
            <w:tcBorders>
              <w:bottom w:val="single" w:sz="8" w:color="auto"/>
            </w:tcBorders>
          </w:tcPr>
          <w:p>
            <w:pPr>
              <w:spacing w:after="0"/>
              <w:rPr>
                <w:sz w:val="17"/>
                <w:szCs w:val="17"/>
                <w:color w:val="auto"/>
              </w:rPr>
            </w:pPr>
          </w:p>
        </w:tc>
        <w:tc>
          <w:tcPr>
            <w:tcW w:w="9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80" w:type="dxa"/>
            <w:vAlign w:val="bottom"/>
          </w:tcPr>
          <w:p>
            <w:pPr>
              <w:jc w:val="center"/>
              <w:ind w:right="170"/>
              <w:spacing w:after="0" w:line="182" w:lineRule="exact"/>
              <w:rPr>
                <w:sz w:val="20"/>
                <w:szCs w:val="20"/>
                <w:color w:val="auto"/>
              </w:rPr>
            </w:pPr>
            <w:r>
              <w:rPr>
                <w:rFonts w:ascii="Arial" w:cs="Arial" w:eastAsia="Arial" w:hAnsi="Arial"/>
                <w:sz w:val="18"/>
                <w:szCs w:val="18"/>
                <w:color w:val="auto"/>
                <w:w w:val="99"/>
              </w:rPr>
              <w:t>OWNED BY EACH</w:t>
            </w:r>
          </w:p>
        </w:tc>
        <w:tc>
          <w:tcPr>
            <w:tcW w:w="380" w:type="dxa"/>
            <w:vAlign w:val="bottom"/>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90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2"/>
        </w:trPr>
        <w:tc>
          <w:tcPr>
            <w:tcW w:w="1780" w:type="dxa"/>
            <w:vAlign w:val="bottom"/>
          </w:tcPr>
          <w:p>
            <w:pPr>
              <w:jc w:val="center"/>
              <w:ind w:right="170"/>
              <w:spacing w:after="0" w:line="202" w:lineRule="exact"/>
              <w:rPr>
                <w:sz w:val="20"/>
                <w:szCs w:val="20"/>
                <w:color w:val="auto"/>
              </w:rPr>
            </w:pPr>
            <w:r>
              <w:rPr>
                <w:rFonts w:ascii="Arial" w:cs="Arial" w:eastAsia="Arial" w:hAnsi="Arial"/>
                <w:sz w:val="18"/>
                <w:szCs w:val="18"/>
                <w:color w:val="auto"/>
              </w:rPr>
              <w:t>REPORTING</w:t>
            </w:r>
          </w:p>
        </w:tc>
        <w:tc>
          <w:tcPr>
            <w:tcW w:w="380" w:type="dxa"/>
            <w:vAlign w:val="bottom"/>
          </w:tcPr>
          <w:p>
            <w:pPr>
              <w:spacing w:after="0"/>
              <w:rPr>
                <w:sz w:val="17"/>
                <w:szCs w:val="17"/>
                <w:color w:val="auto"/>
              </w:rPr>
            </w:pPr>
          </w:p>
        </w:tc>
        <w:tc>
          <w:tcPr>
            <w:tcW w:w="9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jc w:val="center"/>
              <w:ind w:right="170"/>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19"/>
                <w:szCs w:val="19"/>
                <w:color w:val="auto"/>
              </w:rPr>
            </w:pPr>
          </w:p>
        </w:tc>
        <w:tc>
          <w:tcPr>
            <w:tcW w:w="904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-7620</wp:posOffset>
            </wp:positionV>
            <wp:extent cx="5983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ind w:left="2300" w:right="6280" w:hanging="463"/>
        <w:spacing w:after="0" w:line="481" w:lineRule="auto"/>
        <w:tabs>
          <w:tab w:leader="none" w:pos="2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 xml:space="preserve">SHARED DISPOSITIVE POWER </w:t>
      </w:r>
      <w:r>
        <w:rPr>
          <w:rFonts w:ascii="Arial" w:cs="Arial" w:eastAsia="Arial" w:hAnsi="Arial"/>
          <w:sz w:val="18"/>
          <w:szCs w:val="18"/>
          <w:b w:val="1"/>
          <w:bCs w:val="1"/>
          <w:color w:val="auto"/>
        </w:rPr>
        <w:t>4,883,335</w:t>
      </w: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580" w:right="3900" w:hanging="484"/>
        <w:spacing w:after="0" w:line="360" w:lineRule="auto"/>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8"/>
          <w:szCs w:val="18"/>
          <w:b w:val="1"/>
          <w:bCs w:val="1"/>
          <w:color w:val="auto"/>
        </w:rPr>
        <w:t>4,883,335</w:t>
      </w:r>
      <w:r>
        <w:rPr>
          <w:rFonts w:ascii="Arial" w:cs="Arial" w:eastAsia="Arial" w:hAnsi="Arial"/>
          <w:sz w:val="18"/>
          <w:szCs w:val="18"/>
          <w:color w:val="auto"/>
        </w:rPr>
        <w:t>*</w:t>
      </w:r>
    </w:p>
    <w:p>
      <w:pPr>
        <w:ind w:left="580" w:right="3260" w:hanging="484"/>
        <w:spacing w:after="0" w:line="220" w:lineRule="exact"/>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96" w:lineRule="exact"/>
        <w:rPr>
          <w:rFonts w:ascii="Arial" w:cs="Arial" w:eastAsia="Arial" w:hAnsi="Arial"/>
          <w:sz w:val="18"/>
          <w:szCs w:val="18"/>
          <w:color w:val="auto"/>
        </w:rPr>
      </w:pPr>
    </w:p>
    <w:p>
      <w:pPr>
        <w:ind w:left="580" w:hanging="484"/>
        <w:spacing w:after="0"/>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10.3%</w:t>
      </w:r>
    </w:p>
    <w:p>
      <w:pPr>
        <w:spacing w:after="0" w:line="31" w:lineRule="exact"/>
        <w:rPr>
          <w:rFonts w:ascii="Arial" w:cs="Arial" w:eastAsia="Arial" w:hAnsi="Arial"/>
          <w:sz w:val="18"/>
          <w:szCs w:val="18"/>
          <w:color w:val="auto"/>
        </w:rPr>
      </w:pPr>
    </w:p>
    <w:p>
      <w:pPr>
        <w:ind w:left="580" w:hanging="484"/>
        <w:spacing w:after="0"/>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328" w:lineRule="exact"/>
        <w:rPr>
          <w:rFonts w:ascii="Arial" w:cs="Arial" w:eastAsia="Arial" w:hAnsi="Arial"/>
          <w:sz w:val="18"/>
          <w:szCs w:val="18"/>
          <w:color w:val="auto"/>
        </w:rPr>
      </w:pPr>
    </w:p>
    <w:p>
      <w:pPr>
        <w:ind w:right="260"/>
        <w:spacing w:after="0" w:line="227"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Items 4, 5(a) and 5(b), Eastern Capital Limited beneficially owns 4,050,001 shares of Common Stock and 833,334 shares of Common Stock issuable upon exercise of the Series D-1 Warrant or the Series F-1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-2416175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-1884680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-1482090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-1087755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spacing w:after="0"/>
        <w:tabs>
          <w:tab w:leader="none" w:pos="5100" w:val="left"/>
          <w:tab w:leader="none" w:pos="10280" w:val="left"/>
        </w:tabs>
        <w:rPr>
          <w:sz w:val="20"/>
          <w:szCs w:val="20"/>
          <w:color w:val="auto"/>
        </w:rPr>
      </w:pPr>
      <w:r>
        <w:rPr>
          <w:rFonts w:ascii="Arial" w:cs="Arial" w:eastAsia="Arial" w:hAnsi="Arial"/>
          <w:sz w:val="18"/>
          <w:szCs w:val="18"/>
          <w:b w:val="1"/>
          <w:bCs w:val="1"/>
          <w:color w:val="auto"/>
        </w:rPr>
        <w:t>CUSIP No. 57055L107</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7"/>
          <w:szCs w:val="17"/>
          <w:b w:val="1"/>
          <w:bCs w:val="1"/>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left="680" w:hanging="48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76"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b w:val="1"/>
          <w:bCs w:val="1"/>
          <w:color w:val="auto"/>
        </w:rPr>
        <w:t>PORTFOLIO SERVICES LTD.</w:t>
      </w:r>
    </w:p>
    <w:p>
      <w:pPr>
        <w:spacing w:after="0" w:line="44" w:lineRule="exact"/>
        <w:rPr>
          <w:rFonts w:ascii="Arial" w:cs="Arial" w:eastAsia="Arial" w:hAnsi="Arial"/>
          <w:sz w:val="18"/>
          <w:szCs w:val="18"/>
          <w:color w:val="auto"/>
        </w:rPr>
      </w:pPr>
    </w:p>
    <w:p>
      <w:pPr>
        <w:ind w:left="680" w:right="5380" w:hanging="484"/>
        <w:spacing w:after="0" w:line="234"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1100" w:hanging="417"/>
        <w:spacing w:after="0" w:line="202" w:lineRule="exact"/>
        <w:tabs>
          <w:tab w:leader="none" w:pos="110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1100" w:hanging="417"/>
        <w:spacing w:after="0" w:line="207" w:lineRule="exact"/>
        <w:tabs>
          <w:tab w:leader="none" w:pos="110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680" w:hanging="48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680" w:hanging="48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76"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680" w:hanging="484"/>
        <w:spacing w:after="0" w:line="23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6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40" w:lineRule="exact"/>
        <w:rPr>
          <w:rFonts w:ascii="Arial" w:cs="Arial" w:eastAsia="Arial" w:hAnsi="Arial"/>
          <w:sz w:val="18"/>
          <w:szCs w:val="18"/>
          <w:color w:val="auto"/>
        </w:rPr>
      </w:pPr>
    </w:p>
    <w:p>
      <w:pPr>
        <w:ind w:left="680" w:hanging="48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76"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47" w:lineRule="exact"/>
        <w:rPr>
          <w:rFonts w:ascii="Arial" w:cs="Arial" w:eastAsia="Arial" w:hAnsi="Arial"/>
          <w:sz w:val="18"/>
          <w:szCs w:val="18"/>
          <w:color w:val="auto"/>
        </w:rPr>
      </w:pPr>
    </w:p>
    <w:p>
      <w:pPr>
        <w:ind w:left="2280" w:hanging="356"/>
        <w:spacing w:after="0"/>
        <w:tabs>
          <w:tab w:leader="none" w:pos="22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-2118995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-1596390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-1330325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-935990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-670560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80" w:type="dxa"/>
            <w:vAlign w:val="bottom"/>
            <w:vMerge w:val="restart"/>
          </w:tcPr>
          <w:p>
            <w:pPr>
              <w:jc w:val="center"/>
              <w:ind w:right="170"/>
              <w:spacing w:after="0"/>
              <w:rPr>
                <w:sz w:val="20"/>
                <w:szCs w:val="20"/>
                <w:color w:val="auto"/>
              </w:rPr>
            </w:pPr>
            <w:r>
              <w:rPr>
                <w:rFonts w:ascii="Arial" w:cs="Arial" w:eastAsia="Arial" w:hAnsi="Arial"/>
                <w:sz w:val="18"/>
                <w:szCs w:val="18"/>
                <w:color w:val="auto"/>
                <w:w w:val="99"/>
              </w:rPr>
              <w:t>NUMBER OF</w:t>
            </w:r>
          </w:p>
        </w:tc>
        <w:tc>
          <w:tcPr>
            <w:tcW w:w="360" w:type="dxa"/>
            <w:vAlign w:val="bottom"/>
            <w:tcBorders>
              <w:bottom w:val="single" w:sz="8" w:color="auto"/>
            </w:tcBorders>
          </w:tcPr>
          <w:p>
            <w:pPr>
              <w:spacing w:after="0"/>
              <w:rPr>
                <w:sz w:val="17"/>
                <w:szCs w:val="17"/>
                <w:color w:val="auto"/>
              </w:rPr>
            </w:pPr>
          </w:p>
        </w:tc>
        <w:tc>
          <w:tcPr>
            <w:tcW w:w="9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1780" w:type="dxa"/>
            <w:vAlign w:val="bottom"/>
            <w:vMerge w:val="continue"/>
          </w:tcPr>
          <w:p>
            <w:pPr>
              <w:spacing w:after="0"/>
              <w:rPr>
                <w:sz w:val="16"/>
                <w:szCs w:val="16"/>
                <w:color w:val="auto"/>
              </w:rPr>
            </w:pPr>
          </w:p>
        </w:tc>
        <w:tc>
          <w:tcPr>
            <w:tcW w:w="3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8.</w:t>
            </w:r>
          </w:p>
        </w:tc>
        <w:tc>
          <w:tcPr>
            <w:tcW w:w="906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3"/>
        </w:trPr>
        <w:tc>
          <w:tcPr>
            <w:tcW w:w="178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9"/>
              </w:rPr>
              <w:t>SHARES</w:t>
            </w:r>
          </w:p>
        </w:tc>
        <w:tc>
          <w:tcPr>
            <w:tcW w:w="360" w:type="dxa"/>
            <w:vAlign w:val="bottom"/>
          </w:tcPr>
          <w:p>
            <w:pPr>
              <w:spacing w:after="0"/>
              <w:rPr>
                <w:sz w:val="17"/>
                <w:szCs w:val="17"/>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4,883,335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78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9"/>
              </w:rPr>
              <w:t>BENEFICIALLY</w:t>
            </w:r>
          </w:p>
        </w:tc>
        <w:tc>
          <w:tcPr>
            <w:tcW w:w="360" w:type="dxa"/>
            <w:vAlign w:val="bottom"/>
            <w:tcBorders>
              <w:bottom w:val="single" w:sz="8" w:color="auto"/>
            </w:tcBorders>
          </w:tcPr>
          <w:p>
            <w:pPr>
              <w:spacing w:after="0"/>
              <w:rPr>
                <w:sz w:val="17"/>
                <w:szCs w:val="17"/>
                <w:color w:val="auto"/>
              </w:rPr>
            </w:pPr>
          </w:p>
        </w:tc>
        <w:tc>
          <w:tcPr>
            <w:tcW w:w="9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80" w:type="dxa"/>
            <w:vAlign w:val="bottom"/>
          </w:tcPr>
          <w:p>
            <w:pPr>
              <w:jc w:val="center"/>
              <w:ind w:right="170"/>
              <w:spacing w:after="0" w:line="182" w:lineRule="exact"/>
              <w:rPr>
                <w:sz w:val="20"/>
                <w:szCs w:val="20"/>
                <w:color w:val="auto"/>
              </w:rPr>
            </w:pPr>
            <w:r>
              <w:rPr>
                <w:rFonts w:ascii="Arial" w:cs="Arial" w:eastAsia="Arial" w:hAnsi="Arial"/>
                <w:sz w:val="18"/>
                <w:szCs w:val="18"/>
                <w:color w:val="auto"/>
                <w:w w:val="99"/>
              </w:rPr>
              <w:t>OWNED BY EACH</w:t>
            </w:r>
          </w:p>
        </w:tc>
        <w:tc>
          <w:tcPr>
            <w:tcW w:w="360" w:type="dxa"/>
            <w:vAlign w:val="bottom"/>
          </w:tcPr>
          <w:p>
            <w:pPr>
              <w:jc w:val="right"/>
              <w:ind w:right="10"/>
              <w:spacing w:after="0" w:line="182" w:lineRule="exact"/>
              <w:rPr>
                <w:sz w:val="20"/>
                <w:szCs w:val="20"/>
                <w:color w:val="auto"/>
              </w:rPr>
            </w:pPr>
            <w:r>
              <w:rPr>
                <w:rFonts w:ascii="Arial" w:cs="Arial" w:eastAsia="Arial" w:hAnsi="Arial"/>
                <w:sz w:val="18"/>
                <w:szCs w:val="18"/>
                <w:color w:val="auto"/>
              </w:rPr>
              <w:t>9.</w:t>
            </w:r>
          </w:p>
        </w:tc>
        <w:tc>
          <w:tcPr>
            <w:tcW w:w="906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2"/>
        </w:trPr>
        <w:tc>
          <w:tcPr>
            <w:tcW w:w="1780" w:type="dxa"/>
            <w:vAlign w:val="bottom"/>
          </w:tcPr>
          <w:p>
            <w:pPr>
              <w:jc w:val="center"/>
              <w:ind w:right="170"/>
              <w:spacing w:after="0" w:line="202" w:lineRule="exact"/>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7"/>
                <w:szCs w:val="17"/>
                <w:color w:val="auto"/>
              </w:rPr>
            </w:pPr>
          </w:p>
        </w:tc>
        <w:tc>
          <w:tcPr>
            <w:tcW w:w="9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jc w:val="center"/>
              <w:ind w:right="170"/>
              <w:spacing w:after="0"/>
              <w:rPr>
                <w:sz w:val="20"/>
                <w:szCs w:val="20"/>
                <w:color w:val="auto"/>
              </w:rPr>
            </w:pPr>
            <w:r>
              <w:rPr>
                <w:rFonts w:ascii="Arial" w:cs="Arial" w:eastAsia="Arial" w:hAnsi="Arial"/>
                <w:sz w:val="18"/>
                <w:szCs w:val="18"/>
                <w:color w:val="auto"/>
              </w:rPr>
              <w:t>PERSON WITH</w:t>
            </w:r>
          </w:p>
        </w:tc>
        <w:tc>
          <w:tcPr>
            <w:tcW w:w="360" w:type="dxa"/>
            <w:vAlign w:val="bottom"/>
          </w:tcPr>
          <w:p>
            <w:pPr>
              <w:spacing w:after="0"/>
              <w:rPr>
                <w:sz w:val="19"/>
                <w:szCs w:val="19"/>
                <w:color w:val="auto"/>
              </w:rPr>
            </w:pPr>
          </w:p>
        </w:tc>
        <w:tc>
          <w:tcPr>
            <w:tcW w:w="906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-7620</wp:posOffset>
            </wp:positionV>
            <wp:extent cx="59836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ind w:left="2280" w:right="6300" w:hanging="456"/>
        <w:spacing w:after="0" w:line="481" w:lineRule="auto"/>
        <w:tabs>
          <w:tab w:leader="none" w:pos="2280" w:val="left"/>
        </w:tabs>
        <w:numPr>
          <w:ilvl w:val="2"/>
          <w:numId w:val="6"/>
        </w:numPr>
        <w:rPr>
          <w:rFonts w:ascii="Arial" w:cs="Arial" w:eastAsia="Arial" w:hAnsi="Arial"/>
          <w:sz w:val="18"/>
          <w:szCs w:val="18"/>
          <w:color w:val="auto"/>
        </w:rPr>
      </w:pPr>
      <w:r>
        <w:rPr>
          <w:rFonts w:ascii="Arial" w:cs="Arial" w:eastAsia="Arial" w:hAnsi="Arial"/>
          <w:sz w:val="18"/>
          <w:szCs w:val="18"/>
          <w:color w:val="auto"/>
        </w:rPr>
        <w:t xml:space="preserve">SHARED DISPOSITIVE POWER </w:t>
      </w:r>
      <w:r>
        <w:rPr>
          <w:rFonts w:ascii="Arial" w:cs="Arial" w:eastAsia="Arial" w:hAnsi="Arial"/>
          <w:sz w:val="18"/>
          <w:szCs w:val="18"/>
          <w:b w:val="1"/>
          <w:bCs w:val="1"/>
          <w:color w:val="auto"/>
        </w:rPr>
        <w:t>4,883,335</w:t>
      </w: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680" w:right="3780" w:hanging="584"/>
        <w:spacing w:after="0" w:line="360"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8"/>
          <w:szCs w:val="18"/>
          <w:b w:val="1"/>
          <w:bCs w:val="1"/>
          <w:color w:val="auto"/>
        </w:rPr>
        <w:t>4,883,335</w:t>
      </w:r>
      <w:r>
        <w:rPr>
          <w:rFonts w:ascii="Arial" w:cs="Arial" w:eastAsia="Arial" w:hAnsi="Arial"/>
          <w:sz w:val="18"/>
          <w:szCs w:val="18"/>
          <w:color w:val="auto"/>
        </w:rPr>
        <w:t>*</w:t>
      </w:r>
    </w:p>
    <w:p>
      <w:pPr>
        <w:ind w:left="680" w:right="3140" w:hanging="584"/>
        <w:spacing w:after="0" w:line="220" w:lineRule="exact"/>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96" w:lineRule="exact"/>
        <w:rPr>
          <w:rFonts w:ascii="Arial" w:cs="Arial" w:eastAsia="Arial" w:hAnsi="Arial"/>
          <w:sz w:val="18"/>
          <w:szCs w:val="18"/>
          <w:color w:val="auto"/>
        </w:rPr>
      </w:pPr>
    </w:p>
    <w:p>
      <w:pPr>
        <w:ind w:left="680" w:hanging="584"/>
        <w:spacing w:after="0"/>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76"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b w:val="1"/>
          <w:bCs w:val="1"/>
          <w:color w:val="auto"/>
        </w:rPr>
        <w:t>10.3%</w:t>
      </w:r>
    </w:p>
    <w:p>
      <w:pPr>
        <w:spacing w:after="0" w:line="31" w:lineRule="exact"/>
        <w:rPr>
          <w:rFonts w:ascii="Arial" w:cs="Arial" w:eastAsia="Arial" w:hAnsi="Arial"/>
          <w:sz w:val="18"/>
          <w:szCs w:val="18"/>
          <w:color w:val="auto"/>
        </w:rPr>
      </w:pPr>
    </w:p>
    <w:p>
      <w:pPr>
        <w:ind w:left="680" w:hanging="584"/>
        <w:spacing w:after="0"/>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76"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328" w:lineRule="exact"/>
        <w:rPr>
          <w:rFonts w:ascii="Arial" w:cs="Arial" w:eastAsia="Arial" w:hAnsi="Arial"/>
          <w:sz w:val="18"/>
          <w:szCs w:val="18"/>
          <w:color w:val="auto"/>
        </w:rPr>
      </w:pPr>
    </w:p>
    <w:p>
      <w:pPr>
        <w:ind w:right="20"/>
        <w:spacing w:after="0" w:line="227"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Items 4, 5(a) and 5(b), Portfolio Services Ltd. beneficially owns 4,050,001 shares of Common Stock and 833,334 shares of Common Stock issuable upon exercise of the Series D-1 Warrant or the Series F-1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-2416175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-1884680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-1482090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-1087755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spacing w:after="0"/>
        <w:tabs>
          <w:tab w:leader="none" w:pos="5040" w:val="left"/>
          <w:tab w:leader="none" w:pos="10280" w:val="left"/>
        </w:tabs>
        <w:rPr>
          <w:sz w:val="20"/>
          <w:szCs w:val="20"/>
          <w:color w:val="auto"/>
        </w:rPr>
      </w:pPr>
      <w:r>
        <w:rPr>
          <w:rFonts w:ascii="Arial" w:cs="Arial" w:eastAsia="Arial" w:hAnsi="Arial"/>
          <w:sz w:val="18"/>
          <w:szCs w:val="18"/>
          <w:b w:val="1"/>
          <w:bCs w:val="1"/>
          <w:color w:val="auto"/>
        </w:rPr>
        <w:t>CUSIP No. 57055L107</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7"/>
          <w:szCs w:val="17"/>
          <w:b w:val="1"/>
          <w:bCs w:val="1"/>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left="680" w:hanging="48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76"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b w:val="1"/>
          <w:bCs w:val="1"/>
          <w:color w:val="auto"/>
        </w:rPr>
        <w:t>KENNETH B. DART</w:t>
      </w:r>
    </w:p>
    <w:p>
      <w:pPr>
        <w:spacing w:after="0" w:line="44" w:lineRule="exact"/>
        <w:rPr>
          <w:rFonts w:ascii="Arial" w:cs="Arial" w:eastAsia="Arial" w:hAnsi="Arial"/>
          <w:sz w:val="18"/>
          <w:szCs w:val="18"/>
          <w:color w:val="auto"/>
        </w:rPr>
      </w:pPr>
    </w:p>
    <w:p>
      <w:pPr>
        <w:ind w:left="680" w:right="5380" w:hanging="484"/>
        <w:spacing w:after="0" w:line="234"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1100" w:hanging="417"/>
        <w:spacing w:after="0" w:line="202" w:lineRule="exact"/>
        <w:tabs>
          <w:tab w:leader="none" w:pos="110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1100" w:hanging="417"/>
        <w:spacing w:after="0" w:line="207" w:lineRule="exact"/>
        <w:tabs>
          <w:tab w:leader="none" w:pos="110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680" w:hanging="48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680" w:hanging="48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76"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680" w:hanging="484"/>
        <w:spacing w:after="0" w:line="230"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6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40" w:lineRule="exact"/>
        <w:rPr>
          <w:rFonts w:ascii="Arial" w:cs="Arial" w:eastAsia="Arial" w:hAnsi="Arial"/>
          <w:sz w:val="18"/>
          <w:szCs w:val="18"/>
          <w:color w:val="auto"/>
        </w:rPr>
      </w:pPr>
    </w:p>
    <w:p>
      <w:pPr>
        <w:ind w:left="680" w:hanging="48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76"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47" w:lineRule="exact"/>
        <w:rPr>
          <w:rFonts w:ascii="Arial" w:cs="Arial" w:eastAsia="Arial" w:hAnsi="Arial"/>
          <w:sz w:val="18"/>
          <w:szCs w:val="18"/>
          <w:color w:val="auto"/>
        </w:rPr>
      </w:pPr>
    </w:p>
    <w:p>
      <w:pPr>
        <w:ind w:left="2280" w:hanging="356"/>
        <w:spacing w:after="0"/>
        <w:tabs>
          <w:tab w:leader="none" w:pos="22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-2118995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-1596390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-1330325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-935990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-670560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80" w:type="dxa"/>
            <w:vAlign w:val="bottom"/>
            <w:vMerge w:val="restart"/>
          </w:tcPr>
          <w:p>
            <w:pPr>
              <w:jc w:val="center"/>
              <w:ind w:right="170"/>
              <w:spacing w:after="0"/>
              <w:rPr>
                <w:sz w:val="20"/>
                <w:szCs w:val="20"/>
                <w:color w:val="auto"/>
              </w:rPr>
            </w:pPr>
            <w:r>
              <w:rPr>
                <w:rFonts w:ascii="Arial" w:cs="Arial" w:eastAsia="Arial" w:hAnsi="Arial"/>
                <w:sz w:val="18"/>
                <w:szCs w:val="18"/>
                <w:color w:val="auto"/>
                <w:w w:val="99"/>
              </w:rPr>
              <w:t>NUMBER OF</w:t>
            </w:r>
          </w:p>
        </w:tc>
        <w:tc>
          <w:tcPr>
            <w:tcW w:w="360" w:type="dxa"/>
            <w:vAlign w:val="bottom"/>
            <w:tcBorders>
              <w:bottom w:val="single" w:sz="8" w:color="auto"/>
            </w:tcBorders>
          </w:tcPr>
          <w:p>
            <w:pPr>
              <w:spacing w:after="0"/>
              <w:rPr>
                <w:sz w:val="17"/>
                <w:szCs w:val="17"/>
                <w:color w:val="auto"/>
              </w:rPr>
            </w:pPr>
          </w:p>
        </w:tc>
        <w:tc>
          <w:tcPr>
            <w:tcW w:w="9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780" w:type="dxa"/>
            <w:vAlign w:val="bottom"/>
            <w:vMerge w:val="continue"/>
          </w:tcPr>
          <w:p>
            <w:pPr>
              <w:spacing w:after="0"/>
              <w:rPr>
                <w:sz w:val="8"/>
                <w:szCs w:val="8"/>
                <w:color w:val="auto"/>
              </w:rPr>
            </w:pPr>
          </w:p>
        </w:tc>
        <w:tc>
          <w:tcPr>
            <w:tcW w:w="36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0"/>
        </w:trPr>
        <w:tc>
          <w:tcPr>
            <w:tcW w:w="1780" w:type="dxa"/>
            <w:vAlign w:val="bottom"/>
            <w:vMerge w:val="restart"/>
          </w:tcPr>
          <w:p>
            <w:pPr>
              <w:jc w:val="center"/>
              <w:ind w:right="190"/>
              <w:spacing w:after="0" w:line="202" w:lineRule="exact"/>
              <w:rPr>
                <w:sz w:val="20"/>
                <w:szCs w:val="20"/>
                <w:color w:val="auto"/>
              </w:rPr>
            </w:pPr>
            <w:r>
              <w:rPr>
                <w:rFonts w:ascii="Arial" w:cs="Arial" w:eastAsia="Arial" w:hAnsi="Arial"/>
                <w:sz w:val="18"/>
                <w:szCs w:val="18"/>
                <w:color w:val="auto"/>
                <w:w w:val="99"/>
              </w:rPr>
              <w:t>SHARES</w:t>
            </w:r>
          </w:p>
        </w:tc>
        <w:tc>
          <w:tcPr>
            <w:tcW w:w="36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7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9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8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7"/>
                <w:szCs w:val="17"/>
                <w:color w:val="auto"/>
              </w:rPr>
            </w:pPr>
          </w:p>
        </w:tc>
        <w:tc>
          <w:tcPr>
            <w:tcW w:w="9060" w:type="dxa"/>
            <w:vAlign w:val="bottom"/>
            <w:vMerge w:val="restart"/>
          </w:tcPr>
          <w:p>
            <w:pPr>
              <w:jc w:val="right"/>
              <w:ind w:right="7950"/>
              <w:spacing w:after="0"/>
              <w:rPr>
                <w:sz w:val="20"/>
                <w:szCs w:val="20"/>
                <w:color w:val="auto"/>
              </w:rPr>
            </w:pPr>
            <w:r>
              <w:rPr>
                <w:rFonts w:ascii="Arial" w:cs="Arial" w:eastAsia="Arial" w:hAnsi="Arial"/>
                <w:sz w:val="18"/>
                <w:szCs w:val="18"/>
                <w:b w:val="1"/>
                <w:bCs w:val="1"/>
                <w:color w:val="auto"/>
              </w:rPr>
              <w:t>4,883,335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780" w:type="dxa"/>
            <w:vAlign w:val="bottom"/>
            <w:vMerge w:val="restart"/>
          </w:tcPr>
          <w:p>
            <w:pPr>
              <w:jc w:val="center"/>
              <w:ind w:right="170"/>
              <w:spacing w:after="0" w:line="202" w:lineRule="exact"/>
              <w:rPr>
                <w:sz w:val="20"/>
                <w:szCs w:val="20"/>
                <w:color w:val="auto"/>
              </w:rPr>
            </w:pPr>
            <w:r>
              <w:rPr>
                <w:rFonts w:ascii="Arial" w:cs="Arial" w:eastAsia="Arial" w:hAnsi="Arial"/>
                <w:sz w:val="18"/>
                <w:szCs w:val="18"/>
                <w:color w:val="auto"/>
                <w:w w:val="99"/>
              </w:rPr>
              <w:t>OWNED BY EACH</w:t>
            </w:r>
          </w:p>
        </w:tc>
        <w:tc>
          <w:tcPr>
            <w:tcW w:w="360" w:type="dxa"/>
            <w:vAlign w:val="bottom"/>
            <w:tcBorders>
              <w:bottom w:val="single" w:sz="8" w:color="auto"/>
            </w:tcBorders>
          </w:tcPr>
          <w:p>
            <w:pPr>
              <w:spacing w:after="0"/>
              <w:rPr>
                <w:sz w:val="8"/>
                <w:szCs w:val="8"/>
                <w:color w:val="auto"/>
              </w:rPr>
            </w:pPr>
          </w:p>
        </w:tc>
        <w:tc>
          <w:tcPr>
            <w:tcW w:w="9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780" w:type="dxa"/>
            <w:vAlign w:val="bottom"/>
            <w:vMerge w:val="continue"/>
          </w:tcPr>
          <w:p>
            <w:pPr>
              <w:spacing w:after="0"/>
              <w:rPr>
                <w:sz w:val="7"/>
                <w:szCs w:val="7"/>
                <w:color w:val="auto"/>
              </w:rPr>
            </w:pPr>
          </w:p>
        </w:tc>
        <w:tc>
          <w:tcPr>
            <w:tcW w:w="36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3"/>
        </w:trPr>
        <w:tc>
          <w:tcPr>
            <w:tcW w:w="1780" w:type="dxa"/>
            <w:vAlign w:val="bottom"/>
            <w:vMerge w:val="restart"/>
          </w:tcPr>
          <w:p>
            <w:pPr>
              <w:jc w:val="center"/>
              <w:ind w:right="170"/>
              <w:spacing w:after="0" w:line="202" w:lineRule="exact"/>
              <w:rPr>
                <w:sz w:val="20"/>
                <w:szCs w:val="20"/>
                <w:color w:val="auto"/>
              </w:rPr>
            </w:pPr>
            <w:r>
              <w:rPr>
                <w:rFonts w:ascii="Arial" w:cs="Arial" w:eastAsia="Arial" w:hAnsi="Arial"/>
                <w:sz w:val="18"/>
                <w:szCs w:val="18"/>
                <w:color w:val="auto"/>
              </w:rPr>
              <w:t>REPORTING</w:t>
            </w:r>
          </w:p>
        </w:tc>
        <w:tc>
          <w:tcPr>
            <w:tcW w:w="360" w:type="dxa"/>
            <w:vAlign w:val="bottom"/>
            <w:vMerge w:val="continue"/>
          </w:tcPr>
          <w:p>
            <w:pPr>
              <w:spacing w:after="0"/>
              <w:rPr>
                <w:sz w:val="10"/>
                <w:szCs w:val="10"/>
                <w:color w:val="auto"/>
              </w:rPr>
            </w:pPr>
          </w:p>
        </w:tc>
        <w:tc>
          <w:tcPr>
            <w:tcW w:w="9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7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Arial" w:cs="Arial" w:eastAsia="Arial" w:hAnsi="Arial"/>
                <w:sz w:val="18"/>
                <w:szCs w:val="18"/>
                <w:color w:val="auto"/>
              </w:rPr>
              <w:t>PERSON WITH</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7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-7620</wp:posOffset>
            </wp:positionV>
            <wp:extent cx="59836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ind w:left="2340" w:right="6300" w:hanging="516"/>
        <w:spacing w:after="0" w:line="246" w:lineRule="auto"/>
        <w:tabs>
          <w:tab w:leader="none" w:pos="229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SHARED DISPOSITIVE POWER </w:t>
      </w:r>
      <w:r>
        <w:rPr>
          <w:rFonts w:ascii="Arial" w:cs="Arial" w:eastAsia="Arial" w:hAnsi="Arial"/>
          <w:sz w:val="18"/>
          <w:szCs w:val="18"/>
          <w:b w:val="1"/>
          <w:bCs w:val="1"/>
          <w:color w:val="auto"/>
        </w:rPr>
        <w:t>4,883,335</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680" w:hanging="584"/>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4,883,335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680" w:right="3140" w:hanging="584"/>
        <w:spacing w:after="0" w:line="220" w:lineRule="exact"/>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96" w:lineRule="exact"/>
        <w:rPr>
          <w:rFonts w:ascii="Arial" w:cs="Arial" w:eastAsia="Arial" w:hAnsi="Arial"/>
          <w:sz w:val="18"/>
          <w:szCs w:val="18"/>
          <w:color w:val="auto"/>
        </w:rPr>
      </w:pPr>
    </w:p>
    <w:p>
      <w:pPr>
        <w:ind w:left="680" w:hanging="584"/>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76"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b w:val="1"/>
          <w:bCs w:val="1"/>
          <w:color w:val="auto"/>
        </w:rPr>
        <w:t>10.3%</w:t>
      </w:r>
    </w:p>
    <w:p>
      <w:pPr>
        <w:spacing w:after="0" w:line="31" w:lineRule="exact"/>
        <w:rPr>
          <w:rFonts w:ascii="Arial" w:cs="Arial" w:eastAsia="Arial" w:hAnsi="Arial"/>
          <w:sz w:val="18"/>
          <w:szCs w:val="18"/>
          <w:color w:val="auto"/>
        </w:rPr>
      </w:pPr>
    </w:p>
    <w:p>
      <w:pPr>
        <w:ind w:left="680" w:hanging="584"/>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76"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-776605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*As of the filing date and as described in Items 4, 5(a) and 5(b), Kenneth B. Dart beneficially owns 4,050,001 shares of Common Stock and 833,334 shares of Common Stock issuable upon exercise of the Series D-1 Warrant or the Series F-1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ectPr>
          <w:pgSz w:w="11900" w:h="16838" w:orient="portrait"/>
          <w:cols w:equalWidth="0" w:num="1">
            <w:col w:w="11240"/>
          </w:cols>
          <w:pgMar w:left="320" w:top="684" w:right="339" w:bottom="1440" w:gutter="0" w:footer="0" w:header="0"/>
        </w:sectPr>
      </w:pPr>
    </w:p>
    <w:bookmarkStart w:id="4" w:name="page5"/>
    <w:bookmarkEnd w:id="4"/>
    <w:p>
      <w:pPr>
        <w:spacing w:after="0"/>
        <w:tabs>
          <w:tab w:leader="none" w:pos="5620" w:val="left"/>
          <w:tab w:leader="none" w:pos="102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7"/>
          <w:szCs w:val="17"/>
          <w:b w:val="1"/>
          <w:bCs w:val="1"/>
          <w:color w:val="auto"/>
        </w:rPr>
        <w:t>Page 5 of 7</w:t>
      </w:r>
    </w:p>
    <w:p>
      <w:pPr>
        <w:spacing w:after="0" w:line="200" w:lineRule="exact"/>
        <w:rPr>
          <w:sz w:val="20"/>
          <w:szCs w:val="20"/>
          <w:color w:val="auto"/>
        </w:rPr>
      </w:pPr>
    </w:p>
    <w:p>
      <w:pPr>
        <w:spacing w:after="0" w:line="223"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This Amendment No. 11 to Schedule 13D (this "Amendment No. 11") relates to shares of common stock, par value $0.001 per share (the "Common Stock"), of Marker Therapeutics, Inc., (the "Issuer"). This Amendment No. 11 amends the original Schedule 13D filed with the U.S. Securities and Exchange Commission by the Reporting Persons as previously amended by Amendments No. 1 through 10 (the "Schedule 13D"). Except as otherwise specified in this Amendment No. 11, all previous Items are unchanged. Defined terms used herein but not otherwise defined have the meanings set forth in the Schedule 13D.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Series E-1 Warrant to purchase 416,667 shares of Common Stock of the Issuer at the exercise price of $15.00 per share with an expiration date of June 16, 2020, was not exercised by the Reporting Persons before such expiration.</w:t>
      </w:r>
    </w:p>
    <w:p>
      <w:pPr>
        <w:spacing w:after="0" w:line="10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Reporting Persons currently have no plans or proposals which relate to or would result in any transaction, event, or action enumerated in paragraphs (a) through (j) of Item 4 of Schedule 13D.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Item 5(a)–(b)</w:t>
      </w:r>
    </w:p>
    <w:p>
      <w:pPr>
        <w:spacing w:after="0" w:line="13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beneficially owns 4,883,335 shares of the Issuer's Common Stock, representing 10.3% of the Issuer's outstanding Common Stock. Eastern Capital Limited has shared voting and dispositive power of the shares it beneficially owns with its parent, Portfolio Services Ltd. and Kenneth B. Dart.</w:t>
      </w:r>
    </w:p>
    <w:p>
      <w:pPr>
        <w:spacing w:after="0" w:line="11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as the owner of all of the outstanding shares of Eastern Capital Limited, indirectly beneficially owns 4,883,335 shares of the Issuer's Common Stock, representing 10.3% of the Issuer's outstanding Common Stock. Portfolio Services Ltd. has shared voting and dispositive power of the shares it beneficially owns.</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a result of Kenneth B. Dart's ownership of all of the outstanding shares of Portfolio Services Ltd., he indirectly beneficially owns 4,883,335 shares of the Issuer's Common Stock, representing 10.3% of the Issuer's outstanding Common Stock. Kenneth B. Dart has shared voting and dispositive power of the shares he beneficially owns.</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percentage ownership noted in this Schedule 13D/A is based on 46,532,522 shares outstanding as of May 19, 2020 as reported in the Issuer's Form 8-K filed with the U.S. Securities Exchange Commission on May 21, 2020, plus 833,334 shares of Common Stock that may be issued upon exercise of the Series D-1 Warrant or the Series F-1 Warrant held by the Reporting Persons.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Pursuant to the conditions of the Warrant Amendment Agreement and each Series D-1 Warrant and Series F-1 Warrant respectively and subsequent Reverse Stock Split:</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D-1 Warrant, as amended is exercisable at an initial exercise price of $9.00 per share, and will expire on the five year anniversary of September 9, 2015.</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F-1 Warrant, is exercisable at an initial exercise price of $7.20 per share, and will expire on the five year anniversary of the date of issuance.</w:t>
      </w:r>
    </w:p>
    <w:p>
      <w:pPr>
        <w:sectPr>
          <w:pgSz w:w="11900" w:h="16838" w:orient="portrait"/>
          <w:cols w:equalWidth="0" w:num="1">
            <w:col w:w="11240"/>
          </w:cols>
          <w:pgMar w:left="320" w:top="900" w:right="339" w:bottom="1440" w:gutter="0" w:footer="0" w:header="0"/>
        </w:sectPr>
      </w:pPr>
    </w:p>
    <w:bookmarkStart w:id="5" w:name="page6"/>
    <w:bookmarkEnd w:id="5"/>
    <w:p>
      <w:pPr>
        <w:spacing w:after="0"/>
        <w:tabs>
          <w:tab w:leader="none" w:pos="5620" w:val="left"/>
          <w:tab w:leader="none" w:pos="102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526415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7"/>
          <w:szCs w:val="17"/>
          <w:b w:val="1"/>
          <w:bCs w:val="1"/>
          <w:color w:val="auto"/>
        </w:rPr>
        <w:t>Page 6 of 7</w:t>
      </w:r>
    </w:p>
    <w:p>
      <w:pPr>
        <w:spacing w:after="0" w:line="32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 copy of the Certificate of Change filed Pursuant to NRS 78.209 reflecting the Reverse Stock Split is included as Exhibit 3.1 to the Form 8-K filed by the Issuer with the U.S. Securities and Exchange Commission on September 15, 2016 and are incorporated by reference herein.</w:t>
      </w: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Copies of the form of the respective warrants, as amended, are included as Exhibits 4.6 – 4.8 and Exhibit 4.10 to the Form 8-K filed by the Issuer with the U.S. Securities and Exchange Commission on August 11, 2016 and are incorporated by reference herein.</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 copy of the Warrant Amendment Agreement is included as Exhibit 10.3 to the Form 8-K filed by the Issuer with the U.S. Securities and Exchange Commission on August 11, 2016 and is incorporated by reference herein.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Exhibit 1 – Joint Filing Agreement</w:t>
      </w:r>
    </w:p>
    <w:p>
      <w:pPr>
        <w:spacing w:after="0" w:line="9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Exhibit 2.1 Form of Amended Series D-1 Warrant to Purchase Common Stock (Incorporated herein by reference to Exhibit 4.7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2.2 Form of Series F-1 Warrant to Purchase Common Stock (Incorporated herein by reference to Exhibit 4.10 to the Issuer's Form 8-K filed with the U.S. Securities and Exchange Commission on August 11, 2016)</w:t>
      </w:r>
    </w:p>
    <w:p>
      <w:pPr>
        <w:spacing w:after="0" w:line="8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Exhibit 3 – Form of Warrant Amendment Agreement (Incorporated herein by reference to Exhibit 10.3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4 – Form of Certificate of Change filed Pursuant to NRS 78.209 (Incorporated herein by reference to Exhibit 3.1 to the Issuer's Form 8-K filed with the U.S. Securities and Exchange Commission on September 15, 2016)</w:t>
      </w:r>
    </w:p>
    <w:p>
      <w:pPr>
        <w:sectPr>
          <w:pgSz w:w="11900" w:h="16838" w:orient="portrait"/>
          <w:cols w:equalWidth="0" w:num="1">
            <w:col w:w="11240"/>
          </w:cols>
          <w:pgMar w:left="320" w:top="832" w:right="339" w:bottom="1440" w:gutter="0" w:footer="0" w:header="0"/>
        </w:sectPr>
      </w:pPr>
    </w:p>
    <w:bookmarkStart w:id="6" w:name="page7"/>
    <w:bookmarkEnd w:id="6"/>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CUSIP No. 57055L107</w:t>
            </w:r>
          </w:p>
        </w:tc>
        <w:tc>
          <w:tcPr>
            <w:tcW w:w="4780" w:type="dxa"/>
            <w:vAlign w:val="bottom"/>
            <w:tcBorders>
              <w:top w:val="single" w:sz="8" w:color="auto"/>
            </w:tcBorders>
          </w:tcPr>
          <w:p>
            <w:pPr>
              <w:ind w:left="2200"/>
              <w:spacing w:after="0"/>
              <w:rPr>
                <w:sz w:val="20"/>
                <w:szCs w:val="20"/>
                <w:color w:val="auto"/>
              </w:rPr>
            </w:pPr>
            <w:r>
              <w:rPr>
                <w:rFonts w:ascii="Arial" w:cs="Arial" w:eastAsia="Arial" w:hAnsi="Arial"/>
                <w:sz w:val="18"/>
                <w:szCs w:val="18"/>
                <w:color w:val="auto"/>
              </w:rPr>
              <w:t>13D/A</w:t>
            </w:r>
          </w:p>
        </w:tc>
        <w:tc>
          <w:tcPr>
            <w:tcW w:w="3000" w:type="dxa"/>
            <w:vAlign w:val="bottom"/>
            <w:tcBorders>
              <w:top w:val="single" w:sz="8" w:color="auto"/>
            </w:tcBorders>
          </w:tcPr>
          <w:p>
            <w:pPr>
              <w:ind w:left="2080"/>
              <w:spacing w:after="0"/>
              <w:rPr>
                <w:sz w:val="20"/>
                <w:szCs w:val="20"/>
                <w:color w:val="auto"/>
              </w:rPr>
            </w:pPr>
            <w:r>
              <w:rPr>
                <w:rFonts w:ascii="Arial" w:cs="Arial" w:eastAsia="Arial" w:hAnsi="Arial"/>
                <w:sz w:val="18"/>
                <w:szCs w:val="18"/>
                <w:color w:val="auto"/>
                <w:w w:val="97"/>
              </w:rPr>
              <w:t xml:space="preserve">Page </w:t>
            </w:r>
            <w:r>
              <w:rPr>
                <w:rFonts w:ascii="Arial" w:cs="Arial" w:eastAsia="Arial" w:hAnsi="Arial"/>
                <w:sz w:val="18"/>
                <w:szCs w:val="18"/>
                <w:b w:val="1"/>
                <w:bCs w:val="1"/>
                <w:color w:val="auto"/>
                <w:w w:val="97"/>
              </w:rPr>
              <w:t>7</w:t>
            </w:r>
            <w:r>
              <w:rPr>
                <w:rFonts w:ascii="Arial" w:cs="Arial" w:eastAsia="Arial" w:hAnsi="Arial"/>
                <w:sz w:val="18"/>
                <w:szCs w:val="18"/>
                <w:color w:val="auto"/>
                <w:w w:val="97"/>
              </w:rPr>
              <w:t xml:space="preserve"> of </w:t>
            </w:r>
            <w:r>
              <w:rPr>
                <w:rFonts w:ascii="Arial" w:cs="Arial" w:eastAsia="Arial" w:hAnsi="Arial"/>
                <w:sz w:val="18"/>
                <w:szCs w:val="18"/>
                <w:b w:val="1"/>
                <w:bCs w:val="1"/>
                <w:color w:val="auto"/>
                <w:w w:val="97"/>
              </w:rPr>
              <w:t>7</w:t>
            </w:r>
          </w:p>
        </w:tc>
      </w:tr>
      <w:tr>
        <w:trPr>
          <w:trHeight w:val="239"/>
        </w:trPr>
        <w:tc>
          <w:tcPr>
            <w:tcW w:w="3460" w:type="dxa"/>
            <w:vAlign w:val="bottom"/>
          </w:tcPr>
          <w:p>
            <w:pPr>
              <w:spacing w:after="0"/>
              <w:rPr>
                <w:sz w:val="20"/>
                <w:szCs w:val="20"/>
                <w:color w:val="auto"/>
              </w:rPr>
            </w:pPr>
          </w:p>
        </w:tc>
        <w:tc>
          <w:tcPr>
            <w:tcW w:w="4780" w:type="dxa"/>
            <w:vAlign w:val="bottom"/>
          </w:tcPr>
          <w:p>
            <w:pPr>
              <w:ind w:left="1640"/>
              <w:spacing w:after="0"/>
              <w:rPr>
                <w:sz w:val="20"/>
                <w:szCs w:val="20"/>
                <w:color w:val="auto"/>
              </w:rPr>
            </w:pPr>
            <w:r>
              <w:rPr>
                <w:rFonts w:ascii="Arial" w:cs="Arial" w:eastAsia="Arial" w:hAnsi="Arial"/>
                <w:sz w:val="18"/>
                <w:szCs w:val="18"/>
                <w:b w:val="1"/>
                <w:bCs w:val="1"/>
                <w:color w:val="auto"/>
              </w:rPr>
              <w:t>SIGNATURE</w:t>
            </w:r>
          </w:p>
        </w:tc>
        <w:tc>
          <w:tcPr>
            <w:tcW w:w="3000" w:type="dxa"/>
            <w:vAlign w:val="bottom"/>
          </w:tcPr>
          <w:p>
            <w:pPr>
              <w:spacing w:after="0"/>
              <w:rPr>
                <w:sz w:val="20"/>
                <w:szCs w:val="20"/>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EASTERN CAPITAL LIMITED</w:t>
      </w:r>
    </w:p>
    <w:p>
      <w:pPr>
        <w:spacing w:after="0" w:line="15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06/18/2020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31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PORTFOLIO SERVICES LTD.</w:t>
      </w:r>
    </w:p>
    <w:p>
      <w:pPr>
        <w:spacing w:after="0" w:line="15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06/18/2020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31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KENNETH B. DART</w:t>
      </w:r>
    </w:p>
    <w:p>
      <w:pPr>
        <w:spacing w:after="0" w:line="15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06/18/2020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240"/>
          </w:cols>
          <w:pgMar w:left="320" w:top="1440" w:right="339" w:bottom="1440" w:gutter="0" w:footer="0" w:header="0"/>
        </w:sectPr>
      </w:pPr>
    </w:p>
    <w:bookmarkStart w:id="7" w:name="page8"/>
    <w:bookmarkEnd w:id="7"/>
    <w:p>
      <w:pPr>
        <w:spacing w:after="0"/>
        <w:tabs>
          <w:tab w:leader="none" w:pos="5800" w:val="left"/>
        </w:tabs>
        <w:rPr>
          <w:sz w:val="20"/>
          <w:szCs w:val="20"/>
          <w:color w:val="auto"/>
        </w:rPr>
      </w:pPr>
      <w:r>
        <w:rPr>
          <w:rFonts w:ascii="Arial" w:cs="Arial" w:eastAsia="Arial" w:hAnsi="Arial"/>
          <w:sz w:val="18"/>
          <w:szCs w:val="18"/>
          <w:color w:val="auto"/>
        </w:rPr>
        <w:t>CUSIP No. 57055L107</w:t>
      </w:r>
      <w:r>
        <w:rPr>
          <w:sz w:val="20"/>
          <w:szCs w:val="20"/>
          <w:color w:val="auto"/>
        </w:rPr>
        <w:tab/>
      </w:r>
      <w:r>
        <w:rPr>
          <w:rFonts w:ascii="Arial" w:cs="Arial" w:eastAsia="Arial" w:hAnsi="Arial"/>
          <w:sz w:val="17"/>
          <w:szCs w:val="17"/>
          <w:b w:val="1"/>
          <w:bCs w:val="1"/>
          <w:color w:val="auto"/>
        </w:rPr>
        <w:t>EXHIBIT 1</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JOINT FILING AGREEMENT</w:t>
      </w:r>
    </w:p>
    <w:p>
      <w:pPr>
        <w:spacing w:after="0" w:line="180" w:lineRule="exact"/>
        <w:rPr>
          <w:sz w:val="20"/>
          <w:szCs w:val="20"/>
          <w:color w:val="auto"/>
        </w:rPr>
      </w:pPr>
    </w:p>
    <w:p>
      <w:pPr>
        <w:jc w:val="both"/>
        <w:ind w:left="40"/>
        <w:spacing w:after="0" w:line="200" w:lineRule="auto"/>
        <w:rPr>
          <w:sz w:val="20"/>
          <w:szCs w:val="20"/>
          <w:color w:val="auto"/>
        </w:rPr>
      </w:pPr>
      <w:r>
        <w:rPr>
          <w:rFonts w:ascii="Arial" w:cs="Arial" w:eastAsia="Arial" w:hAnsi="Arial"/>
          <w:sz w:val="18"/>
          <w:szCs w:val="18"/>
          <w:color w:val="auto"/>
        </w:rPr>
        <w:t>The undersigned agree to the joint filing of Schedule 13D (including any and all amendments thereto) with respect to the shares of common stock of Marker Therapeutics, Inc. The undersigned further agree and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EASTERN CAPITAL LIMITED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06/18/2020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PORTFOLIO SERVICES LTD.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06/18/2020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KENNETH B. DART</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06/18/2020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180"/>
          </w:cols>
          <w:pgMar w:left="320" w:top="171" w:right="399" w:bottom="1440" w:gutter="0" w:footer="0" w:header="0"/>
        </w:sectPr>
      </w:pPr>
    </w:p>
    <w:bookmarkStart w:id="8" w:name="page9"/>
    <w:bookmarkEnd w:id="8"/>
    <w:p>
      <w:pPr>
        <w:spacing w:after="0"/>
        <w:tabs>
          <w:tab w:leader="none" w:pos="5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97155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57055L107</w:t>
      </w:r>
      <w:r>
        <w:rPr>
          <w:sz w:val="20"/>
          <w:szCs w:val="20"/>
          <w:color w:val="auto"/>
        </w:rPr>
        <w:tab/>
      </w:r>
      <w:r>
        <w:rPr>
          <w:rFonts w:ascii="Arial" w:cs="Arial" w:eastAsia="Arial" w:hAnsi="Arial"/>
          <w:sz w:val="17"/>
          <w:szCs w:val="17"/>
          <w:b w:val="1"/>
          <w:bCs w:val="1"/>
          <w:color w:val="auto"/>
        </w:rPr>
        <w:t>Exhibit 2.1</w:t>
      </w:r>
    </w:p>
    <w:p>
      <w:pPr>
        <w:spacing w:after="0" w:line="247" w:lineRule="exact"/>
        <w:rPr>
          <w:sz w:val="20"/>
          <w:szCs w:val="20"/>
          <w:color w:val="auto"/>
        </w:rPr>
      </w:pPr>
    </w:p>
    <w:p>
      <w:pPr>
        <w:ind w:left="40" w:firstLine="52"/>
        <w:spacing w:after="0" w:line="227" w:lineRule="auto"/>
        <w:rPr>
          <w:sz w:val="20"/>
          <w:szCs w:val="20"/>
          <w:color w:val="auto"/>
        </w:rPr>
      </w:pPr>
      <w:r>
        <w:rPr>
          <w:rFonts w:ascii="Arial" w:cs="Arial" w:eastAsia="Arial" w:hAnsi="Arial"/>
          <w:sz w:val="18"/>
          <w:szCs w:val="18"/>
          <w:color w:val="auto"/>
        </w:rPr>
        <w:t>Form of Amended Series D-1 Warrant to Purchase Common Stock (Incorporated herein by reference to Exhibit 4.7 to the Issuer’s Form 8-K filed with the U.S. Securities and Exchange Commission on August 11, 2016)</w:t>
      </w:r>
    </w:p>
    <w:p>
      <w:pPr>
        <w:sectPr>
          <w:pgSz w:w="11900" w:h="16838" w:orient="portrait"/>
          <w:cols w:equalWidth="0" w:num="1">
            <w:col w:w="11240"/>
          </w:cols>
          <w:pgMar w:left="320" w:top="184" w:right="339" w:bottom="1440" w:gutter="0" w:footer="0" w:header="0"/>
        </w:sectPr>
      </w:pPr>
    </w:p>
    <w:bookmarkStart w:id="9" w:name="page10"/>
    <w:bookmarkEnd w:id="9"/>
    <w:p>
      <w:pPr>
        <w:spacing w:after="0"/>
        <w:tabs>
          <w:tab w:leader="none" w:pos="5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97155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57055L107</w:t>
      </w:r>
      <w:r>
        <w:rPr>
          <w:sz w:val="20"/>
          <w:szCs w:val="20"/>
          <w:color w:val="auto"/>
        </w:rPr>
        <w:tab/>
      </w:r>
      <w:r>
        <w:rPr>
          <w:rFonts w:ascii="Arial" w:cs="Arial" w:eastAsia="Arial" w:hAnsi="Arial"/>
          <w:sz w:val="17"/>
          <w:szCs w:val="17"/>
          <w:b w:val="1"/>
          <w:bCs w:val="1"/>
          <w:color w:val="auto"/>
        </w:rPr>
        <w:t>Exhibit 2.2</w:t>
      </w:r>
    </w:p>
    <w:p>
      <w:pPr>
        <w:spacing w:after="0" w:line="207"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F-1 Warrant to Purchase Common Stock (Incorporated herein by reference to Exhibit 4.10 to the Issuer’s Form 8-K filed with the U.S. Securities and Exchange Commission on August 11, 2016)</w:t>
      </w:r>
    </w:p>
    <w:p>
      <w:pPr>
        <w:sectPr>
          <w:pgSz w:w="11900" w:h="16838" w:orient="portrait"/>
          <w:cols w:equalWidth="0" w:num="1">
            <w:col w:w="11240"/>
          </w:cols>
          <w:pgMar w:left="320" w:top="184" w:right="339" w:bottom="1440" w:gutter="0" w:footer="0" w:header="0"/>
        </w:sectPr>
      </w:pPr>
    </w:p>
    <w:bookmarkStart w:id="10" w:name="page11"/>
    <w:bookmarkEnd w:id="10"/>
    <w:p>
      <w:pPr>
        <w:spacing w:after="0"/>
        <w:tabs>
          <w:tab w:leader="none" w:pos="5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97790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57055L107</w:t>
      </w:r>
      <w:r>
        <w:rPr>
          <w:sz w:val="20"/>
          <w:szCs w:val="20"/>
          <w:color w:val="auto"/>
        </w:rPr>
        <w:tab/>
      </w:r>
      <w:r>
        <w:rPr>
          <w:rFonts w:ascii="Arial" w:cs="Arial" w:eastAsia="Arial" w:hAnsi="Arial"/>
          <w:sz w:val="17"/>
          <w:szCs w:val="17"/>
          <w:b w:val="1"/>
          <w:bCs w:val="1"/>
          <w:color w:val="auto"/>
        </w:rPr>
        <w:t>Exhibit 3</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Warrant Amendment Agreement (Incorporated herein by reference to Exhibit 10.3 to the Issuer’s Form 8-K filed with the U.S. Securities and Exchange Commission on August 11, 2016)</w:t>
      </w:r>
    </w:p>
    <w:p>
      <w:pPr>
        <w:sectPr>
          <w:pgSz w:w="11900" w:h="16838" w:orient="portrait"/>
          <w:cols w:equalWidth="0" w:num="1">
            <w:col w:w="10600"/>
          </w:cols>
          <w:pgMar w:left="320" w:top="184" w:right="979" w:bottom="1440" w:gutter="0" w:footer="0" w:header="0"/>
        </w:sectPr>
      </w:pPr>
    </w:p>
    <w:bookmarkStart w:id="11" w:name="page12"/>
    <w:bookmarkEnd w:id="11"/>
    <w:p>
      <w:pPr>
        <w:spacing w:after="0"/>
        <w:tabs>
          <w:tab w:leader="none" w:pos="5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97790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57055L107</w:t>
      </w:r>
      <w:r>
        <w:rPr>
          <w:sz w:val="20"/>
          <w:szCs w:val="20"/>
          <w:color w:val="auto"/>
        </w:rPr>
        <w:tab/>
      </w:r>
      <w:r>
        <w:rPr>
          <w:rFonts w:ascii="Arial" w:cs="Arial" w:eastAsia="Arial" w:hAnsi="Arial"/>
          <w:sz w:val="17"/>
          <w:szCs w:val="17"/>
          <w:b w:val="1"/>
          <w:bCs w:val="1"/>
          <w:color w:val="auto"/>
        </w:rPr>
        <w:t>Exhibit 4</w:t>
      </w:r>
    </w:p>
    <w:p>
      <w:pPr>
        <w:spacing w:after="0" w:line="180"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Certificate of Change filed Pursuant to NRS 78.209 (Incorporated herein by reference to Exhibit 3.1 to the Issuer’s Form 8-K filed with the U.S. Securities and Exchange Commission on September 15, 2016)</w:t>
      </w:r>
    </w:p>
    <w:sectPr>
      <w:pgSz w:w="11900" w:h="16838" w:orient="portrait"/>
      <w:cols w:equalWidth="0" w:num="1">
        <w:col w:w="10940"/>
      </w:cols>
      <w:pgMar w:left="320" w:top="18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41B71EF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
    <w:nsid w:val="79E2A9E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
    <w:nsid w:val="7545E146"/>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
    <w:nsid w:val="515F007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5BD062C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8">
    <w:nsid w:val="4DB127F8"/>
    <w:multiLevelType w:val="hybridMultilevel"/>
    <w:lvl w:ilvl="0">
      <w:lvlJc w:val="left"/>
      <w:lvlText w:val="%1"/>
      <w:numFmt w:val="decimal"/>
      <w:start w:val="1"/>
    </w:lvl>
    <w:lvl w:ilvl="1">
      <w:lvlJc w:val="left"/>
      <w:lvlText w:val="%2."/>
      <w:numFmt w:val="decimal"/>
      <w:start w:val="10"/>
    </w:lvl>
  </w:abstractNum>
  <w:abstractNum w:abstractNumId="9">
    <w:nsid w:val="216231B"/>
    <w:multiLevelType w:val="hybridMultilevel"/>
    <w:lvl w:ilvl="0">
      <w:lvlJc w:val="left"/>
      <w:lvlText w:val="%1."/>
      <w:numFmt w:val="decimal"/>
      <w:start w:val="11"/>
    </w:lvl>
    <w:lvl w:ilvl="1">
      <w:lvlJc w:val="left"/>
      <w:lvlText w:val="%2"/>
      <w:numFmt w:val="decimal"/>
      <w:start w:val="1"/>
    </w:lvl>
  </w:abstractNum>
  <w:abstractNum w:abstractNumId="10">
    <w:nsid w:val="1F16E9E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2020-06-18T15:44:03Z</dcterms:created>
  <dcterms:modified xsi:type="dcterms:W3CDTF">2020-06-18T15:44:03Z</dcterms:modified>
</cp:coreProperties>
</file>