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 for the quarterly period ended June 30, 2015</w:t>
      </w:r>
    </w:p>
    <w:p>
      <w:pPr>
        <w:spacing w:after="0" w:line="1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 for the transition period from</w:t>
      </w:r>
    </w:p>
    <w:p>
      <w:pPr>
        <w:spacing w:after="0" w:line="48" w:lineRule="exact"/>
        <w:rPr>
          <w:rFonts w:ascii="MS PGothic" w:cs="MS PGothic" w:eastAsia="MS PGothic" w:hAnsi="MS PGothic"/>
          <w:sz w:val="19"/>
          <w:szCs w:val="19"/>
          <w:color w:val="auto"/>
        </w:rPr>
      </w:pPr>
    </w:p>
    <w:p>
      <w:pPr>
        <w:ind w:left="158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1555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5115" cy="8890"/>
                    </a:xfrm>
                    <a:prstGeom prst="rect">
                      <a:avLst/>
                    </a:prstGeom>
                    <a:noFill/>
                  </pic:spPr>
                </pic:pic>
              </a:graphicData>
            </a:graphic>
          </wp:anchor>
        </w:drawing>
      </w:r>
    </w:p>
    <w:p>
      <w:pPr>
        <w:spacing w:after="0" w:line="171"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6140" w:type="dxa"/>
            <w:vAlign w:val="bottom"/>
            <w:gridSpan w:val="3"/>
          </w:tcPr>
          <w:p>
            <w:pPr>
              <w:jc w:val="center"/>
              <w:ind w:left="1783"/>
              <w:spacing w:after="0"/>
              <w:rPr>
                <w:sz w:val="20"/>
                <w:szCs w:val="20"/>
                <w:color w:val="auto"/>
              </w:rPr>
            </w:pPr>
            <w:r>
              <w:rPr>
                <w:rFonts w:ascii="Arial" w:cs="Arial" w:eastAsia="Arial" w:hAnsi="Arial"/>
                <w:sz w:val="18"/>
                <w:szCs w:val="18"/>
                <w:b w:val="1"/>
                <w:bCs w:val="1"/>
                <w:color w:val="auto"/>
                <w:w w:val="91"/>
              </w:rPr>
              <w:t>Commission File Number: 000-27239</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91"/>
        </w:trPr>
        <w:tc>
          <w:tcPr>
            <w:tcW w:w="6140" w:type="dxa"/>
            <w:vAlign w:val="bottom"/>
            <w:gridSpan w:val="3"/>
          </w:tcPr>
          <w:p>
            <w:pPr>
              <w:jc w:val="center"/>
              <w:ind w:left="1783"/>
              <w:spacing w:after="0"/>
              <w:rPr>
                <w:sz w:val="20"/>
                <w:szCs w:val="20"/>
                <w:color w:val="auto"/>
              </w:rPr>
            </w:pPr>
            <w:r>
              <w:rPr>
                <w:rFonts w:ascii="Arial" w:cs="Arial" w:eastAsia="Arial" w:hAnsi="Arial"/>
                <w:sz w:val="43"/>
                <w:szCs w:val="43"/>
                <w:b w:val="1"/>
                <w:bCs w:val="1"/>
                <w:color w:val="auto"/>
              </w:rPr>
              <w:t>TAPIMMUNE INC.</w:t>
            </w:r>
          </w:p>
        </w:tc>
        <w:tc>
          <w:tcPr>
            <w:tcW w:w="1380" w:type="dxa"/>
            <w:vAlign w:val="bottom"/>
          </w:tcPr>
          <w:p>
            <w:pPr>
              <w:spacing w:after="0"/>
              <w:rPr>
                <w:sz w:val="24"/>
                <w:szCs w:val="24"/>
                <w:color w:val="auto"/>
              </w:rPr>
            </w:pPr>
          </w:p>
        </w:tc>
      </w:tr>
      <w:tr>
        <w:trPr>
          <w:trHeight w:val="234"/>
        </w:trPr>
        <w:tc>
          <w:tcPr>
            <w:tcW w:w="6140" w:type="dxa"/>
            <w:vAlign w:val="bottom"/>
            <w:gridSpan w:val="3"/>
          </w:tcPr>
          <w:p>
            <w:pPr>
              <w:jc w:val="center"/>
              <w:ind w:left="1803"/>
              <w:spacing w:after="0"/>
              <w:rPr>
                <w:sz w:val="20"/>
                <w:szCs w:val="20"/>
                <w:color w:val="auto"/>
              </w:rPr>
            </w:pPr>
            <w:r>
              <w:rPr>
                <w:rFonts w:ascii="Arial" w:cs="Arial" w:eastAsia="Arial" w:hAnsi="Arial"/>
                <w:sz w:val="18"/>
                <w:szCs w:val="18"/>
                <w:b w:val="1"/>
                <w:bCs w:val="1"/>
                <w:color w:val="auto"/>
                <w:w w:val="91"/>
              </w:rPr>
              <w:t>(Name of registrant in its charter)</w:t>
            </w:r>
          </w:p>
        </w:tc>
        <w:tc>
          <w:tcPr>
            <w:tcW w:w="1380" w:type="dxa"/>
            <w:vAlign w:val="bottom"/>
          </w:tcPr>
          <w:p>
            <w:pPr>
              <w:spacing w:after="0"/>
              <w:rPr>
                <w:sz w:val="20"/>
                <w:szCs w:val="20"/>
                <w:color w:val="auto"/>
              </w:rPr>
            </w:pPr>
          </w:p>
        </w:tc>
      </w:tr>
      <w:tr>
        <w:trPr>
          <w:trHeight w:val="351"/>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88-0277072</w:t>
            </w:r>
          </w:p>
        </w:tc>
      </w:tr>
      <w:tr>
        <w:trPr>
          <w:trHeight w:val="149"/>
        </w:trPr>
        <w:tc>
          <w:tcPr>
            <w:tcW w:w="6140" w:type="dxa"/>
            <w:vAlign w:val="bottom"/>
            <w:gridSpan w:val="3"/>
          </w:tcPr>
          <w:p>
            <w:pPr>
              <w:jc w:val="center"/>
              <w:ind w:right="3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gridSpan w:val="3"/>
          </w:tcPr>
          <w:p>
            <w:pPr>
              <w:jc w:val="center"/>
              <w:ind w:right="3740"/>
              <w:spacing w:after="0"/>
              <w:rPr>
                <w:sz w:val="20"/>
                <w:szCs w:val="20"/>
                <w:color w:val="auto"/>
              </w:rPr>
            </w:pPr>
            <w:r>
              <w:rPr>
                <w:rFonts w:ascii="Arial" w:cs="Arial" w:eastAsia="Arial" w:hAnsi="Arial"/>
                <w:sz w:val="14"/>
                <w:szCs w:val="14"/>
                <w:b w:val="1"/>
                <w:bCs w:val="1"/>
                <w:color w:val="auto"/>
                <w:w w:val="94"/>
              </w:rPr>
              <w:t>incorporation or organization)</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50 N. Laura Street, Suite 2500</w:t>
            </w:r>
          </w:p>
        </w:tc>
        <w:tc>
          <w:tcPr>
            <w:tcW w:w="1380" w:type="dxa"/>
            <w:vAlign w:val="bottom"/>
          </w:tcPr>
          <w:p>
            <w:pPr>
              <w:spacing w:after="0"/>
              <w:rPr>
                <w:sz w:val="24"/>
                <w:szCs w:val="24"/>
                <w:color w:val="auto"/>
              </w:rPr>
            </w:pPr>
          </w:p>
        </w:tc>
      </w:tr>
      <w:tr>
        <w:trPr>
          <w:trHeight w:val="225"/>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89"/>
              </w:rPr>
              <w:t>Jacksonville, FL 32202</w:t>
            </w:r>
          </w:p>
        </w:tc>
        <w:tc>
          <w:tcPr>
            <w:tcW w:w="1380" w:type="dxa"/>
            <w:vAlign w:val="bottom"/>
          </w:tcPr>
          <w:p>
            <w:pPr>
              <w:jc w:val="right"/>
              <w:ind w:right="261"/>
              <w:spacing w:after="0"/>
              <w:rPr>
                <w:sz w:val="20"/>
                <w:szCs w:val="20"/>
                <w:color w:val="auto"/>
              </w:rPr>
            </w:pPr>
            <w:r>
              <w:rPr>
                <w:rFonts w:ascii="Arial" w:cs="Arial" w:eastAsia="Arial" w:hAnsi="Arial"/>
                <w:sz w:val="18"/>
                <w:szCs w:val="18"/>
                <w:b w:val="1"/>
                <w:bCs w:val="1"/>
                <w:color w:val="auto"/>
              </w:rPr>
              <w:t>98102</w:t>
            </w: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8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200" w:type="dxa"/>
            <w:vAlign w:val="bottom"/>
            <w:gridSpan w:val="2"/>
          </w:tcPr>
          <w:p>
            <w:pPr>
              <w:jc w:val="center"/>
              <w:ind w:left="2723"/>
              <w:spacing w:after="0"/>
              <w:rPr>
                <w:sz w:val="20"/>
                <w:szCs w:val="20"/>
                <w:color w:val="auto"/>
              </w:rPr>
            </w:pPr>
            <w:r>
              <w:rPr>
                <w:rFonts w:ascii="Arial" w:cs="Arial" w:eastAsia="Arial" w:hAnsi="Arial"/>
                <w:sz w:val="18"/>
                <w:szCs w:val="18"/>
                <w:b w:val="1"/>
                <w:bCs w:val="1"/>
                <w:color w:val="auto"/>
                <w:w w:val="90"/>
              </w:rPr>
              <w:t>(206) 504 7267</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(Issuer’s telephone number)</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0"/>
        <w:spacing w:after="0" w:line="287" w:lineRule="auto"/>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40" w:val="left"/>
          <w:tab w:leader="none" w:pos="1240" w:val="left"/>
        </w:tabs>
        <w:rPr>
          <w:sz w:val="20"/>
          <w:szCs w:val="20"/>
          <w:color w:val="auto"/>
        </w:rPr>
      </w:pPr>
      <w:r>
        <w:rPr>
          <w:rFonts w:ascii="Arial" w:cs="Arial" w:eastAsia="Arial" w:hAnsi="Arial"/>
          <w:sz w:val="18"/>
          <w:szCs w:val="18"/>
          <w:color w:val="auto"/>
        </w:rPr>
        <w:t>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August 14, 2015, the Company had 46,140,771 shares of common stock issued and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Amendment No. 1 on Form 10-Q/A (the “Form 10-Q/A”) to the Quarterly Report on Form 10-Q for TapImmune Inc. (“we” or the “Company”) for the quarterly period ended June 30, 2015, initially filed with the Securities and Exchange Commission (the “SEC”) on August 14, 2015 (the “Original Filing”), is being filed to restate accounting for the share purchase warrants and recording the fair value of the warrants under “Derivative liability- warrants” on its balance sheet with changes in the fair value over time reflected in the statements of operations as “Changes in fair value of derivative liabilities”. The restatement of the Company’s accounting for the share purchase warrants arose after a review by the Company’s management.</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the Board of Directors of the Company has determined that the Company’s previously issued consolidated unaudited financial statements and reports filed with the SEC for the quarterly period ended June 30, 2015 should not be relied upon. For a more detailed description of the effects of the restatement, see further discussion in Note 1A, “Amendment to Previously Reported Quarterly Financial Statements” to our consolidated financial statements included in Part I, Item 1 of this report.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convenience of the reader, this Form 10-Q/A sets forth the Original Filings in their entirety. However, this Form 10-Q/A only amends and restates Items 1 and 2 of Part I of the Original Filing, in each case, solely as a result of, and to reflect, the restatement, and no other information in the Original Filing is amended hereby. The foregoing items have not been updated to reflect other events occurring after the Original Filings or to modify or update those disclosures affected by subsequent events. In addition, pursuant to the rules of the SEC, Item 6 of Part II of the Original Filings has been amended to contain currently dated certifications from the Company’s Chief Executive Officer and Chief Financial Officer, as required by Sections 302 and 906 of the Sarbanes-Oxley Act of 2002, and are attached as Exhibits 31.1 and 32.1 to this report. We have also updated our financial statements formatted in Extensible Business Reporting Language (XBRL) in Exhibits 101.</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for the foregoing amended information, this Form 10-Q/A continues to speak as of the dates of the Original Filings, and the Company has not updated the disclosures contained herein to reflect events that occurred at a later date. Other events occurring after the filings of the Original Filings or other disclosures necessary to reflect subsequent events will be addressed in any reports filed with the SEC subsequent to the date of this filing.</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020" w:type="dxa"/>
            <w:vAlign w:val="bottom"/>
            <w:gridSpan w:val="9"/>
          </w:tcPr>
          <w:p>
            <w:pPr>
              <w:spacing w:after="0"/>
              <w:rPr>
                <w:sz w:val="20"/>
                <w:szCs w:val="20"/>
                <w:color w:val="auto"/>
              </w:rPr>
            </w:pPr>
            <w:r>
              <w:rPr>
                <w:rFonts w:ascii="Arial" w:cs="Arial" w:eastAsia="Arial" w:hAnsi="Arial"/>
                <w:sz w:val="18"/>
                <w:szCs w:val="18"/>
                <w:color w:val="auto"/>
              </w:rPr>
              <w:t>PART I – FINANCIAL INFORMATION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9960" w:type="dxa"/>
            <w:vAlign w:val="bottom"/>
            <w:gridSpan w:val="6"/>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446"/>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r>
      <w:tr>
        <w:trPr>
          <w:trHeight w:val="298"/>
        </w:trPr>
        <w:tc>
          <w:tcPr>
            <w:tcW w:w="11020" w:type="dxa"/>
            <w:vAlign w:val="bottom"/>
            <w:gridSpan w:val="9"/>
          </w:tcPr>
          <w:p>
            <w:pPr>
              <w:spacing w:after="0"/>
              <w:rPr>
                <w:sz w:val="20"/>
                <w:szCs w:val="20"/>
                <w:color w:val="auto"/>
              </w:rPr>
            </w:pPr>
            <w:r>
              <w:rPr>
                <w:rFonts w:ascii="Arial" w:cs="Arial" w:eastAsia="Arial" w:hAnsi="Arial"/>
                <w:sz w:val="18"/>
                <w:szCs w:val="18"/>
                <w:color w:val="auto"/>
              </w:rPr>
              <w:t>Condensed Interim Financial Statements</w:t>
            </w: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110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2015 (Unaudited) and December 31, 2014</w:t>
              </w:r>
            </w:hyperlink>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shd w:val="clear" w:color="auto" w:fill="0000EE"/>
          </w:tcPr>
          <w:p>
            <w:pPr>
              <w:spacing w:after="0" w:line="20" w:lineRule="exact"/>
              <w:rPr>
                <w:sz w:val="1"/>
                <w:szCs w:val="1"/>
                <w:color w:val="auto"/>
              </w:rPr>
            </w:pPr>
          </w:p>
        </w:tc>
        <w:tc>
          <w:tcPr>
            <w:tcW w:w="4620" w:type="dxa"/>
            <w:vAlign w:val="bottom"/>
            <w:gridSpan w:val="3"/>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and Comprehensive Loss for the Three and Six Months Ended June 30, 2015 and 2014</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374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w:t>
            </w: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(Deficit) for the Six Months Ended June 30, 2015 (Unaudited)</w:t>
              </w:r>
            </w:hyperlink>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4800" w:type="dxa"/>
            <w:vAlign w:val="bottom"/>
            <w:gridSpan w:val="4"/>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90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and Six Months Ended June 30, 2015 and 2014 (Unaudited)</w:t>
              </w:r>
            </w:hyperlink>
          </w:p>
        </w:tc>
        <w:tc>
          <w:tcPr>
            <w:tcW w:w="1940" w:type="dxa"/>
            <w:vAlign w:val="bottom"/>
            <w:gridSpan w:val="2"/>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304"/>
        </w:trPr>
        <w:tc>
          <w:tcPr>
            <w:tcW w:w="4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Notes to Condensed Consolidated Financial Statements</w:t>
              </w:r>
            </w:hyperlink>
          </w:p>
        </w:tc>
        <w:tc>
          <w:tcPr>
            <w:tcW w:w="6220" w:type="dxa"/>
            <w:vAlign w:val="bottom"/>
            <w:gridSpan w:val="5"/>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385"/>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0" w:type="dxa"/>
            <w:vAlign w:val="bottom"/>
            <w:gridSpan w:val="2"/>
          </w:tcPr>
          <w:p>
            <w:pPr>
              <w:jc w:val="right"/>
              <w:ind w:right="130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720"/>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6"/>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740"/>
              <w:spacing w:after="0"/>
              <w:rPr>
                <w:sz w:val="20"/>
                <w:szCs w:val="20"/>
                <w:color w:val="auto"/>
              </w:rPr>
            </w:pPr>
            <w:r>
              <w:rPr>
                <w:rFonts w:ascii="Arial" w:cs="Arial" w:eastAsia="Arial" w:hAnsi="Arial"/>
                <w:sz w:val="14"/>
                <w:szCs w:val="14"/>
                <w:color w:val="auto"/>
                <w:w w:val="91"/>
              </w:rPr>
              <w:t>As Restated</w:t>
            </w:r>
          </w:p>
        </w:tc>
        <w:tc>
          <w:tcPr>
            <w:tcW w:w="10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95"/>
              </w:rPr>
              <w:t>(Unaudited)</w:t>
            </w:r>
          </w:p>
        </w:tc>
        <w:tc>
          <w:tcPr>
            <w:tcW w:w="64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3,105,320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3,247,910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224,448</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842,682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693,362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agreement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492,365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Derivative liability –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69,962,000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52,942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52,942</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71,349,989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40" w:type="dxa"/>
            <w:vAlign w:val="bottom"/>
          </w:tcPr>
          <w:p>
            <w:pPr>
              <w:ind w:left="360"/>
              <w:spacing w:after="0" w:line="201" w:lineRule="exact"/>
              <w:rPr>
                <w:sz w:val="20"/>
                <w:szCs w:val="20"/>
                <w:color w:val="auto"/>
              </w:rPr>
            </w:pPr>
            <w:r>
              <w:rPr>
                <w:rFonts w:ascii="Arial" w:cs="Arial" w:eastAsia="Arial" w:hAnsi="Arial"/>
                <w:sz w:val="18"/>
                <w:szCs w:val="18"/>
                <w:color w:val="auto"/>
                <w:w w:val="96"/>
              </w:rPr>
              <w:t>Series A, $0.001 par value, 1,250,000 shares designated, -0- shares issued and outstanding as of June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540"/>
              <w:spacing w:after="0"/>
              <w:rPr>
                <w:sz w:val="20"/>
                <w:szCs w:val="20"/>
                <w:color w:val="auto"/>
              </w:rPr>
            </w:pPr>
            <w:r>
              <w:rPr>
                <w:rFonts w:ascii="Arial" w:cs="Arial" w:eastAsia="Arial" w:hAnsi="Arial"/>
                <w:sz w:val="18"/>
                <w:szCs w:val="18"/>
                <w:color w:val="auto"/>
              </w:rPr>
              <w:t>2015 and 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Series B, $0.001 par value, 1,500,000 shares designated, -0- shares issued and outstanding as of June 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2015 and 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40" w:type="dxa"/>
            <w:vAlign w:val="bottom"/>
          </w:tcPr>
          <w:p>
            <w:pPr>
              <w:spacing w:after="0" w:line="201" w:lineRule="exact"/>
              <w:rPr>
                <w:sz w:val="20"/>
                <w:szCs w:val="20"/>
                <w:color w:val="auto"/>
              </w:rPr>
            </w:pPr>
            <w:r>
              <w:rPr>
                <w:rFonts w:ascii="Arial" w:cs="Arial" w:eastAsia="Arial" w:hAnsi="Arial"/>
                <w:sz w:val="18"/>
                <w:szCs w:val="18"/>
                <w:color w:val="auto"/>
                <w:w w:val="99"/>
              </w:rPr>
              <w:t>Common stock, $0.001 par value, 500,000,000 shares authorized 38,038,921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(2014 – 20,318,815)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38,039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20,319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92,218,937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85,265,776</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ind w:right="580"/>
              <w:spacing w:after="0"/>
              <w:rPr>
                <w:sz w:val="20"/>
                <w:szCs w:val="20"/>
                <w:color w:val="auto"/>
              </w:rPr>
            </w:pPr>
            <w:r>
              <w:rPr>
                <w:rFonts w:ascii="Arial" w:cs="Arial" w:eastAsia="Arial" w:hAnsi="Arial"/>
                <w:sz w:val="18"/>
                <w:szCs w:val="18"/>
                <w:color w:val="auto"/>
                <w:w w:val="89"/>
              </w:rPr>
              <w:t>(160,359,055)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(86,309,731)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7"/>
              </w:rPr>
              <w:t>(68,102,079)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(1,023,636)</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3,247,910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As Restated</w:t>
            </w: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As Restated</w:t>
            </w:r>
          </w:p>
        </w:tc>
        <w:tc>
          <w:tcPr>
            <w:tcW w:w="10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936,887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488,427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1,355,673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1,687,794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201,157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(1,138,044)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(510,927)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(2,166,208)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(1,732,794)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Accretion of interest on convertible debt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(59,079,025)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(58,751,585)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settlement of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(26,743,197)</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for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(60,216,294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753,480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(60,917,018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(28,953,750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(60,216,294)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754,522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(60,917,018)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(28,953,957)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33,525,656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15,523,016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30,584,794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11,250,240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RESTATED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Additional</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40" w:type="dxa"/>
            <w:vAlign w:val="bottom"/>
          </w:tcPr>
          <w:p>
            <w:pPr>
              <w:spacing w:after="0"/>
              <w:rPr>
                <w:sz w:val="12"/>
                <w:szCs w:val="12"/>
                <w:color w:val="auto"/>
              </w:rPr>
            </w:pPr>
          </w:p>
        </w:tc>
        <w:tc>
          <w:tcPr>
            <w:tcW w:w="1820" w:type="dxa"/>
            <w:vAlign w:val="bottom"/>
            <w:gridSpan w:val="5"/>
          </w:tcPr>
          <w:p>
            <w:pPr>
              <w:ind w:left="360"/>
              <w:spacing w:after="0" w:line="149" w:lineRule="exact"/>
              <w:rPr>
                <w:sz w:val="20"/>
                <w:szCs w:val="20"/>
                <w:color w:val="auto"/>
              </w:rPr>
            </w:pPr>
            <w:r>
              <w:rPr>
                <w:rFonts w:ascii="Arial" w:cs="Arial" w:eastAsia="Arial" w:hAnsi="Arial"/>
                <w:sz w:val="14"/>
                <w:szCs w:val="14"/>
                <w:color w:val="auto"/>
              </w:rPr>
              <w:t>Common Stock</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Paid In</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10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Number of</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Amount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Deficit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6240" w:type="dxa"/>
            <w:vAlign w:val="bottom"/>
          </w:tcPr>
          <w:p>
            <w:pPr>
              <w:spacing w:after="0"/>
              <w:rPr>
                <w:sz w:val="14"/>
                <w:szCs w:val="14"/>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color w:val="auto"/>
              </w:rPr>
              <w:t>shares</w:t>
            </w:r>
          </w:p>
        </w:tc>
        <w:tc>
          <w:tcPr>
            <w:tcW w:w="5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20,318,816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20,319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85,265,776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(86,309,731)</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(1,023,636)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Private placement (net of finders’ fee of $140,000)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12,319,995</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2,313,694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2,326,014</w:t>
            </w: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Fair value of warrants recognized as derivative liabilities in January and March 2015</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(2,313,694)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(6,999,306)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(9,313,000)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Fair value of warrants issued on May 28, 2015</w:t>
            </w: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(6,133,000)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(6,133,000)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0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4,245,000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4,245,000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400,110</w:t>
            </w:r>
          </w:p>
        </w:tc>
        <w:tc>
          <w:tcPr>
            <w:tcW w:w="18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400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248,161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248,561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(60,917,018)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(60,917,018)</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June 30,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38,038,921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38,039</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92,218,937</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(160,359,055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(68,102,079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Six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9"/>
              </w:rPr>
              <w:t>June 30,</w:t>
            </w:r>
          </w:p>
        </w:tc>
        <w:tc>
          <w:tcPr>
            <w:tcW w:w="200" w:type="dxa"/>
            <w:vAlign w:val="bottom"/>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Six Months Ended</w:t>
            </w: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As Restated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(60,917,018)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(28,953,750)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58,751,585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(14,537)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26,743,197</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492,296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799,075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(1,827,638)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(611,442)</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 net of issuance costs of $173,000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583,000</w:t>
            </w: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Proceeds from loans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Finders’ fee on exercise of warrants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4,791,014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583,500</w:t>
            </w:r>
          </w:p>
        </w:tc>
        <w:tc>
          <w:tcPr>
            <w:tcW w:w="100" w:type="dxa"/>
            <w:vAlign w:val="bottom"/>
            <w:shd w:val="clear" w:color="auto" w:fill="CCEEFF"/>
          </w:tcPr>
          <w:p>
            <w:pPr>
              <w:spacing w:after="0"/>
              <w:rPr>
                <w:sz w:val="18"/>
                <w:szCs w:val="18"/>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2,963,376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48,589</w:t>
            </w: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color w:val="auto"/>
                <w:w w:val="95"/>
              </w:rPr>
              <w:t>Six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Six Months Ended</w:t>
            </w:r>
          </w:p>
        </w:tc>
      </w:tr>
      <w:tr>
        <w:trPr>
          <w:trHeight w:val="149"/>
        </w:trPr>
        <w:tc>
          <w:tcPr>
            <w:tcW w:w="8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89"/>
              </w:rPr>
              <w:t>2015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As Restated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16"/>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r>
      <w:tr>
        <w:trPr>
          <w:trHeight w:val="196"/>
        </w:trPr>
        <w:tc>
          <w:tcPr>
            <w:tcW w:w="8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NON-CASH ACTIVITIES</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231,000</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683,000</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9,313,000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6,133,000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4,245,000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3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10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476,000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3100" w:type="dxa"/>
            <w:vAlign w:val="bottom"/>
          </w:tcPr>
          <w:p>
            <w:pPr>
              <w:ind w:left="23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3,797,000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310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3100" w:type="dxa"/>
            <w:vAlign w:val="bottom"/>
          </w:tcPr>
          <w:p>
            <w:pPr>
              <w:ind w:left="23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210,000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310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369,000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3100" w:type="dxa"/>
            <w:vAlign w:val="bottom"/>
          </w:tcPr>
          <w:p>
            <w:pPr>
              <w:ind w:left="23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9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NOTE 1A:</w:t>
        <w:tab/>
        <w:t>AMENDMENT TO PREVIOUSLY REPORTED QUARTERLY FINANCIAL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previously issued consolidated financial statements for the three and six months ended June 30, 2015 have been restated related to the Company’s accounting for share purchase warrants issued as part of two registered transactions in January 2015 and March 2015. Previously, the fair value of certain series of the share purchase warrants (Series B, B-1, C, C-1, D, D-1, E and E-1) was concluded by management to be classified within stockholders’ equity (deficit). The Company has reviewed the terms and conditions underlying its outstanding share purchase warrants and determined that the accounting for certain series of the warrants should be amended.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Management reviewed ASC 480-10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Contracts in an Entity’s Own Equity</w:t>
      </w:r>
      <w:r>
        <w:rPr>
          <w:rFonts w:ascii="Arial" w:cs="Arial" w:eastAsia="Arial" w:hAnsi="Arial"/>
          <w:sz w:val="18"/>
          <w:szCs w:val="18"/>
          <w:color w:val="auto"/>
        </w:rPr>
        <w:t xml:space="preserve"> to arrive at this conclusion that the common stock purchase warrants should be classified as a liability, not equity, as the Company cannot control their ability to gross settle the financial instruments with registered securities.</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has restated its accounting for certain series of the share purchase warrants and recorded the fair value of the warrants under “Derivative liability- warrants” on its balance sheet with changes in the fair value over time reflected in the statements of operations as “Changes in fair value of derivative liabilities”.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these adjustments, net loss for the three and six months ended June 30, 2015 was increased by $41,771,000 and $41,490,000, respectively. The Company has reported an amended net loss of $60,216,000 versus the previously reported net loss of approximately $18,446,000 for the three months ended June 30, 2015 and an amended net loss of $60,917,000 versus the previously reported net loss of approximately $19,427,000 for the six months ended June 30, 2015.</w:t>
      </w:r>
    </w:p>
    <w:p>
      <w:pPr>
        <w:spacing w:after="0" w:line="18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following table summarizes the effect of the restatement on the consolidated statement of operations for the three and six months ended June 30, 2015:</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60" w:type="dxa"/>
            <w:vAlign w:val="bottom"/>
          </w:tcPr>
          <w:p>
            <w:pPr>
              <w:spacing w:after="0"/>
              <w:rPr>
                <w:sz w:val="14"/>
                <w:szCs w:val="14"/>
                <w:color w:val="auto"/>
              </w:rPr>
            </w:pPr>
          </w:p>
        </w:tc>
        <w:tc>
          <w:tcPr>
            <w:tcW w:w="3560" w:type="dxa"/>
            <w:vAlign w:val="bottom"/>
            <w:gridSpan w:val="6"/>
          </w:tcPr>
          <w:p>
            <w:pPr>
              <w:jc w:val="right"/>
              <w:ind w:right="1060"/>
              <w:spacing w:after="0"/>
              <w:rPr>
                <w:sz w:val="20"/>
                <w:szCs w:val="20"/>
                <w:color w:val="auto"/>
              </w:rPr>
            </w:pPr>
            <w:r>
              <w:rPr>
                <w:rFonts w:ascii="Arial" w:cs="Arial" w:eastAsia="Arial" w:hAnsi="Arial"/>
                <w:sz w:val="14"/>
                <w:szCs w:val="14"/>
                <w:color w:val="auto"/>
              </w:rPr>
              <w:t>June 30, 2015 (Unaudited)</w:t>
            </w:r>
          </w:p>
        </w:tc>
        <w:tc>
          <w:tcPr>
            <w:tcW w:w="0" w:type="dxa"/>
            <w:vAlign w:val="bottom"/>
          </w:tcPr>
          <w:p>
            <w:pPr>
              <w:spacing w:after="0"/>
              <w:rPr>
                <w:sz w:val="1"/>
                <w:szCs w:val="1"/>
                <w:color w:val="auto"/>
              </w:rPr>
            </w:pPr>
          </w:p>
        </w:tc>
      </w:tr>
      <w:tr>
        <w:trPr>
          <w:trHeight w:val="123"/>
        </w:trPr>
        <w:tc>
          <w:tcPr>
            <w:tcW w:w="786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color w:val="auto"/>
                <w:w w:val="97"/>
              </w:rPr>
              <w:t>As</w:t>
            </w: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Previously</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6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Reported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Adjustments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ind w:left="3540"/>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3,105,320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deposits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142,590</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3,247,910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80"/>
              <w:spacing w:after="0"/>
              <w:rPr>
                <w:sz w:val="20"/>
                <w:szCs w:val="20"/>
                <w:color w:val="auto"/>
              </w:rPr>
            </w:pPr>
            <w:r>
              <w:rPr>
                <w:rFonts w:ascii="Arial" w:cs="Arial" w:eastAsia="Arial" w:hAnsi="Arial"/>
                <w:sz w:val="18"/>
                <w:szCs w:val="18"/>
                <w:b w:val="1"/>
                <w:bCs w:val="1"/>
                <w:color w:val="auto"/>
              </w:rPr>
              <w:t>LIABILITIES AND STOCKHOLDERS’ EQUITY (DEFICIT)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842,682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Research agreement obligations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492,365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liability – warrants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11,673,347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58,288,653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69,962,000</w:t>
            </w: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Promissory notes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52,942</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13,061,336</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58,288,653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71,349,989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A, $0.001 par value, 1,250,000 shares designated, -0- shares issued and outstanding as of</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March 31, 2015 and December 31, 2014</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6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B, $0.001 par value, 1,500,000 shares designated, -0- shares issued and outstanding as of</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40"/>
              <w:spacing w:after="0"/>
              <w:rPr>
                <w:sz w:val="20"/>
                <w:szCs w:val="20"/>
                <w:color w:val="auto"/>
              </w:rPr>
            </w:pPr>
            <w:r>
              <w:rPr>
                <w:rFonts w:ascii="Arial" w:cs="Arial" w:eastAsia="Arial" w:hAnsi="Arial"/>
                <w:sz w:val="18"/>
                <w:szCs w:val="18"/>
                <w:color w:val="auto"/>
              </w:rPr>
              <w:t>March 31, 2015 and December 31, 2014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$0.001 par value, 500,000,000 shares authorized 32,638,811 shares issued and outstanding</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 20,318,815)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38,039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95,885,631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(3,666,694)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92,218,937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(105,737,096)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(54,621,959)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(160,359,055)</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(9,813,426)</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(58,288,653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(68,102,079)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3,247,910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340" w:type="dxa"/>
            <w:vAlign w:val="bottom"/>
            <w:gridSpan w:val="6"/>
          </w:tcPr>
          <w:p>
            <w:pPr>
              <w:jc w:val="right"/>
              <w:ind w:right="620"/>
              <w:spacing w:after="0"/>
              <w:rPr>
                <w:sz w:val="20"/>
                <w:szCs w:val="20"/>
                <w:color w:val="auto"/>
              </w:rPr>
            </w:pPr>
            <w:r>
              <w:rPr>
                <w:rFonts w:ascii="Arial" w:cs="Arial" w:eastAsia="Arial" w:hAnsi="Arial"/>
                <w:sz w:val="14"/>
                <w:szCs w:val="14"/>
                <w:color w:val="auto"/>
              </w:rPr>
              <w:t>Three Months Ended June 30,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As Previously</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Reported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Adjustments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936,887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201,157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201,157</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9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(1,138,044)</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(1,138,044)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4120" w:type="dxa"/>
            <w:vAlign w:val="bottom"/>
            <w:gridSpan w:val="3"/>
          </w:tcPr>
          <w:p>
            <w:pPr>
              <w:jc w:val="right"/>
              <w:ind w:right="80"/>
              <w:spacing w:after="0"/>
              <w:rPr>
                <w:sz w:val="20"/>
                <w:szCs w:val="20"/>
                <w:color w:val="auto"/>
              </w:rPr>
            </w:pPr>
            <w:r>
              <w:rPr>
                <w:rFonts w:ascii="Arial" w:cs="Arial" w:eastAsia="Arial" w:hAnsi="Arial"/>
                <w:sz w:val="18"/>
                <w:szCs w:val="18"/>
                <w:color w:val="auto"/>
              </w:rPr>
              <w:t>(9,052,372)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(50,026,653)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(59,079,025)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4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Inducement expense</w:t>
            </w:r>
          </w:p>
        </w:tc>
        <w:tc>
          <w:tcPr>
            <w:tcW w:w="29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(8,256,000)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8,256,000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(18,445,641)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(41,770,653)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(60,216,294)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29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9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(18,445,641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(41,770,653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(60,216,294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Weighted Average Number of Common Shares Outstanding</w:t>
            </w:r>
          </w:p>
        </w:tc>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33,525,656</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33,525,656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33,525,656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960" w:type="dxa"/>
            <w:vAlign w:val="bottom"/>
          </w:tcPr>
          <w:p>
            <w:pPr>
              <w:jc w:val="right"/>
              <w:ind w:right="219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340" w:type="dxa"/>
            <w:vAlign w:val="bottom"/>
            <w:gridSpan w:val="6"/>
          </w:tcPr>
          <w:p>
            <w:pPr>
              <w:ind w:left="660"/>
              <w:spacing w:after="0"/>
              <w:rPr>
                <w:sz w:val="20"/>
                <w:szCs w:val="20"/>
                <w:color w:val="auto"/>
              </w:rPr>
            </w:pPr>
            <w:r>
              <w:rPr>
                <w:rFonts w:ascii="Arial" w:cs="Arial" w:eastAsia="Arial" w:hAnsi="Arial"/>
                <w:sz w:val="14"/>
                <w:szCs w:val="14"/>
                <w:color w:val="auto"/>
              </w:rPr>
              <w:t>Six Months Ended June 30,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As Previously</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Reported</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Adjustments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1,355,673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1,355,673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810,535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810,535</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9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(2,166,208)</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(2,166,208)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4120" w:type="dxa"/>
            <w:vAlign w:val="bottom"/>
            <w:gridSpan w:val="3"/>
          </w:tcPr>
          <w:p>
            <w:pPr>
              <w:jc w:val="right"/>
              <w:ind w:right="80"/>
              <w:spacing w:after="0"/>
              <w:rPr>
                <w:sz w:val="20"/>
                <w:szCs w:val="20"/>
                <w:color w:val="auto"/>
              </w:rPr>
            </w:pPr>
            <w:r>
              <w:rPr>
                <w:rFonts w:ascii="Arial" w:cs="Arial" w:eastAsia="Arial" w:hAnsi="Arial"/>
                <w:sz w:val="18"/>
                <w:szCs w:val="18"/>
                <w:color w:val="auto"/>
              </w:rPr>
              <w:t>(9,005,932)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(49,745,653)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(58,751,585)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4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Inducement expense</w:t>
            </w:r>
          </w:p>
        </w:tc>
        <w:tc>
          <w:tcPr>
            <w:tcW w:w="29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(8,256,000)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8,256,000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(19,427,365)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(41,489,653)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(60,917,018)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translation adjustment</w:t>
            </w:r>
          </w:p>
        </w:tc>
        <w:tc>
          <w:tcPr>
            <w:tcW w:w="2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9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(19,427,365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(41,489,653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(60,917,018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4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9"/>
              </w:rPr>
              <w:t>Weighted Average Number of Common Shares Outstanding</w:t>
            </w:r>
          </w:p>
        </w:tc>
        <w:tc>
          <w:tcPr>
            <w:tcW w:w="29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30,584,794</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30,584,794</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960" w:type="dxa"/>
            <w:vAlign w:val="bottom"/>
            <w:vMerge w:val="restart"/>
          </w:tcPr>
          <w:p>
            <w:pPr>
              <w:jc w:val="right"/>
              <w:ind w:right="2190"/>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340" w:type="dxa"/>
            <w:vAlign w:val="bottom"/>
            <w:gridSpan w:val="6"/>
          </w:tcPr>
          <w:p>
            <w:pPr>
              <w:ind w:left="660"/>
              <w:spacing w:after="0" w:line="153" w:lineRule="exact"/>
              <w:rPr>
                <w:sz w:val="20"/>
                <w:szCs w:val="20"/>
                <w:color w:val="auto"/>
              </w:rPr>
            </w:pPr>
            <w:r>
              <w:rPr>
                <w:rFonts w:ascii="Arial" w:cs="Arial" w:eastAsia="Arial" w:hAnsi="Arial"/>
                <w:sz w:val="14"/>
                <w:szCs w:val="14"/>
                <w:color w:val="auto"/>
              </w:rPr>
              <w:t>Six Months Ended June 30,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As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Previously</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Reported</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Adjustments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(19,427,365)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(41,489,653)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(60,917,018)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Changes in fair value of derivative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9,005,932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49,745,653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58,751,585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Inducement expense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(8,256,000)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Non-cash interest and finance charges</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(60,086)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149,320</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(1,827,638)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(1,827,638)</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shares, net of issuance costs of $173,000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2,291,014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Proceeds from exercise of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Finders’ fee on exercise of warrants</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4,791,014</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2,963,376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CASH, BEGINNING OF PERIOD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3,105,320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June 30, 2015, condensed consolidated statements of interim financials include all adjustments, consisting only of normal recurring adjustments, which the Company considers necessary for a fair presentation of the financial position, operating results and cash flows for the periods presented.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2015 or for any future interim period. The condensed balance sheet at December 31, 2014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2014, and notes thereto included in the Company’s annual report on Form 10-K.</w:t>
      </w:r>
    </w:p>
    <w:p>
      <w:pPr>
        <w:spacing w:after="0" w:line="29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3:</w:t>
        <w:tab/>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3" w:name="page14"/>
    <w:bookmarkEnd w:id="1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June 30, 2015, the Company had cash and cash equivalents of approximately $3,105,000.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4" w:name="page15"/>
    <w:bookmarkEnd w:id="14"/>
    <w:p>
      <w:pPr>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w:t>
        <w:tab/>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15,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expense categories of the comparable prior period have been reclassified for comparability with the June 30, 2015 presentation. These reclassifications had no effect on previously reported net loss.</w:t>
      </w: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POTENTIALLY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six months ended June 30, 2015 and 2014, due to net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not included in the diluted net loss per share calculation because their effect was anti-dilutive as of the periods presented: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6"/>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Common stock warrants - equity treatment</w:t>
            </w:r>
          </w:p>
        </w:tc>
        <w:tc>
          <w:tcPr>
            <w:tcW w:w="860" w:type="dxa"/>
            <w:vAlign w:val="bottom"/>
          </w:tcPr>
          <w:p>
            <w:pPr>
              <w:jc w:val="right"/>
              <w:spacing w:after="0"/>
              <w:rPr>
                <w:sz w:val="20"/>
                <w:szCs w:val="20"/>
                <w:color w:val="auto"/>
              </w:rPr>
            </w:pPr>
            <w:r>
              <w:rPr>
                <w:rFonts w:ascii="Arial" w:cs="Arial" w:eastAsia="Arial" w:hAnsi="Arial"/>
                <w:sz w:val="18"/>
                <w:szCs w:val="18"/>
                <w:color w:val="auto"/>
              </w:rPr>
              <w:t>2,556,000</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81,834,000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Convertible notes</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84,855,000</w:t>
            </w: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306,000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6:</w:t>
        <w:tab/>
        <w:t>DERIVATIVE LIABILITY - WARRANTS AND DERIVATIVE LIABILITY – CONVERSION OPTION,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six months ended 2015 and 2014 is as follows: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Share Purchase Warrants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26"/>
        </w:trPr>
        <w:tc>
          <w:tcPr>
            <w:tcW w:w="10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720"/>
              <w:spacing w:after="0" w:line="126" w:lineRule="exact"/>
              <w:rPr>
                <w:sz w:val="20"/>
                <w:szCs w:val="20"/>
                <w:color w:val="auto"/>
              </w:rPr>
            </w:pPr>
            <w:r>
              <w:rPr>
                <w:rFonts w:ascii="Arial" w:cs="Arial" w:eastAsia="Arial" w:hAnsi="Arial"/>
                <w:sz w:val="14"/>
                <w:szCs w:val="14"/>
                <w:b w:val="1"/>
                <w:bCs w:val="1"/>
                <w:color w:val="auto"/>
                <w:w w:val="93"/>
              </w:rPr>
              <w:t>For the Six</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4"/>
              <w:spacing w:after="0" w:line="126" w:lineRule="exact"/>
              <w:rPr>
                <w:sz w:val="20"/>
                <w:szCs w:val="20"/>
                <w:color w:val="auto"/>
              </w:rPr>
            </w:pPr>
            <w:r>
              <w:rPr>
                <w:rFonts w:ascii="Arial" w:cs="Arial" w:eastAsia="Arial" w:hAnsi="Arial"/>
                <w:sz w:val="14"/>
                <w:szCs w:val="14"/>
                <w:b w:val="1"/>
                <w:bCs w:val="1"/>
                <w:color w:val="auto"/>
                <w:w w:val="93"/>
              </w:rPr>
              <w:t>For the Six</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of valuation</w:t>
            </w:r>
          </w:p>
        </w:tc>
        <w:tc>
          <w:tcPr>
            <w:tcW w:w="2520" w:type="dxa"/>
            <w:vAlign w:val="bottom"/>
            <w:gridSpan w:val="2"/>
            <w:vMerge w:val="restart"/>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46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Months Ending</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2"/>
              </w:rPr>
              <w:t>June 30, 2015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June 30, 2014</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Fair market value of stock</w:t>
            </w: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0.96</w:t>
            </w: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Strike price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Risk-free rate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Dividend yield (per share)</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0"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 Derivative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warrants: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right="740"/>
              <w:spacing w:after="0"/>
              <w:rPr>
                <w:sz w:val="20"/>
                <w:szCs w:val="20"/>
                <w:color w:val="auto"/>
              </w:rPr>
            </w:pPr>
            <w:r>
              <w:rPr>
                <w:rFonts w:ascii="Arial" w:cs="Arial" w:eastAsia="Arial" w:hAnsi="Arial"/>
                <w:sz w:val="14"/>
                <w:szCs w:val="14"/>
                <w:b w:val="1"/>
                <w:bCs w:val="1"/>
                <w:color w:val="auto"/>
                <w:w w:val="90"/>
              </w:rPr>
              <w:t>As of June 30, 2015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69,962,000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69,962,000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69,962,000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69,962,000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69,962,000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69,962,000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4"/>
                <w:szCs w:val="14"/>
                <w:b w:val="1"/>
                <w:bCs w:val="1"/>
                <w:color w:val="auto"/>
                <w:w w:val="90"/>
              </w:rPr>
              <w:t>As of December 31, 2014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7"/>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80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six months ended June 30, 2015:</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80" w:type="dxa"/>
            <w:vAlign w:val="bottom"/>
            <w:gridSpan w:val="4"/>
          </w:tcPr>
          <w:p>
            <w:pPr>
              <w:ind w:left="1520"/>
              <w:spacing w:after="0"/>
              <w:rPr>
                <w:sz w:val="20"/>
                <w:szCs w:val="20"/>
                <w:color w:val="auto"/>
              </w:rPr>
            </w:pPr>
            <w:r>
              <w:rPr>
                <w:rFonts w:ascii="Arial" w:cs="Arial" w:eastAsia="Arial" w:hAnsi="Arial"/>
                <w:sz w:val="14"/>
                <w:szCs w:val="14"/>
                <w:color w:val="auto"/>
              </w:rPr>
              <w:t>Derivative liability – warrants</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(4,245,000)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58,752,000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204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69,962,000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both"/>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2014 the Company entered into numerous extinguishment agreements with various holders. As a result the derivative liability associated with the bifurcated conversion options were extinguished at the date of conversion and recorded in the loss on extinguishment in the Statement of Operations. The inputs utilized in the final mark to market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Conversion Option</w:t>
            </w:r>
          </w:p>
        </w:tc>
        <w:tc>
          <w:tcPr>
            <w:tcW w:w="220" w:type="dxa"/>
            <w:vAlign w:val="bottom"/>
          </w:tcPr>
          <w:p>
            <w:pPr>
              <w:spacing w:after="0"/>
              <w:rPr>
                <w:sz w:val="15"/>
                <w:szCs w:val="15"/>
                <w:color w:val="auto"/>
              </w:rPr>
            </w:pPr>
          </w:p>
        </w:tc>
        <w:tc>
          <w:tcPr>
            <w:tcW w:w="3120" w:type="dxa"/>
            <w:vAlign w:val="bottom"/>
            <w:gridSpan w:val="5"/>
          </w:tcPr>
          <w:p>
            <w:pPr>
              <w:ind w:left="140"/>
              <w:spacing w:after="0"/>
              <w:rPr>
                <w:sz w:val="20"/>
                <w:szCs w:val="20"/>
                <w:color w:val="auto"/>
              </w:rPr>
            </w:pPr>
            <w:r>
              <w:rPr>
                <w:rFonts w:ascii="Arial" w:cs="Arial" w:eastAsia="Arial" w:hAnsi="Arial"/>
                <w:sz w:val="14"/>
                <w:szCs w:val="14"/>
                <w:b w:val="1"/>
                <w:bCs w:val="1"/>
                <w:color w:val="auto"/>
              </w:rPr>
              <w:t>Weighted Average Inputs for the Period</w:t>
            </w:r>
          </w:p>
        </w:tc>
        <w:tc>
          <w:tcPr>
            <w:tcW w:w="0" w:type="dxa"/>
            <w:vAlign w:val="bottom"/>
          </w:tcPr>
          <w:p>
            <w:pPr>
              <w:spacing w:after="0"/>
              <w:rPr>
                <w:sz w:val="1"/>
                <w:szCs w:val="1"/>
                <w:color w:val="auto"/>
              </w:rPr>
            </w:pPr>
          </w:p>
        </w:tc>
      </w:tr>
      <w:tr>
        <w:trPr>
          <w:trHeight w:val="126"/>
        </w:trPr>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900" w:type="dxa"/>
            <w:vAlign w:val="bottom"/>
          </w:tcPr>
          <w:p>
            <w:pPr>
              <w:spacing w:after="0"/>
              <w:rPr>
                <w:sz w:val="10"/>
                <w:szCs w:val="10"/>
                <w:color w:val="auto"/>
              </w:rPr>
            </w:pPr>
          </w:p>
        </w:tc>
        <w:tc>
          <w:tcPr>
            <w:tcW w:w="2020" w:type="dxa"/>
            <w:vAlign w:val="bottom"/>
            <w:tcBorders>
              <w:top w:val="single" w:sz="8" w:color="auto"/>
            </w:tcBorders>
            <w:gridSpan w:val="3"/>
          </w:tcPr>
          <w:p>
            <w:pPr>
              <w:jc w:val="center"/>
              <w:ind w:right="940"/>
              <w:spacing w:after="0" w:line="126" w:lineRule="exact"/>
              <w:rPr>
                <w:sz w:val="20"/>
                <w:szCs w:val="20"/>
                <w:color w:val="auto"/>
              </w:rPr>
            </w:pPr>
            <w:r>
              <w:rPr>
                <w:rFonts w:ascii="Arial" w:cs="Arial" w:eastAsia="Arial" w:hAnsi="Arial"/>
                <w:sz w:val="14"/>
                <w:szCs w:val="14"/>
                <w:b w:val="1"/>
                <w:bCs w:val="1"/>
                <w:color w:val="auto"/>
                <w:w w:val="98"/>
              </w:rPr>
              <w:t>For the Quarter</w:t>
            </w:r>
          </w:p>
        </w:tc>
        <w:tc>
          <w:tcPr>
            <w:tcW w:w="11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98"/>
              </w:rPr>
              <w:t>For the Quarter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valuation</w:t>
            </w:r>
          </w:p>
        </w:tc>
        <w:tc>
          <w:tcPr>
            <w:tcW w:w="202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Ending June 30,</w:t>
            </w:r>
          </w:p>
        </w:tc>
        <w:tc>
          <w:tcPr>
            <w:tcW w:w="13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Ending June 30,</w:t>
            </w:r>
          </w:p>
        </w:tc>
        <w:tc>
          <w:tcPr>
            <w:tcW w:w="0" w:type="dxa"/>
            <w:vAlign w:val="bottom"/>
          </w:tcPr>
          <w:p>
            <w:pPr>
              <w:spacing w:after="0"/>
              <w:rPr>
                <w:sz w:val="1"/>
                <w:szCs w:val="1"/>
                <w:color w:val="auto"/>
              </w:rPr>
            </w:pPr>
          </w:p>
        </w:tc>
      </w:tr>
      <w:tr>
        <w:trPr>
          <w:trHeight w:val="178"/>
        </w:trPr>
        <w:tc>
          <w:tcPr>
            <w:tcW w:w="8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89"/>
              </w:rPr>
              <w:t>2015</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Strike price</w:t>
            </w:r>
          </w:p>
        </w:tc>
        <w:tc>
          <w:tcPr>
            <w:tcW w:w="70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3"/>
          </w:tcPr>
          <w:p>
            <w:pPr>
              <w:spacing w:after="0"/>
              <w:rPr>
                <w:sz w:val="20"/>
                <w:szCs w:val="20"/>
                <w:color w:val="auto"/>
              </w:rPr>
            </w:pPr>
            <w:r>
              <w:rPr>
                <w:rFonts w:ascii="Arial" w:cs="Arial" w:eastAsia="Arial" w:hAnsi="Arial"/>
                <w:sz w:val="18"/>
                <w:szCs w:val="18"/>
                <w:color w:val="auto"/>
              </w:rPr>
              <w:t>Volatility (annual)</w:t>
            </w:r>
          </w:p>
        </w:tc>
        <w:tc>
          <w:tcPr>
            <w:tcW w:w="22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16"/>
        </w:trPr>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8080" w:type="dxa"/>
            <w:vAlign w:val="bottom"/>
            <w:gridSpan w:val="3"/>
          </w:tcPr>
          <w:p>
            <w:pPr>
              <w:spacing w:after="0"/>
              <w:rPr>
                <w:sz w:val="20"/>
                <w:szCs w:val="20"/>
                <w:color w:val="auto"/>
              </w:rPr>
            </w:pPr>
            <w:r>
              <w:rPr>
                <w:rFonts w:ascii="Arial" w:cs="Arial" w:eastAsia="Arial" w:hAnsi="Arial"/>
                <w:sz w:val="18"/>
                <w:szCs w:val="18"/>
                <w:color w:val="auto"/>
              </w:rPr>
              <w:t>Contractual term (years)</w:t>
            </w:r>
          </w:p>
        </w:tc>
        <w:tc>
          <w:tcPr>
            <w:tcW w:w="22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color w:val="auto"/>
              </w:rPr>
              <w:t>Fair value of Conversion Option at extinguishment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NOTES,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has outstanding promissory notes in the amount of $52,942 (December 31, 2014 - $52,942), of which $23,000 of promissory notes are from an officer and a director of the Company. The promissory notes bear no interest charges and have no fixed repayment terms.</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7,320,000 units at a purchase price of $0.20 per unit, for a total purchase price of approximately $1,250,000, net of finders’ fee and offering expenses of approximately $214,000. Each unit consisting of</w:t>
      </w:r>
    </w:p>
    <w:p>
      <w:pPr>
        <w:ind w:right="40" w:firstLine="8"/>
        <w:spacing w:after="0" w:line="252"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$1.50 per share, with a five year term. Series B warrants are exercisable at $0.40 per share, with a six month term. Series C warrants are exercisable at $1.00 per share, with a five year term. Series D warrants are exercisable at $0.75 per share only if and to the extent that the Series B warrants are exercised, with a five year term from the date that the Series B warrants are exercised. Series E warrants are exercisable at $1.25 per share, only if and to the extent that the Series C warrants are exercised, with a five year term from the date that the Series C warrants are exercised.</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366,000 common shares with substantially the same terms as the January 2015 Warrants.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5,000,000 units at a purchase price of $0.20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125,000 common shares with substantially the same terms as the March 2015 Warrants.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2015 Restructuring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14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A warrants was changed from $1.50 per warrant to $0.10 per warrant,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$0.40 per warrant to $0.20 per warrant,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Series C warrants was changed from $1.00 per warrant to $0.50 per warrant,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a result of the restructuring agreement, the Company issued an additional 12,320,000 Series B warrants and 12,320,000 Series C Warrants. The fair value of the warrants issued pursuant to the May 2015 restructuring agreement was $6,133,000.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inputs include contractual term of 2.46 years, volatility of 141% and risk free rate of 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2015, a warrant holder exercised 5,000,000 of Series C warrants at $0.50 per warrant for a total of $2,500,000.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June 30, 2015 and changes during the period is presented below: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Number of</w:t>
            </w:r>
          </w:p>
        </w:tc>
        <w:tc>
          <w:tcPr>
            <w:tcW w:w="3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Weighted Average</w:t>
            </w:r>
          </w:p>
        </w:tc>
        <w:tc>
          <w:tcPr>
            <w:tcW w:w="1140" w:type="dxa"/>
            <w:vAlign w:val="bottom"/>
            <w:gridSpan w:val="2"/>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502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Warrants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Remaining Life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2,659,417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86,730,975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3.25</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(5,000,000)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0.50</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Extinguished or expired</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(7,500)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50.00</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2015</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84,382,892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0.54</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3.26</w:t>
            </w:r>
          </w:p>
        </w:tc>
      </w:tr>
      <w:tr>
        <w:trPr>
          <w:trHeight w:val="20"/>
        </w:trPr>
        <w:tc>
          <w:tcPr>
            <w:tcW w:w="5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10, 2015, the Company granted 250,000 stock options at an exercise price of $0.145 per share, of which, 33,333 vested on May 31, 2015 and the remaining vesting monthly over a nine month period, to a consultant of the Company. The term of the options is five years. The fair value of the new grant was estimated at $33,000, or $0.133 per option, using the Black-Scholes Option Pricing Model with a risk free interest rate of 1.52%, a dividend yield of 0%, volatility of 154.6%, and life of 5 years. The expensed portion of the value of these options during the six months ended June 30, 2015 was $7,635, which was recorded as stock based consultant compensation.</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March 6, 2015, the Company granted 150,000 stock options at an exercise price of $0.20 per share, vesting monthly over a twenty four month period, to a director of the Company. The term of the options is five years. The fair value of the new grant was estimated at $29,000, or $0.194 per option, using the Black-Scholes Option Pricing Model with a risk free interest rate of 1.70%, a dividend yield of 0%, volatility of 155.2%, and life of 5 years. The expensed portion of the value of these options during the six months ended June 30, 2015 was $4,850, which was recorded as stock based management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June 30, 2015 and changes during the period is presented below: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color w:val="auto"/>
                <w:w w:val="94"/>
              </w:rPr>
              <w:t>Number of</w:t>
            </w:r>
          </w:p>
        </w:tc>
        <w:tc>
          <w:tcPr>
            <w:tcW w:w="1780" w:type="dxa"/>
            <w:vAlign w:val="bottom"/>
            <w:gridSpan w:val="2"/>
          </w:tcPr>
          <w:p>
            <w:pPr>
              <w:jc w:val="right"/>
              <w:ind w:right="740"/>
              <w:spacing w:after="0"/>
              <w:rPr>
                <w:sz w:val="20"/>
                <w:szCs w:val="20"/>
                <w:color w:val="auto"/>
              </w:rPr>
            </w:pPr>
            <w:r>
              <w:rPr>
                <w:rFonts w:ascii="Arial" w:cs="Arial" w:eastAsia="Arial" w:hAnsi="Arial"/>
                <w:sz w:val="14"/>
                <w:szCs w:val="14"/>
                <w:color w:val="auto"/>
                <w:w w:val="88"/>
              </w:rPr>
              <w:t>Weighted Average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Weighted Average</w:t>
            </w:r>
          </w:p>
        </w:tc>
      </w:tr>
      <w:tr>
        <w:trPr>
          <w:trHeight w:val="167"/>
        </w:trPr>
        <w:tc>
          <w:tcPr>
            <w:tcW w:w="3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color w:val="auto"/>
              </w:rPr>
              <w:t>Options</w:t>
            </w:r>
          </w:p>
        </w:tc>
        <w:tc>
          <w:tcPr>
            <w:tcW w:w="1780" w:type="dxa"/>
            <w:vAlign w:val="bottom"/>
            <w:gridSpan w:val="2"/>
          </w:tcPr>
          <w:p>
            <w:pPr>
              <w:jc w:val="right"/>
              <w:ind w:right="840"/>
              <w:spacing w:after="0"/>
              <w:rPr>
                <w:sz w:val="20"/>
                <w:szCs w:val="20"/>
                <w:color w:val="auto"/>
              </w:rPr>
            </w:pPr>
            <w:r>
              <w:rPr>
                <w:rFonts w:ascii="Arial" w:cs="Arial" w:eastAsia="Arial" w:hAnsi="Arial"/>
                <w:sz w:val="14"/>
                <w:szCs w:val="14"/>
                <w:color w:val="auto"/>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Remaining Life</w:t>
            </w:r>
          </w:p>
        </w:tc>
      </w:tr>
      <w:tr>
        <w:trPr>
          <w:trHeight w:val="210"/>
        </w:trPr>
        <w:tc>
          <w:tcPr>
            <w:tcW w:w="3440" w:type="dxa"/>
            <w:vAlign w:val="bottom"/>
            <w:tcBorders>
              <w:top w:val="single" w:sz="8" w:color="CCEEFF"/>
            </w:tcBorders>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89"/>
              </w:rPr>
              <w:t>Balance, December 31, 2013</w:t>
            </w:r>
          </w:p>
        </w:tc>
        <w:tc>
          <w:tcPr>
            <w:tcW w:w="18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65,430</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7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656"/>
              <w:spacing w:after="0"/>
              <w:rPr>
                <w:sz w:val="20"/>
                <w:szCs w:val="20"/>
                <w:color w:val="auto"/>
              </w:rPr>
            </w:pPr>
            <w:r>
              <w:rPr>
                <w:rFonts w:ascii="Arial" w:cs="Arial" w:eastAsia="Arial" w:hAnsi="Arial"/>
                <w:sz w:val="18"/>
                <w:szCs w:val="18"/>
                <w:color w:val="auto"/>
                <w:w w:val="85"/>
              </w:rPr>
              <w:t>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Issued</w:t>
            </w:r>
          </w:p>
        </w:tc>
        <w:tc>
          <w:tcPr>
            <w:tcW w:w="184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left="516"/>
              <w:spacing w:after="0"/>
              <w:rPr>
                <w:sz w:val="20"/>
                <w:szCs w:val="20"/>
                <w:color w:val="auto"/>
              </w:rPr>
            </w:pPr>
            <w:r>
              <w:rPr>
                <w:rFonts w:ascii="Arial" w:cs="Arial" w:eastAsia="Arial" w:hAnsi="Arial"/>
                <w:sz w:val="18"/>
                <w:szCs w:val="18"/>
                <w:color w:val="auto"/>
                <w:w w:val="99"/>
              </w:rPr>
              <w:t>—</w:t>
            </w:r>
          </w:p>
        </w:tc>
      </w:tr>
      <w:tr>
        <w:trPr>
          <w:trHeight w:val="216"/>
        </w:trPr>
        <w:tc>
          <w:tcPr>
            <w:tcW w:w="344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2"/>
              </w:rPr>
              <w:t>Cancelled/Forfeited</w:t>
            </w:r>
          </w:p>
        </w:tc>
        <w:tc>
          <w:tcPr>
            <w:tcW w:w="1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left="516"/>
              <w:spacing w:after="0"/>
              <w:rPr>
                <w:sz w:val="20"/>
                <w:szCs w:val="20"/>
                <w:color w:val="auto"/>
              </w:rPr>
            </w:pPr>
            <w:r>
              <w:rPr>
                <w:rFonts w:ascii="Arial" w:cs="Arial" w:eastAsia="Arial" w:hAnsi="Arial"/>
                <w:sz w:val="18"/>
                <w:szCs w:val="18"/>
                <w:color w:val="auto"/>
                <w:w w:val="99"/>
              </w:rPr>
              <w:t>—</w:t>
            </w:r>
          </w:p>
        </w:tc>
      </w:tr>
      <w:tr>
        <w:trPr>
          <w:trHeight w:val="224"/>
        </w:trPr>
        <w:tc>
          <w:tcPr>
            <w:tcW w:w="344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Balance, December 31, 2014</w:t>
            </w:r>
          </w:p>
        </w:tc>
        <w:tc>
          <w:tcPr>
            <w:tcW w:w="18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65,430</w:t>
            </w:r>
          </w:p>
        </w:tc>
        <w:tc>
          <w:tcPr>
            <w:tcW w:w="7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740" w:type="dxa"/>
            <w:vAlign w:val="bottom"/>
          </w:tcPr>
          <w:p>
            <w:pPr>
              <w:spacing w:after="0"/>
              <w:rPr>
                <w:sz w:val="19"/>
                <w:szCs w:val="19"/>
                <w:color w:val="auto"/>
              </w:rPr>
            </w:pPr>
          </w:p>
        </w:tc>
        <w:tc>
          <w:tcPr>
            <w:tcW w:w="1040" w:type="dxa"/>
            <w:vAlign w:val="bottom"/>
            <w:tcBorders>
              <w:top w:val="single" w:sz="8" w:color="auto"/>
            </w:tcBorders>
          </w:tcPr>
          <w:p>
            <w:pPr>
              <w:jc w:val="center"/>
              <w:ind w:left="656"/>
              <w:spacing w:after="0"/>
              <w:rPr>
                <w:sz w:val="20"/>
                <w:szCs w:val="20"/>
                <w:color w:val="auto"/>
              </w:rPr>
            </w:pPr>
            <w:r>
              <w:rPr>
                <w:rFonts w:ascii="Arial" w:cs="Arial" w:eastAsia="Arial" w:hAnsi="Arial"/>
                <w:sz w:val="18"/>
                <w:szCs w:val="18"/>
                <w:color w:val="auto"/>
                <w:w w:val="85"/>
              </w:rPr>
              <w:t>4.04</w:t>
            </w:r>
          </w:p>
        </w:tc>
        <w:tc>
          <w:tcPr>
            <w:tcW w:w="100" w:type="dxa"/>
            <w:vAlign w:val="bottom"/>
          </w:tcPr>
          <w:p>
            <w:pPr>
              <w:spacing w:after="0"/>
              <w:rPr>
                <w:sz w:val="19"/>
                <w:szCs w:val="19"/>
                <w:color w:val="auto"/>
              </w:rPr>
            </w:pPr>
          </w:p>
        </w:tc>
      </w:tr>
      <w:tr>
        <w:trPr>
          <w:trHeight w:val="364"/>
        </w:trPr>
        <w:tc>
          <w:tcPr>
            <w:tcW w:w="3440" w:type="dxa"/>
            <w:vAlign w:val="bottom"/>
          </w:tcPr>
          <w:p>
            <w:pPr>
              <w:spacing w:after="0"/>
              <w:rPr>
                <w:sz w:val="24"/>
                <w:szCs w:val="24"/>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Number of</w:t>
            </w:r>
          </w:p>
        </w:tc>
        <w:tc>
          <w:tcPr>
            <w:tcW w:w="760" w:type="dxa"/>
            <w:vAlign w:val="bottom"/>
          </w:tcPr>
          <w:p>
            <w:pPr>
              <w:spacing w:after="0"/>
              <w:rPr>
                <w:sz w:val="14"/>
                <w:szCs w:val="14"/>
                <w:color w:val="auto"/>
              </w:rPr>
            </w:pPr>
          </w:p>
        </w:tc>
        <w:tc>
          <w:tcPr>
            <w:tcW w:w="1820" w:type="dxa"/>
            <w:vAlign w:val="bottom"/>
            <w:gridSpan w:val="3"/>
          </w:tcPr>
          <w:p>
            <w:pPr>
              <w:jc w:val="right"/>
              <w:ind w:right="780"/>
              <w:spacing w:after="0"/>
              <w:rPr>
                <w:sz w:val="20"/>
                <w:szCs w:val="20"/>
                <w:color w:val="auto"/>
              </w:rPr>
            </w:pPr>
            <w:r>
              <w:rPr>
                <w:rFonts w:ascii="Arial" w:cs="Arial" w:eastAsia="Arial" w:hAnsi="Arial"/>
                <w:sz w:val="14"/>
                <w:szCs w:val="14"/>
                <w:color w:val="auto"/>
                <w:w w:val="88"/>
              </w:rPr>
              <w:t>Weighted Average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Weighted Average</w:t>
            </w:r>
          </w:p>
        </w:tc>
      </w:tr>
      <w:tr>
        <w:trPr>
          <w:trHeight w:val="167"/>
        </w:trPr>
        <w:tc>
          <w:tcPr>
            <w:tcW w:w="520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Options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4"/>
                <w:szCs w:val="14"/>
                <w:color w:val="auto"/>
                <w:w w:val="91"/>
              </w:rPr>
              <w:t>Exercise Price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Remaining Life</w:t>
            </w:r>
          </w:p>
        </w:tc>
      </w:tr>
      <w:tr>
        <w:trPr>
          <w:trHeight w:val="210"/>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 June 30, 2015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465,430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7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the intrinsic value of the vested options was equal to $66,000 (2014 - $nil).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unvested options as of June 30, 2015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ind w:left="340"/>
              <w:spacing w:after="0"/>
              <w:rPr>
                <w:sz w:val="20"/>
                <w:szCs w:val="20"/>
                <w:color w:val="auto"/>
              </w:rPr>
            </w:pPr>
            <w:r>
              <w:rPr>
                <w:rFonts w:ascii="Arial" w:cs="Arial" w:eastAsia="Arial" w:hAnsi="Arial"/>
                <w:sz w:val="14"/>
                <w:szCs w:val="14"/>
                <w:color w:val="auto"/>
                <w:w w:val="98"/>
              </w:rPr>
              <w:t>Weighted Average</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1"/>
              </w:rPr>
              <w:t>Number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Grant-Date</w:t>
            </w: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Fair Value</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400,000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June 30,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317,593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900" w:right="2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Between July 16, 2015 and August 13, 2015, holders of the Series B warrant exercised 7,890,000 of the Series B Warrants registered under our recent registration statements on Form S-1 resulting in proceeds of $1,578,000 to the Company.</w:t>
      </w:r>
    </w:p>
    <w:p>
      <w:pPr>
        <w:spacing w:after="0" w:line="75" w:lineRule="exact"/>
        <w:rPr>
          <w:rFonts w:ascii="Arial" w:cs="Arial" w:eastAsia="Arial" w:hAnsi="Arial"/>
          <w:sz w:val="18"/>
          <w:szCs w:val="18"/>
          <w:color w:val="auto"/>
        </w:rPr>
      </w:pPr>
    </w:p>
    <w:p>
      <w:pPr>
        <w:ind w:left="900" w:hanging="446"/>
        <w:spacing w:after="0" w:line="270"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July 21, 2015, the Company entered into a License and Assignment Agreement with the Mayo Foundation for Medical Education and Research (“Mayo Foundation”)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w:t>
      </w:r>
    </w:p>
    <w:p>
      <w:pPr>
        <w:spacing w:after="0" w:line="87"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31, 2015, the Company issued to its counsel 118,450 shares of common stock for legal services rendered through January 21, 2015. Such shares were authorized to be issued on January 23, 2015, but were not issued until July 31, 2015.</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10, 2015, the Company issued 50,000 shares of common stock as full settlement of a dispute with a marketing consultant that provided services to the Company in 2014 and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57" w:right="25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three months ended June 30, 2015 included in this quarterly report, as well as our Annual Report on Form 10-K for the year ended December 31,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TapImmune is a biotechnology company focusing on immunotherapy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enhance shareholder value and taking into account development timelines, the Company plans to focus on advancing its clinical programs including our HER2/neu peptide antigen program and our Folate Receptor Alpha program for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Immunotherapy has become the most rapidly growing sector in the pharmaceutical and biotech industry. The approval and success of checkpoint inhibitors Yervoy and Opdivo (Bristol Myers Squibb) and Keytruda (Merck) together with the development of CAR T-cell therapies (Juno, Kite)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Therefore a key goal in 2015 is to progress the HER2/neu vaccine towards the above mentioned Phase 1(b)/II Clinical Trial.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Phase I Human Clinical Trials – </w:t>
      </w:r>
      <w:r>
        <w:rPr>
          <w:rFonts w:ascii="Arial" w:cs="Arial" w:eastAsia="Arial" w:hAnsi="Arial"/>
          <w:sz w:val="18"/>
          <w:szCs w:val="18"/>
          <w:b w:val="1"/>
          <w:bCs w:val="1"/>
          <w:color w:val="auto"/>
        </w:rPr>
        <w:t>Folate Alpha Breast and Ovarian Cancer – Mayo Clinic</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Folate Receptor Alpha is expressed in over 80% of triple negative breast cancers, and in addition, over 90% of ovarian cancers, for which the only treatment options are surgery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 negative breast cancer patients newly diagnosed every year.</w:t>
      </w:r>
    </w:p>
    <w:p>
      <w:pPr>
        <w:spacing w:after="0" w:line="18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 24 patient Phase I clinical trial has been completed. The vaccine is well tolerated and safe and 20 out of 21 evaluable patients showed positive immune responses providing a strong rationale rational for progressing to phase 2 trials. GMP manufacturing for Phase II trials is underway and final analyses of clinical plans are near completion. TapImmune has now converted the exclusive license option into a full License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converted the previously filed U.S. Provisional Patent Application on Polystart into a full Patent Application, and will extend technology constructs as boost strategies for the current clinical programs in breast and ovarian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TapImmune is a clinical-stage immunotherapy company specializing in the development of innovative peptide and gene-based immunotherapeutics and vaccines for the treatment of cancer. The Company now has multiple clinical trials underway at the Mayo Clinic in Rochester, MN. In addition to our own sponsored clinical trials, a new grant-funded breast and ovarian cancer trial was started by Mayo using the same Folate Alpha Receptor peptides to which we have the exclusive commercial rights. Our development pipeline is extremely strong and provides us the opportunity to continue to expand on collaborations with leading institutions and corporations.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Q1 and Q2 2015, we strengthened our cash position by raising additional $4.8 M in working capital giving us confidence in our ability to continue developing our products on the path to commercialization. The structure of this financing gives us additional opportunities to raise additional capital through the exercise of short-term and long-term warrants. The strength of our science and development approaches is becoming more widely appreciated, particularly as our clinical program has now generated positive interim data on both clinical programs in Breast and Ovarian Cancer. Also, we are pleased to report that our clinical programs are seeing positive outcomes and we expect to present more detailed findings at major symposia toward the end of the year.</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continue to be focused on our entry into Phase II Triple Negative Cancer Trials including application for Fast Track &amp; Orphan Drug Status as well as planning for Phase II HER2/neu Breast Cancer Trials.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also produce new PolyStart constructs, in-house, to facilitate collaborative efforts in our current clinical indications and those where others have already indicated interest in combination therapies.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continue to work on deficit reduction and capital improvement in order to make the required benchmarks for an uplisting to the NASDAQ or another major US exchange. To that end we are also anticipating the result of grant applications submitted early this year.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Together, these fundamental programs and corporate activities have positioned TapImmune extremely well to capitalize on the acceptance of immunotherapy as a leading therapeutic strategy in cancer and infectious disease resulting in exploding valuations in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Pipeline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deep pipeline of potential blockbuster immunotherapies under development. Two of the clinical programs are completing Phase I studies and are expected to advance to Phase II in 2015. These are major inflection and valuation events, and we believe that, in light of these assets, the Company is significantly undervalued. Over the past year a number of highly visible transactions and billion dollar acquisitions have taken place that validate the work we are doing. We believe that, if our treatment successfully reaches commercialization, our treatment is applicable to 50% of the HER2/neu Breast Cancer market, which is a $21 billion annual market. We further believe that if our Ovarian Cancer treatment reaches commercialization, it will be applicable to 95% of the market which Decision Resources, one of the world’s leading research firms for pharmaceuticals and healthcare, believes will triple in the next 10 years to at least $1.5 billion annually.</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 Our technologies are also widely applicable to the treatment of emerging viral threats and pandemics. In particular, our highly versatile PolyStart technology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application in these areas. With respect to validation of our technologies, it is important to note that the majority of our technologies have been published in leading peer-reviewed journals. The timing of such publications is consistent with the filing of patents.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list of publications on our TAP technology can be found on our website (www.tapimmune.com). Publication of our data on PolyStart will occur after current patent filings have been completed.</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 xml:space="preserve">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 TapImmune has four patent estates, details of which can be found on our website: </w:t>
      </w:r>
      <w:r>
        <w:rPr>
          <w:rFonts w:ascii="Arial" w:cs="Arial" w:eastAsia="Arial" w:hAnsi="Arial"/>
          <w:sz w:val="17"/>
          <w:szCs w:val="17"/>
          <w:u w:val="single" w:color="auto"/>
          <w:color w:val="auto"/>
        </w:rPr>
        <w:t>www.tapimmune.com</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While the pathway to successful product development takes time, we believe we have put in place significant resources in technical and corporate fundamentals for success. The strength of our product pipeline and access to leading scientists and institutions gives us a unique opportunity to make a major contribution to global health care.</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 number of early stage billion dollar pharma acquisitions and recent IPOs have highlighted the growing interest in investment in immunotherapy space. Looking at our current valuation and those of our peers and considering our pipeline of clinical programs with very near-term advancements and the value inflections those represent, we believe this is an excellent opportunity and presents exceptional entry point for those that have not yet become a shareholder.</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antigen based immunotherapeutics,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 such as CAR-T and PD1 inhibitors for example.</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Consistent with our corporate development and advancement of clinical trials we have made significant additions to our personnel through appointments of a Consultant Medical Director (Patrick Yeramian, M.D.) and a Consultant Regulatory Director (Dr. Stacy Suber). In addition, we have appointed Dr. John Bonfiglio as a Corporate Strategic Advisor and also to our Board of Directors and have appointed David Laskow-Pooley to our Board of Directors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to Three Months Ended June 30, 2014</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recorded a net loss of $60,216,000 or ($1.80) per share during the three months ended June 30, 2015 compared to net income of $753,000 or $0.05 per share for the three months ended June 30, 2014.</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costs increased to $1,138,000 during the three months ended June 30, 2015 compared to $511,000 in the prior period. Significant changes in operating expenses are outlined as follows:</w:t>
      </w:r>
    </w:p>
    <w:p>
      <w:pPr>
        <w:spacing w:after="0" w:line="76" w:lineRule="exact"/>
        <w:rPr>
          <w:sz w:val="20"/>
          <w:szCs w:val="20"/>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$937,000 during the three months ended June 30, 2015 from $488,000 during the prior period. The increase was primarily due to increased investor relations activities and higher legal fee during the three months ended June 30, 2015 compared to the prior period. The decrease in non-cash consulting fees from the prior year was due to the Company curtailing its business development activities in the current year.</w:t>
      </w:r>
    </w:p>
    <w:p>
      <w:pPr>
        <w:spacing w:after="0" w:line="92"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costs during the three months ended June 30, 2015 were $201,000 compared to $23,000 during the prior period. This was due to the Company’s plan to exercise its option to acquire Mayo Clinic technology as part of an agreement entered into in March 2014 and increased in in-house research activity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33,525,656 for the three months ended June 30, 2015 compared to 15,523,016 for the prior year.</w:t>
      </w:r>
    </w:p>
    <w:p>
      <w:pPr>
        <w:sectPr>
          <w:pgSz w:w="11900" w:h="16838" w:orient="portrait"/>
          <w:cols w:equalWidth="0" w:num="1">
            <w:col w:w="11380"/>
          </w:cols>
          <w:pgMar w:left="240" w:top="274" w:right="27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274" w:right="2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Six Months Ended June 30, 2015 Compared to Six Months Ended June 30, 2014</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recorded a net loss of $60,917,000 or ($1.99) per share during the six months ended June 30, 2015 compared to $28,954,000 or ($2.57) per share for the six months ended June 30, 2014.</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Operating costs increased to $2,166,000 during the six months ended June 30, 2015 compared to $1,733,000 in the prior period. Significant changes in operating expenses are outlined as follows:</w:t>
      </w:r>
    </w:p>
    <w:p>
      <w:pPr>
        <w:spacing w:after="0" w:line="76" w:lineRule="exact"/>
        <w:rPr>
          <w:sz w:val="20"/>
          <w:szCs w:val="20"/>
          <w:color w:val="auto"/>
        </w:rPr>
      </w:pPr>
    </w:p>
    <w:p>
      <w:pPr>
        <w:ind w:left="900" w:right="1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$1,356,000 during the six months ended June 30, 2015 from $1,688,000 during the prior period. The decrease was primarily due to decrease in non-cash consulting fees paid as stock-based compensation during the six months ended June 30, 2015 compared to the prior period. The decrease in non-cash consulting fees from the prior year was due to the Company curtailing its business development activities in the current year.</w:t>
      </w:r>
    </w:p>
    <w:p>
      <w:pPr>
        <w:spacing w:after="0" w:line="92"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and development costs during the six months ended June 30, 2015 were $811,000 compared to $45,000 during the prior period. This was due to the Company exercising its option to acquire Mayo Clinic technology as part of an agreement entered into in March 2014 and increased in in-house research activity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number of shares outstanding was 30,584,794 for the three months ended June 30, 2015 compared to 11,250,240 for the prior year.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June 30, 2015 and December 31,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June 30, 2015</w:t>
            </w: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reserves</w:t>
            </w:r>
          </w:p>
        </w:tc>
        <w:tc>
          <w:tcPr>
            <w:tcW w:w="2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(68,102,000)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(1,024,000)</w:t>
            </w:r>
          </w:p>
        </w:tc>
      </w:tr>
    </w:tbl>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Subject to the availability of additional financing, we intend to spend approximately $7,500,000 over the next twelve months in carrying out our plan of operations. At June 30, 2015, we had $3,105,000 of cash on hand and a working capital deficit of $68,102,000. In January and March 2015, we raised approximately $2.33 million in private and brokered placements and another $2,500,000 in warrants exercised in May 2015.</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2015 was $1,828,000 compared to $611,000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Net cash provided by financing activities during the six months ended June 30, 2015 was $4,791,000 compared to $584,000 during the prior period. Current period financing consisted of proceeds from private placements and warrant exercises while prior period financing relates to proceeds from convertible notes.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2015, we anticipate that we will need significant financing to enable us to meet our anticipated expenditures for the next twelve months, which are expected to be in the range of $7,500,000 assuming a single Phase 2 clinical trial.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June 30, 2015, we had accumulated losses of $160,359,000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six months ended June 30, 2015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0"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Litigation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May 2012, we issued what is now equal to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18, 2014, the International Center for Dispute Resolution International Arbitration Tribunal issued a Final Award in the matter of TapImmune Inc. vs. Michael Gardner awarding TapImmune $196,204 plus post-award interest at a rate of 9% per year. This award stemmed from the dispute discussed above with Mr. Gardner regarding the May 2012 consulting agreement. The arbitrator found that we were fraudulently induced into entering said agreement through “1) misrepresentations as to what he would or could do for the Company, including raising funds, and 2) omissions about his reputation and ability to obtain or assist in obtaining financing for TapImmune” among other reasons. We are attempting to collect the award from Mr. Gardner.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Litigation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on settling that matter in the third quarter of 2015.</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25" w:name="page26"/>
    <w:bookmarkEnd w:id="25"/>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303"/>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1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Rule 13a-14(a) or 15d-14(a)</w:t>
            </w:r>
          </w:p>
        </w:tc>
      </w:tr>
      <w:tr>
        <w:trPr>
          <w:trHeight w:val="230"/>
        </w:trPr>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of the Securities Exchange Act of 1933, as amended.</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1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Certification of Principal Executive Officer and Acting Principal Accounting Officer pursuant to 18 U.S.C. 1350 as adopted</w:t>
            </w:r>
          </w:p>
        </w:tc>
      </w:tr>
      <w:tr>
        <w:trPr>
          <w:trHeight w:val="230"/>
        </w:trPr>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540"/>
        </w:trPr>
        <w:tc>
          <w:tcPr>
            <w:tcW w:w="218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1360" w:type="dxa"/>
            <w:vAlign w:val="bottom"/>
          </w:tcPr>
          <w:p>
            <w:pPr>
              <w:spacing w:after="0"/>
              <w:rPr>
                <w:sz w:val="24"/>
                <w:szCs w:val="24"/>
                <w:color w:val="auto"/>
              </w:rPr>
            </w:pPr>
          </w:p>
        </w:tc>
        <w:tc>
          <w:tcPr>
            <w:tcW w:w="76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270" w:right="4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Chairman, Chief Executive Officer, Principal Executive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Officer and Chief Financial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14, 2016</w:t>
      </w:r>
    </w:p>
    <w:p>
      <w:pPr>
        <w:sectPr>
          <w:pgSz w:w="11900" w:h="16838" w:orient="portrait"/>
          <w:cols w:equalWidth="0" w:num="1">
            <w:col w:w="10900"/>
          </w:cols>
          <w:pgMar w:left="240" w:top="270" w:right="7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June 30, 2015 of TapImmune Inc.;</w:t>
      </w:r>
    </w:p>
    <w:p>
      <w:pPr>
        <w:spacing w:after="0" w:line="130" w:lineRule="exact"/>
        <w:rPr>
          <w:rFonts w:ascii="Arial" w:cs="Arial" w:eastAsia="Arial" w:hAnsi="Arial"/>
          <w:sz w:val="18"/>
          <w:szCs w:val="18"/>
          <w:color w:val="auto"/>
        </w:rPr>
      </w:pPr>
    </w:p>
    <w:p>
      <w:pPr>
        <w:ind w:left="460" w:right="44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Acting Principal Accounting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June 30, 2015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2016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Glynn Wilson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Acting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2020-01-20T02:19:19Z</dcterms:created>
  <dcterms:modified xsi:type="dcterms:W3CDTF">2020-01-20T02:19:19Z</dcterms:modified>
</cp:coreProperties>
</file>