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December 19,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MARKER 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2080" w:type="dxa"/>
            <w:vAlign w:val="bottom"/>
            <w:gridSpan w:val="2"/>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001-37939</w:t>
            </w:r>
          </w:p>
        </w:tc>
        <w:tc>
          <w:tcPr>
            <w:tcW w:w="22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45-4497941</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330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1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80" w:type="dxa"/>
            <w:vAlign w:val="bottom"/>
            <w:gridSpan w:val="5"/>
          </w:tcPr>
          <w:p>
            <w:pPr>
              <w:jc w:val="center"/>
              <w:ind w:left="1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500" w:type="dxa"/>
            <w:vAlign w:val="bottom"/>
            <w:gridSpan w:val="4"/>
          </w:tcPr>
          <w:p>
            <w:pPr>
              <w:jc w:val="center"/>
              <w:ind w:right="900"/>
              <w:spacing w:after="0"/>
              <w:rPr>
                <w:sz w:val="20"/>
                <w:szCs w:val="20"/>
                <w:color w:val="auto"/>
              </w:rPr>
            </w:pPr>
            <w:r>
              <w:rPr>
                <w:rFonts w:ascii="Times New Roman" w:cs="Times New Roman" w:eastAsia="Times New Roman" w:hAnsi="Times New Roman"/>
                <w:sz w:val="18"/>
                <w:szCs w:val="18"/>
                <w:color w:val="auto"/>
                <w:w w:val="99"/>
              </w:rPr>
              <w:t>2450 Holcombe Blvd, Suite BCM-A, MS: BCM251</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5"/>
        </w:trPr>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140" w:type="dxa"/>
            <w:vAlign w:val="bottom"/>
            <w:gridSpan w:val="3"/>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7"/>
              </w:rPr>
              <w:t>Houston,Texas</w:t>
            </w:r>
          </w:p>
        </w:tc>
        <w:tc>
          <w:tcPr>
            <w:tcW w:w="27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77021</w:t>
            </w:r>
          </w:p>
        </w:tc>
        <w:tc>
          <w:tcPr>
            <w:tcW w:w="18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50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500" w:type="dxa"/>
            <w:vAlign w:val="bottom"/>
            <w:gridSpan w:val="4"/>
          </w:tcPr>
          <w:p>
            <w:pPr>
              <w:jc w:val="center"/>
              <w:ind w:right="8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1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(713) 400-6400</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1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414"/>
        </w:trPr>
        <w:tc>
          <w:tcPr>
            <w:tcW w:w="4760" w:type="dxa"/>
            <w:vAlign w:val="bottom"/>
          </w:tcPr>
          <w:p>
            <w:pPr>
              <w:spacing w:after="0"/>
              <w:rPr>
                <w:sz w:val="24"/>
                <w:szCs w:val="24"/>
                <w:color w:val="auto"/>
              </w:rPr>
            </w:pPr>
          </w:p>
        </w:tc>
        <w:tc>
          <w:tcPr>
            <w:tcW w:w="2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Trading</w:t>
            </w:r>
          </w:p>
        </w:tc>
        <w:tc>
          <w:tcPr>
            <w:tcW w:w="4280" w:type="dxa"/>
            <w:vAlign w:val="bottom"/>
          </w:tcPr>
          <w:p>
            <w:pPr>
              <w:spacing w:after="0"/>
              <w:rPr>
                <w:sz w:val="24"/>
                <w:szCs w:val="24"/>
                <w:color w:val="auto"/>
              </w:rPr>
            </w:pPr>
          </w:p>
        </w:tc>
      </w:tr>
      <w:tr>
        <w:trPr>
          <w:trHeight w:val="234"/>
        </w:trPr>
        <w:tc>
          <w:tcPr>
            <w:tcW w:w="4760" w:type="dxa"/>
            <w:vAlign w:val="bottom"/>
            <w:tcBorders>
              <w:bottom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2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Symbol(s)</w:t>
            </w:r>
          </w:p>
        </w:tc>
        <w:tc>
          <w:tcPr>
            <w:tcW w:w="428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76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MRKR</w:t>
            </w:r>
          </w:p>
        </w:tc>
        <w:tc>
          <w:tcPr>
            <w:tcW w:w="42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19, 2024, Marker Therapeutics, Inc. (the “Company”) entered into a securities purchase agreement (the “Securities Purchase Agreement”) with various investors for a private placement that is expected to provide gross proceeds of $16.1 million, before deducting placement agent fees and other expenses. In connection therewith, the Company is expected to sell 5,031,250 shares of its common stock (or pre-funded warrants in lieu thereof) and accompanying warrants to purchase up to 5,031,250 shares of common stock, at a purchase price of $3.20 per share (or $3.199 per pre-funded warrant in lieu thereof). The pre-funded warrants and the accompanying warrants will be exercisable upon shareholder approval, in compliance with Nasdaq rules and regulations, and have a term of five years commencing upon shareholder approval. The pre-funded warrants will be exercisable at a price of $0.001 per share and the accompanying warrants will have an exercise price of $4.03 per share. In connection therewith, at the closing of the private placement, the Company is anticipated to enter into a registration rights agreement, pursuant to which the Company will be obligated to register the resale of the shares of common stock issued in the offering along with the shares of common stock underlying the pre-funded warrants and the common warrants. Additionally, at the closing, the Company will enter into voting agreements with certain shareholders pursuant to which they will agree to vote in favor of the approval of the shares to be issued in the offering. The transaction is expected to close on December 23, 2024, subject to the satisfaction of customary closing conditions.</w:t>
      </w:r>
    </w:p>
    <w:p>
      <w:pPr>
        <w:spacing w:after="0" w:line="18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On December 19, 2024, the Company issued a press release providing a clinical update on MT-601, in patients with relapsed lymphoma. MT-601 is the Company’s lead product. A copy of the press release is attached hereto as Exhibit 99.1 and is incorporated by reference herein.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Additionally, on December 19, 2024, the Company issued a press release announcing that it had entered into the Securities Purchase Agreement.</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u w:val="single" w:color="auto"/>
          <w:color w:val="auto"/>
        </w:rPr>
        <w:t>Exhibit No.  Description</w:t>
      </w:r>
    </w:p>
    <w:p>
      <w:pPr>
        <w:spacing w:after="0" w:line="229" w:lineRule="exact"/>
        <w:rPr>
          <w:sz w:val="20"/>
          <w:szCs w:val="20"/>
          <w:color w:val="auto"/>
        </w:rPr>
      </w:pPr>
    </w:p>
    <w:p>
      <w:pPr>
        <w:ind w:left="42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7"/>
          <w:szCs w:val="17"/>
          <w:u w:val="single" w:color="auto"/>
          <w:color w:val="0000EE"/>
        </w:rPr>
        <w:t>Securities Purchase Agreement dated December 19, 2024</w:t>
      </w:r>
    </w:p>
    <w:p>
      <w:pPr>
        <w:spacing w:after="0" w:line="27" w:lineRule="exact"/>
        <w:rPr>
          <w:sz w:val="20"/>
          <w:szCs w:val="20"/>
          <w:color w:val="auto"/>
        </w:rPr>
      </w:pPr>
    </w:p>
    <w:p>
      <w:pPr>
        <w:ind w:left="42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December 19, 2024.</w:t>
      </w:r>
    </w:p>
    <w:p>
      <w:pPr>
        <w:spacing w:after="0" w:line="9" w:lineRule="exact"/>
        <w:rPr>
          <w:sz w:val="20"/>
          <w:szCs w:val="20"/>
          <w:color w:val="auto"/>
        </w:rPr>
      </w:pPr>
    </w:p>
    <w:p>
      <w:pPr>
        <w:ind w:left="42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99.2</w:t>
      </w:r>
      <w:r>
        <w:rPr>
          <w:sz w:val="20"/>
          <w:szCs w:val="20"/>
          <w:color w:val="auto"/>
        </w:rPr>
        <w:tab/>
      </w:r>
      <w:r>
        <w:rPr>
          <w:rFonts w:ascii="Times New Roman" w:cs="Times New Roman" w:eastAsia="Times New Roman" w:hAnsi="Times New Roman"/>
          <w:sz w:val="17"/>
          <w:szCs w:val="17"/>
          <w:u w:val="single" w:color="auto"/>
          <w:color w:val="0000EE"/>
        </w:rPr>
        <w:t>Press release, dated December 19, 2024.</w:t>
      </w:r>
    </w:p>
    <w:p>
      <w:pPr>
        <w:spacing w:after="0" w:line="9" w:lineRule="exact"/>
        <w:rPr>
          <w:sz w:val="20"/>
          <w:szCs w:val="20"/>
          <w:color w:val="auto"/>
        </w:rPr>
      </w:pPr>
    </w:p>
    <w:p>
      <w:pPr>
        <w:ind w:left="440"/>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744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Marker Therapeutics, Inc.</w:t>
            </w:r>
          </w:p>
        </w:tc>
      </w:tr>
      <w:tr>
        <w:trPr>
          <w:trHeight w:val="432"/>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19, 2024</w:t>
            </w:r>
          </w:p>
        </w:tc>
        <w:tc>
          <w:tcPr>
            <w:tcW w:w="744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By: /s/ Juan Vera</w:t>
            </w:r>
          </w:p>
        </w:tc>
      </w:tr>
      <w:tr>
        <w:trPr>
          <w:trHeight w:val="189"/>
        </w:trPr>
        <w:tc>
          <w:tcPr>
            <w:tcW w:w="38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2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Juan Vera</w:t>
            </w:r>
          </w:p>
        </w:tc>
      </w:tr>
      <w:tr>
        <w:trPr>
          <w:trHeight w:val="236"/>
        </w:trPr>
        <w:tc>
          <w:tcPr>
            <w:tcW w:w="38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675"/>
        </w:trPr>
        <w:tc>
          <w:tcPr>
            <w:tcW w:w="38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COPY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December 19, 2024, is by and among Marker Therapeutics, Inc., a Delaware corporation with offices located at 2450 Holcombe Blvd, Suite BCM-A, MS: BCM251, Houston, Texas 77054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each of the investors signatory hereto (individually, a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Buyers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The Company and each Buyer is executing and delivering this Agreement in reliance upon the exemption from securities registration afforded by Section 4(a)(2) of the Securities Act of 1933, as amended (the “</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and Rule 506(b) of Regulation D (“</w:t>
      </w:r>
      <w:r>
        <w:rPr>
          <w:rFonts w:ascii="Times New Roman" w:cs="Times New Roman" w:eastAsia="Times New Roman" w:hAnsi="Times New Roman"/>
          <w:sz w:val="18"/>
          <w:szCs w:val="18"/>
          <w:b w:val="1"/>
          <w:bCs w:val="1"/>
          <w:color w:val="auto"/>
        </w:rPr>
        <w:t>Regulation D</w:t>
      </w:r>
      <w:r>
        <w:rPr>
          <w:rFonts w:ascii="Times New Roman" w:cs="Times New Roman" w:eastAsia="Times New Roman" w:hAnsi="Times New Roman"/>
          <w:sz w:val="18"/>
          <w:szCs w:val="18"/>
          <w:color w:val="auto"/>
        </w:rPr>
        <w:t>”) as promulgated by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under the 1933 Act.</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Each Buyer wishes to purchase, and the Company wishes to sell, upon the terms and conditions stated in this Agreement, (i) such aggregate number of shares of Common Stock as set forth on the signature page of such Buyer attached hereto (which aggregate amount for all Buyers shall be 1,783,805 shares of Common Stock and shall collectively be referred to herein as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xml:space="preserve">”), (ii) a warrant to initially acquire up to that aggregate number of additional shares of Common Stock as set forth on the signature page of such Buyer attached here, substantially in the form attached hereto as </w:t>
      </w:r>
      <w:r>
        <w:rPr>
          <w:rFonts w:ascii="Times New Roman" w:cs="Times New Roman" w:eastAsia="Times New Roman" w:hAnsi="Times New Roman"/>
          <w:sz w:val="18"/>
          <w:szCs w:val="18"/>
          <w:b w:val="1"/>
          <w:bCs w:val="1"/>
          <w:color w:val="auto"/>
        </w:rPr>
        <w:t>Exhibit A-1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Series A Warrants</w:t>
      </w:r>
      <w:r>
        <w:rPr>
          <w:rFonts w:ascii="Times New Roman" w:cs="Times New Roman" w:eastAsia="Times New Roman" w:hAnsi="Times New Roman"/>
          <w:sz w:val="18"/>
          <w:szCs w:val="18"/>
          <w:color w:val="auto"/>
        </w:rPr>
        <w:t>”) (as exercised, collectively, the “</w:t>
      </w:r>
      <w:r>
        <w:rPr>
          <w:rFonts w:ascii="Times New Roman" w:cs="Times New Roman" w:eastAsia="Times New Roman" w:hAnsi="Times New Roman"/>
          <w:sz w:val="18"/>
          <w:szCs w:val="18"/>
          <w:b w:val="1"/>
          <w:bCs w:val="1"/>
          <w:color w:val="auto"/>
        </w:rPr>
        <w:t>Series A Warrant Shares</w:t>
      </w:r>
      <w:r>
        <w:rPr>
          <w:rFonts w:ascii="Times New Roman" w:cs="Times New Roman" w:eastAsia="Times New Roman" w:hAnsi="Times New Roman"/>
          <w:sz w:val="18"/>
          <w:szCs w:val="18"/>
          <w:color w:val="auto"/>
        </w:rPr>
        <w:t xml:space="preserve">”) and (iii) a partially prepaid warrant to initially acquire up to that aggregate number of additional shares of Common Stock as set forth on the signature page of such Buyer attached here, substantially in the form attached hereto as </w:t>
      </w:r>
      <w:r>
        <w:rPr>
          <w:rFonts w:ascii="Times New Roman" w:cs="Times New Roman" w:eastAsia="Times New Roman" w:hAnsi="Times New Roman"/>
          <w:sz w:val="18"/>
          <w:szCs w:val="18"/>
          <w:b w:val="1"/>
          <w:bCs w:val="1"/>
          <w:color w:val="auto"/>
        </w:rPr>
        <w:t>Exhibit A-2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Series B Warrants</w:t>
      </w:r>
      <w:r>
        <w:rPr>
          <w:rFonts w:ascii="Times New Roman" w:cs="Times New Roman" w:eastAsia="Times New Roman" w:hAnsi="Times New Roman"/>
          <w:sz w:val="18"/>
          <w:szCs w:val="18"/>
          <w:color w:val="auto"/>
        </w:rPr>
        <w:t>”, and together with the Series A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(as exercised, collectively, the “</w:t>
      </w:r>
      <w:r>
        <w:rPr>
          <w:rFonts w:ascii="Times New Roman" w:cs="Times New Roman" w:eastAsia="Times New Roman" w:hAnsi="Times New Roman"/>
          <w:sz w:val="18"/>
          <w:szCs w:val="18"/>
          <w:b w:val="1"/>
          <w:bCs w:val="1"/>
          <w:color w:val="auto"/>
        </w:rPr>
        <w:t>Series B Warrant Shares</w:t>
      </w:r>
      <w:r>
        <w:rPr>
          <w:rFonts w:ascii="Times New Roman" w:cs="Times New Roman" w:eastAsia="Times New Roman" w:hAnsi="Times New Roman"/>
          <w:sz w:val="18"/>
          <w:szCs w:val="18"/>
          <w:color w:val="auto"/>
        </w:rPr>
        <w:t>”, and together with the Series B Warrant Shares,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C.       On the date hereof, the parties hereto shall execute and deliver a Registration Rights Agreement, in the form attached hereto as </w:t>
      </w:r>
      <w:r>
        <w:rPr>
          <w:rFonts w:ascii="Times New Roman" w:cs="Times New Roman" w:eastAsia="Times New Roman" w:hAnsi="Times New Roman"/>
          <w:sz w:val="18"/>
          <w:szCs w:val="18"/>
          <w:b w:val="1"/>
          <w:bCs w:val="1"/>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pursuant to which the Company has agreed to provide certain registration rights with respect to the Registrable Securities (as defined in the Registration Rights Agreement), under the 1933 Act and the rules and regulations promulgated thereunder, and applicable state securities laws.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The Common Shares, the Warrants and the Warrant Shares are collectively referred to herein as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covenants contained herein and for other good and valuable consideration, the receipt and sufficiency of which are hereby acknowledged, the Company and each Buyer hereby agree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PURCHASE AND SALE OF COMMON SHARES AND WARRANTS.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Purchase of Common Shares and Warrants</w:t>
      </w:r>
      <w:r>
        <w:rPr>
          <w:rFonts w:ascii="Times New Roman" w:cs="Times New Roman" w:eastAsia="Times New Roman" w:hAnsi="Times New Roman"/>
          <w:sz w:val="18"/>
          <w:szCs w:val="18"/>
          <w:color w:val="auto"/>
        </w:rPr>
        <w:t>. Subject to the satisfaction (or waiver) of the conditions set forth in Sections 6 and 7 below, the Company shall issue and sell to each Buyer, and each Buyer severally, but not jointly, agrees to purchase from the Company on the Closing Date (as defined below) (i) such aggregate number of Common Shares as is set forth on the signature page of such Buyer attached hereto, (ii) Series A Warrants to initially acquire up to that aggregate number of Series A Warrant Shares as set forth on the signature page of such Buyer attached here and (iii) Series B Warrants to initially acquire up to such aggregate number of Series B Warrant Shares as set forth on the signature page of such Buyer attached here.</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of the purchase of the Common Shares and the Warrants by the Buyers shall occur at the offices of Kelley Drye &amp; Warren LLP, 3 World Trade Center, 175 Greenwich Street, New York, NY 10007. The date and time of the Closing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be 10:00 a.m., New York time, on the first (1st) Business Day on which the conditions to the Closing set forth in Sections 6 and 7 below are satisfied or waived (or such other date as is mutually agreed to by the Company and each Buyer). As used herein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8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The aggregate purchase price for the Common Shares and the Warrants to be purchased by each Buyer (the “</w:t>
      </w:r>
      <w:r>
        <w:rPr>
          <w:rFonts w:ascii="Times New Roman" w:cs="Times New Roman" w:eastAsia="Times New Roman" w:hAnsi="Times New Roman"/>
          <w:sz w:val="18"/>
          <w:szCs w:val="18"/>
          <w:b w:val="1"/>
          <w:bCs w:val="1"/>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 shall be the aggregate purchase price of such Buyer set forth on the signature page of such Buyer attached hereto (representing $3.20 per each 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consisting of one (1) Common Share (or a Series B Prepaid Warrant to purchase one (1) Warrant Share) and a Series A Warrant to purchase one (1) Warrant Share, and a maximum aggregate Purchase Price of $16,100,000).</w:t>
      </w:r>
    </w:p>
    <w:p>
      <w:pPr>
        <w:spacing w:after="0" w:line="180"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u w:val="single" w:color="auto"/>
          <w:color w:val="auto"/>
        </w:rPr>
        <w:t>Form of Payment</w:t>
      </w:r>
      <w:r>
        <w:rPr>
          <w:rFonts w:ascii="Times New Roman" w:cs="Times New Roman" w:eastAsia="Times New Roman" w:hAnsi="Times New Roman"/>
          <w:sz w:val="17"/>
          <w:szCs w:val="17"/>
          <w:color w:val="auto"/>
        </w:rPr>
        <w:t>. On the Closing Date, (i) each Buyer shall pay its respective Purchase Price (less, in the case of any Buyer, the amounts withheld pursuant to Section 4(g)) to the Company for the Common Shares and the Warrants to be issued and sold to such Buyer at the Closing, by wire transfer of immediately available funds in accordance with the Flow of Funds Letter (as defined below) and (ii) the Company shall deliver to each Buyer</w:t>
      </w:r>
    </w:p>
    <w:p>
      <w:pPr>
        <w:spacing w:after="0" w:line="2" w:lineRule="exact"/>
        <w:rPr>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 certificate of the Company for such aggregate number of Common Shares as is set forth on the signature page of such Buyer attached hereto,</w:t>
      </w:r>
    </w:p>
    <w:p>
      <w:pPr>
        <w:spacing w:after="0" w:line="9" w:lineRule="exact"/>
        <w:rPr>
          <w:rFonts w:ascii="Times New Roman" w:cs="Times New Roman" w:eastAsia="Times New Roman" w:hAnsi="Times New Roman"/>
          <w:sz w:val="18"/>
          <w:szCs w:val="18"/>
          <w:color w:val="auto"/>
        </w:rPr>
      </w:pPr>
    </w:p>
    <w:p>
      <w:pPr>
        <w:jc w:val="both"/>
        <w:ind w:firstLine="8"/>
        <w:spacing w:after="0" w:line="255" w:lineRule="auto"/>
        <w:tabs>
          <w:tab w:leader="none" w:pos="28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Series A Warrant to initially acquire up to that aggregate number of Series A Warrant Shares as set forth on the signature page of such Buyer attached here and (C) a Series B Warrant to initially acquire up to such aggregate number of Series B Warrant Shares as set forth on the signature page of such Buyer attached here, in each case, duly executed on behalf of the Company and registered in the name of such Buyer or its designee.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Placement Agent Fees</w:t>
      </w:r>
      <w:r>
        <w:rPr>
          <w:rFonts w:ascii="Times New Roman" w:cs="Times New Roman" w:eastAsia="Times New Roman" w:hAnsi="Times New Roman"/>
          <w:sz w:val="18"/>
          <w:szCs w:val="18"/>
          <w:color w:val="auto"/>
        </w:rPr>
        <w:t>. On the Closing Date, the Company shall pay to Canaccord Genuity LLC and Brookline Capital Markets, a division of Arcadia Securities, LLC, as placement agents (the “</w:t>
      </w:r>
      <w:r>
        <w:rPr>
          <w:rFonts w:ascii="Times New Roman" w:cs="Times New Roman" w:eastAsia="Times New Roman" w:hAnsi="Times New Roman"/>
          <w:sz w:val="18"/>
          <w:szCs w:val="18"/>
          <w:b w:val="1"/>
          <w:bCs w:val="1"/>
          <w:color w:val="auto"/>
        </w:rPr>
        <w:t>Placement Agents</w:t>
      </w:r>
      <w:r>
        <w:rPr>
          <w:rFonts w:ascii="Times New Roman" w:cs="Times New Roman" w:eastAsia="Times New Roman" w:hAnsi="Times New Roman"/>
          <w:sz w:val="18"/>
          <w:szCs w:val="18"/>
          <w:color w:val="auto"/>
        </w:rPr>
        <w:t>”), all fees and expenses due to the Placement Agents as of such Closing Date by wire transfer of immediately available funds in accordance with the Placement Agents’ written wire instructions.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BUYER’S REPRESENTATIONS AND WARRANTIES.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Buyer, severally and not jointly, represents and warrants to the Company and the Placement Agents with respect to only itself that, as of the date hereof and as of the Closing Date: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Buyer is an entity duly organized, validly existing and in good standing under the laws of the jurisdiction of its organization with the requisite power and authority to enter into and to consummate the transactions contemplated by the Transaction Documents (as defined below) to which it is a party and otherwise to carry out its obligations hereunder and thereunder.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No Public Sale or Distribution</w:t>
      </w:r>
      <w:r>
        <w:rPr>
          <w:rFonts w:ascii="Times New Roman" w:cs="Times New Roman" w:eastAsia="Times New Roman" w:hAnsi="Times New Roman"/>
          <w:sz w:val="18"/>
          <w:szCs w:val="18"/>
          <w:color w:val="auto"/>
        </w:rPr>
        <w:t>. Such Buyer (i) is acquiring its Common Shares and Warrants, and (ii) upon exercise of its Warrants (other than pursuant to a Cashless Exercise (as defined in the Warrants)) will acquire the Warrant Shares issuable upon exercise thereof, in each case, for its own account and not with a view towards, or for resale in connection with, the public sale or distribution thereof in violation of applicable securities laws, except pursuant to sales registered or exempted under the 1933 Act; provided, however, by making the representations herein, such Buyer does not agree, or make any representation or warranty, to hold any of the Securities for any minimum or other specific term and reserves the right to dispose of the Securities at any time in accordance with or pursuant to a registration statement or an exemption from registration under the 1933 Act. Such Buyer does not presently have any agreement or understanding, directly or indirectly, with any Person to distribute any of the Securities in violation of applicable securities laws. For purposes of this Agreement,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and any Governmental Entity or any department or agency thereof.</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Accredited Investor Status</w:t>
      </w:r>
      <w:r>
        <w:rPr>
          <w:rFonts w:ascii="Times New Roman" w:cs="Times New Roman" w:eastAsia="Times New Roman" w:hAnsi="Times New Roman"/>
          <w:sz w:val="18"/>
          <w:szCs w:val="18"/>
          <w:color w:val="auto"/>
        </w:rPr>
        <w:t>. Such Buyer is an “accredited investor” as that term is defined in Rule 501(a) of Regulation 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Reliance on Exemptions</w:t>
      </w:r>
      <w:r>
        <w:rPr>
          <w:rFonts w:ascii="Times New Roman" w:cs="Times New Roman" w:eastAsia="Times New Roman" w:hAnsi="Times New Roman"/>
          <w:sz w:val="18"/>
          <w:szCs w:val="18"/>
          <w:color w:val="auto"/>
        </w:rPr>
        <w:t>. Such Buyer understands that the Securities are being offered and sold to it in reliance on specific exemptions from the registration requirements of United States federal and state securities laws and that the Company is relying in part upon the truth and accuracy of, and such Buyer’s compliance with, the representations, warranties, agreements, acknowledgments and understandings of such Buyer set forth herein in order to determine the availability of such exemptions and the eligibility of such Buyer to acquire the Securities.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Such Buyer and its advisors, if any, have been furnished with all materials relating to the business, finances and operations of the Company and materials relating to the offer and sale of the Securities that have been requested by such Buyer. Such Buyer and its advisors, if any, have been afforded the opportunity to ask questions of the Company. Neither such inquiries nor any other due diligence investigations conducted by such Buyer or its advisors, if any, or its representatives shall modify, amend or affect such Buyer’s right to rely on the Company’s representations and warranties contained herein. Such Buyer understands that its investment in the Securities involves a high degree of risk. Such Buyer has sought such accounting, legal and tax advice as it has considered necessary to make an informed investment decision with respect to its acquisition of the Securities.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No Governmental Review</w:t>
      </w:r>
      <w:r>
        <w:rPr>
          <w:rFonts w:ascii="Times New Roman" w:cs="Times New Roman" w:eastAsia="Times New Roman" w:hAnsi="Times New Roman"/>
          <w:sz w:val="18"/>
          <w:szCs w:val="18"/>
          <w:color w:val="auto"/>
        </w:rPr>
        <w:t>. Such Buyer understands that no United States federal or state agency or any other government or governmental agency has passed on or made any recommendation or endorsement of the Securities or the fairness or suitability of the investment in the Securities nor have such authorities passed upon or endorsed the merits of the offering of the Securities.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Transfer or Resale</w:t>
      </w:r>
      <w:r>
        <w:rPr>
          <w:rFonts w:ascii="Times New Roman" w:cs="Times New Roman" w:eastAsia="Times New Roman" w:hAnsi="Times New Roman"/>
          <w:sz w:val="18"/>
          <w:szCs w:val="18"/>
          <w:color w:val="auto"/>
        </w:rPr>
        <w:t>. Such Buyer understands that except as provided in the Registration Rights Agreement and Section 4(h) hereof: (i) the Securities have not been and are not being registered under the 1933 Act or any state securities laws, and may not be offered for sale, sold, assigned or transferred unless (A) subsequently registered thereunder, (B) such Buyer shall have delivered to the Company (if requested by the Company) an opinion of counsel, in a form reasonably acceptable to the Company, to the effect that such Securities to be sold, assigned or transferred may be sold, assigned or transferred pursuant to an exemption from such registration, or (C) such Buyer provides the Company with reasonable assurance that such Securities can be sold, assigned or transferred pursuant to Rule 144 or Rule 144A promulgated under the 1933 Act (or a successor rule thereto) (collectively, “</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w:t>
      </w:r>
    </w:p>
    <w:p>
      <w:pPr>
        <w:spacing w:after="0" w:line="5" w:lineRule="exact"/>
        <w:rPr>
          <w:sz w:val="20"/>
          <w:szCs w:val="20"/>
          <w:color w:val="auto"/>
        </w:rPr>
      </w:pPr>
    </w:p>
    <w:p>
      <w:pPr>
        <w:jc w:val="both"/>
        <w:ind w:firstLine="8"/>
        <w:spacing w:after="0" w:line="251" w:lineRule="auto"/>
        <w:tabs>
          <w:tab w:leader="none" w:pos="2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of the Securities made in reliance on Rule 144 may be made only in accordance with the terms of Rule 144, and further, if Rule 144 is not applicable, any resale of the Securities under circumstances in which the seller (or the Person through whom the sale is made) may be deemed to be an underwriter (as that term is defined in the 1933 Act) may require compliance with some other exemption under the 1933 Act or the rules and regulations of the SEC promulgated thereunder; and (iii) neither the Company nor any other Person is under any obligation to register the Securities under the 1933 Act or any state securities laws or to comply with the terms and conditions of any exemption thereunder. Notwithstanding the foregoing, the Securities may be pledged in connection with a bona fide margin account or other loan or financing arrangement secured by the Securities and such pledge of Securities shall not be deemed to be a transfer, sale or assignment of the Securities hereunder, and no Buyer effecting a pledge of Securities shall be required to provide the Company with any notice thereof or otherwise make any delivery to the Company pursuant to this Agreement or any other Transaction Document (as defined in Section 3(b)), including, without limitation, this Section 2(g).</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Validity; Enforcement</w:t>
      </w:r>
      <w:r>
        <w:rPr>
          <w:rFonts w:ascii="Times New Roman" w:cs="Times New Roman" w:eastAsia="Times New Roman" w:hAnsi="Times New Roman"/>
          <w:sz w:val="18"/>
          <w:szCs w:val="18"/>
          <w:color w:val="auto"/>
        </w:rPr>
        <w:t>. This Agreement and the Registration Rights Agreement have been duly and validly authorized, executed and delivered on behalf of such Buyer and shall constitute the legal, valid and binding obligations of such Buyer enforceable against such Buyer in accordance with their respective terms, except as such enforceability may be limited by general principles of equity or to applicable bankruptcy, insolvency, reorganization, moratorium, liquidation and other similar laws relating to, or affecting generally, the enforcement of applicable creditors’ rights and remedies.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such Buyer of this Agreement and the Registration Rights Agreement and the consummation by such Buyer of the transactions contemplated hereby and thereby will not (i) result in a violation of the organizational documents of such Buyer, or (ii) conflict with, or constitute a default (or an event which with notice or lapse of time or both would become a default) under, or give to others any rights of termination, amendment, acceleration or cancellation of, any agreement, indenture or instrument to which such Buyer is a party, or (iii) result in a violation of any law, rule, regulation, order, judgment or decree (including federal and state securities laws) applicable to such Buyer, except in the case of clauses (ii) and (iii) above, for such conflicts, defaults, rights or violations which could not, individually or in the aggregate, reasonably be expected to have a material adverse effect on the ability of such Buyer to perform its obligations hereunder.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u w:val="single" w:color="auto"/>
          <w:color w:val="auto"/>
        </w:rPr>
        <w:t>Residency</w:t>
      </w:r>
      <w:r>
        <w:rPr>
          <w:rFonts w:ascii="Times New Roman" w:cs="Times New Roman" w:eastAsia="Times New Roman" w:hAnsi="Times New Roman"/>
          <w:sz w:val="18"/>
          <w:szCs w:val="18"/>
          <w:color w:val="auto"/>
        </w:rPr>
        <w:t>. Such Buyer is a resident of that jurisdiction specified below its address on the signature page of such Buyer attached hereto.</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u w:val="single" w:color="auto"/>
          <w:color w:val="auto"/>
        </w:rPr>
        <w:t>Independent Evaluation</w:t>
      </w:r>
      <w:r>
        <w:rPr>
          <w:rFonts w:ascii="Times New Roman" w:cs="Times New Roman" w:eastAsia="Times New Roman" w:hAnsi="Times New Roman"/>
          <w:sz w:val="18"/>
          <w:szCs w:val="18"/>
          <w:color w:val="auto"/>
        </w:rPr>
        <w:t>. Such Buyer confirms and agrees that (i) it has independently evaluated the merits of its decision to purchase the Securities, (ii) it has not relied on the advice of, or any representations by the Placement Agents or any affiliate thereof or any representative of any of the Placement Agents or their respective affiliates in making such decision, and (iii) neither the Placement Agents nor any of their representatives have any responsibility with respect to the completeness or accuracy of any information or materials furnished to such Buyer in connection with the transactions contemplated hereby.</w:t>
      </w:r>
    </w:p>
    <w:p>
      <w:pPr>
        <w:spacing w:after="0" w:line="18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 xml:space="preserve">(l)                 </w:t>
      </w:r>
      <w:r>
        <w:rPr>
          <w:rFonts w:ascii="Times New Roman" w:cs="Times New Roman" w:eastAsia="Times New Roman" w:hAnsi="Times New Roman"/>
          <w:sz w:val="17"/>
          <w:szCs w:val="17"/>
          <w:u w:val="single" w:color="auto"/>
          <w:color w:val="auto"/>
        </w:rPr>
        <w:t>Acknowledgement of Risk</w:t>
      </w:r>
      <w:r>
        <w:rPr>
          <w:rFonts w:ascii="Times New Roman" w:cs="Times New Roman" w:eastAsia="Times New Roman" w:hAnsi="Times New Roman"/>
          <w:sz w:val="17"/>
          <w:szCs w:val="17"/>
          <w:color w:val="auto"/>
        </w:rPr>
        <w:t>. Such Buyer acknowledges and understands that its investment in the Securities involves a significant degree of risk, including, without limitation, (i) the Company remains an early stage business with limited operating history and requires substantial funds in addition to the proceeds from the sale of the Securities; (ii) an investment in the Company is speculative, and only purchasers who can afford the loss of their entire investment should consider investing in the Company and the Securities; (iii) such Buyer may not be able to liquidate its investment; (iv) transferability of the Securities is limited; (v) in the event of a disposition of the Securities, such Buyer could sustain the loss of its entire investment; and (vi) the Company has not paid any dividends on its Common Stock since inception and does not anticipate the payment of dividends in the foreseeable future.</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u w:val="single" w:color="auto"/>
          <w:color w:val="auto"/>
        </w:rPr>
        <w:t>Acknowledgements Regarding Placement Agents</w:t>
      </w:r>
      <w:r>
        <w:rPr>
          <w:rFonts w:ascii="Times New Roman" w:cs="Times New Roman" w:eastAsia="Times New Roman" w:hAnsi="Times New Roman"/>
          <w:sz w:val="18"/>
          <w:szCs w:val="18"/>
          <w:color w:val="auto"/>
        </w:rPr>
        <w:t>. Such Buyer acknowledges that the Placement Agents are acting as the exclusive placement agents on a “best efforts” basis for the Securities being offered hereby and will be compensated by the Company for acting in such capacity. Such Buyer represents that (i) such Buyer was contacted regarding the sale of the Securities by the Placement Agents (or an authorized agent or representative thereof) with whom such Buyer had a substantial pre-existing relationship and who entered into a confidentiality agreement or otherwise agreed, orally or in writing, to keep information with respect to the transactions contemplated hereby confidential and (ii) to such Buyer’s knowledge, no Securities were offered or sold to such Buyer by means of any form of general solicitation or general advertising.</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(n)               </w:t>
      </w:r>
      <w:r>
        <w:rPr>
          <w:rFonts w:ascii="Times New Roman" w:cs="Times New Roman" w:eastAsia="Times New Roman" w:hAnsi="Times New Roman"/>
          <w:sz w:val="18"/>
          <w:szCs w:val="18"/>
          <w:u w:val="single" w:color="auto"/>
          <w:color w:val="auto"/>
        </w:rPr>
        <w:t>Insider Participation Acknowledgement</w:t>
      </w:r>
      <w:r>
        <w:rPr>
          <w:rFonts w:ascii="Times New Roman" w:cs="Times New Roman" w:eastAsia="Times New Roman" w:hAnsi="Times New Roman"/>
          <w:sz w:val="18"/>
          <w:szCs w:val="18"/>
          <w:color w:val="auto"/>
        </w:rPr>
        <w:t>. Such Buyer understands and acknowledges that the Common Shares and Warrants may be purchased by officers, directors, employees, and affiliates of the Company, and by other Persons who will receive fees or other compensation or gain dependent upon the success of this offering of Common Shares and Warrants, including, without limitation, the Placement Agent and its employees and affiliates. Such purchases may be made at any time. Such Buyer therefore understands and acknowledges that it does and should not expect that the sale of sufficient Common Shares and Warrants to reach any specific amount to indicate that such sale has been made to Buyers who have no financial or other interest in this offering, or who otherwise are exercising independent investment discretion. The sale of any specific amount of Common Stock, while potentially desirable for purposes of the business operations of the Company, would not be designed as a protection to Buyers or to indicate that any Buyer’s investment decision is shared by other unaffiliated Buyers. Because there may be substantial purchases by officers, directors, employees and affiliates of the Company or by other persons who will receive fees or other compensation or gain dependent upon the success of this offering of Common Stock, no Buyer should place any reliance on the sale of any specific amount of Common Stock or any other amount of the common stock as an indication of the merits of this offering. Each Buyer must make such Buyer’s own investment decision as to the merits of the offering.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3.                  REPRESENTATIONS AND WARRANTIES OF THE COMPANY.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represents and warrants to each of the Buyers and the Placement Agents that, as of the date hereof and as of the Closing Date: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Each of the Company and each of its Subsidiaries are entities duly organized and validly existing and in good standing under the laws of the jurisdiction in which they are formed, and have the requisite power and authority to own their properties and to carry on their business as now being conducted and as presently proposed to be conducted. Each of the Company and each of its Subsidiaries is duly qualified as a foreign entity to do business and is in good standing in every jurisdiction in which its ownership of property or the nature of the business conducted by it makes such qualification necessary, except to the extent that the failure to be so qualified or be in good standing would not reasonably be expected to have a Material Adverse Effect (as defined below). As used in this Agreement,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any material adverse effect on (i) the business, properties, assets, liabilities, operations (including results thereof), condition (financial or otherwise) or prospects of the Company or any Subsidiary, individually or taken as a whole, (ii) the transactions contemplated hereby or in any of the other Transaction Documents or any other agreements or instruments to be entered into in connection herewith or therewith or (iii) the authority or ability of the Company or any of its Subsidiaries to perform any of their respective obligations under any of the Transaction Documents (as defined below). Other than the Persons (as defined below) set forth on Schedule 3(a), the Company has no Subsidiaries.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means any Person in which the Company, directly or indirectly, (I) owns any of the outstanding capital stock or holds any equity or similar interest of such Person or (II) controls or operates all or any part of the business, operations or administration of such Person, and each of the foregoing, is individually referred to herein as a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Authorization; Enforcement; Validity</w:t>
      </w:r>
      <w:r>
        <w:rPr>
          <w:rFonts w:ascii="Times New Roman" w:cs="Times New Roman" w:eastAsia="Times New Roman" w:hAnsi="Times New Roman"/>
          <w:sz w:val="18"/>
          <w:szCs w:val="18"/>
          <w:color w:val="auto"/>
        </w:rPr>
        <w:t>. The Company has the requisite power and authority to enter into and perform its obligations under this Agreement and the other Transaction Documents and to issue the Securities in accordance with the terms hereof and thereof. Each Subsidiary has the requisite power and authority to enter into and perform its obligations under the Transaction Documents to which it is a party. The execution and delivery of this Agreement and the other Transaction Documents by the Company and its Subsidiaries, and the consummation by the Company and its Subsidiaries of the transactions contemplated hereby and thereby (including, without limitation, the issuance of the Common Shares and the issuance of the Warrants and the reservation for issuance and issuance of the Warrant Shares issuable upon exercise of the Warrants) have been duly authorized by the Company’s board of directors and each of its Subsidiaries’ board of directors or other governing body, as applicable, and (other than the filing with the SEC of one or more Registration Statements in accordance with the requirements of the Registration Rights Agreement, a Form D with the SEC and any other filings as may be required by any state securities agencies) no further filing, consent or authorization is required by the Company, its Subsidiaries, their respective boards of directors or their stockholders or other governing body. This Agreement has been, and the other Transaction Documents to which it is a party will be prior to the Closing, duly executed and delivered by the Company, and each constitutes the legal, valid and binding obligations of the Company, enforceable against the Company in accordance with its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means, collectively, this Agreement, the Common Shares, the Warrants, the Voting Agreements (as defined below), the Registration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Irrevocable Transfer Agent Instructions (as defined below) and each of the other agreements and instruments entered into or delivered by any of the parties hereto in connection with the transactions contemplated hereby and thereby, as may be amended from time to time.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Issuance of Securities</w:t>
      </w:r>
      <w:r>
        <w:rPr>
          <w:rFonts w:ascii="Times New Roman" w:cs="Times New Roman" w:eastAsia="Times New Roman" w:hAnsi="Times New Roman"/>
          <w:sz w:val="18"/>
          <w:szCs w:val="18"/>
          <w:color w:val="auto"/>
        </w:rPr>
        <w:t>. The issuance of the Common Shares and the Warrants are duly authorized and upon issuance in accordance with the terms of the Transaction Documents shall be validly issued, fully paid and non-assessable and free from all preemptive or similar rights, mortgages, defects, claims, liens, pledges, charges, taxes, rights of first refusal, encumbrances, security interests and other encumbrances (collectively “</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with respect to the issuance thereof. As of the Closing, the Company shall have reserved from its duly authorized capital stock not less than 100% of the maximum number of Warrant Shares initially issuable upon exercise of the Warrants (without taking into account any limitations on the exercise of the Warrants set forth therein). Upon issuance or exercise in accordance with the Warrants, the Warrant Shares, when issued, will be validly issued, fully paid and nonassessable and free from all preemptive or similar rights or Liens with respect to the issue thereof, with the holders being entitled to all rights accorded to a holder of Common Stock. Subject to the accuracy of the representations and warranties of the Buyers in this Agreement, the offer and issuance by the Company of the Securities is exempt from registration under the 1933 Act.</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xml:space="preserve">. The execution, delivery and performance of the Transaction Documents by the Company and the consummation by the Company of the transactions contemplated hereby and thereby (including, without limitation, the issuance of the Common Shares, the Warrants and the Warrant Shares and the reservation for issuance of the Warrant Shares) will not (i) result in a violation of the Certificate of Incorporation (as defined below) (including, without limitation, any certificate of designation contained therein), Bylaws (as defined below), certificate of formation, memorandum of association, articles of association, bylaws or other organizational documents of the Company or any of its Subsidiaries, or any capital stock or other securities of the Company or any of its Subsidiaries, (ii) conflict with, or constitute a default (or an event which with notice or lapse of time or both would become a default) in any respect under, or give to others any rights of termination, amendment, acceleration or cancellation of, any agreement, indenture or instrument to which the Company or any of its Subsidiaries is a party, or (iii) result in a violation of any law, rule, regulation, order, judgment or decree (including, without limitation, foreign, federal and state securities laws and regulations and the rules and regulations of the Nasdaq Capital Market (the </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and including all applicable foreign, federal and state laws, rules and regulations) applicable to the Company or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or by which any property or asset of the Company or any of its Subsidiaries is bound or affected.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Neither the Company nor any Subsidiary is required to obtain any consent from, authorization or order of, or make any filing or registration with (other than the filing with the SEC of one or more Registration Statements in accordance with the requirements of the Registration Rights Agreement, a Form D with the SEC and any other filings as may be required by any state securities agencies), any Governmental Entity (as defined below) or any regulatory or self-regulatory agency or any other Person in order for it to execute, deliver or perform any of its respective obligations under or contemplated by the Transaction Documents, in each case, in accordance with the terms hereof or thereof. All consents, authorizations, orders, filings and registrations which the Company or any Subsidiary is required to obtain pursuant to the preceding sentence have been or will be obtained or effected on or prior to the Closing Date, and neither the Company nor any of its Subsidiaries are aware of any facts or circumstances which might prevent the Company or any of its Subsidiaries from obtaining or effecting any of the registration, application or filings contemplated by the Transaction Documents. The Company is not in violation of the requirements of the Principal Market and has no knowledge of any facts or circumstances which could reasonably lead to delisting or suspension of the Common Stock in the foreseeable future. “</w:t>
      </w:r>
      <w:r>
        <w:rPr>
          <w:rFonts w:ascii="Times New Roman" w:cs="Times New Roman" w:eastAsia="Times New Roman" w:hAnsi="Times New Roman"/>
          <w:sz w:val="18"/>
          <w:szCs w:val="18"/>
          <w:b w:val="1"/>
          <w:bCs w:val="1"/>
          <w:color w:val="auto"/>
        </w:rPr>
        <w:t>Governmental Entity</w:t>
      </w:r>
      <w:r>
        <w:rPr>
          <w:rFonts w:ascii="Times New Roman" w:cs="Times New Roman" w:eastAsia="Times New Roman" w:hAnsi="Times New Roman"/>
          <w:sz w:val="18"/>
          <w:szCs w:val="18"/>
          <w:color w:val="auto"/>
        </w:rPr>
        <w:t>” means any nation, state, county, city, town, village, district, or other political jurisdiction of any nature, federal, state, local, municipal, foreign, or other government, governmental or quasi-governmental authority of any nature (including any governmental agency, branch, department, official, or entity and any court or other tribunal), multi-national organization or body; or body exercising, or entitled to exercise, any administrative, executive, judicial, legislative, police, regulatory, or taxing authority or power of any nature or instrumentality of any of the foregoing, including any entity or enterprise owned or controlled by a government or a public international organization or any of the foregoing.</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Acknowledgment Regarding Buyer’s Purchase of Securities</w:t>
      </w:r>
      <w:r>
        <w:rPr>
          <w:rFonts w:ascii="Times New Roman" w:cs="Times New Roman" w:eastAsia="Times New Roman" w:hAnsi="Times New Roman"/>
          <w:sz w:val="18"/>
          <w:szCs w:val="18"/>
          <w:color w:val="auto"/>
        </w:rPr>
        <w:t>. The Company acknowledges and agrees that each Buyer is acting solely in the capacity of an arm’s length purchaser with respect to the Transaction Documents and the transactions contemplated hereby and thereby and that no Buyer is (i) an officer or director of the Company or any of its Subsidiaries, (ii) an “affiliate” (as defined in Rule 144) of the Company or any of its Subsidiaries or (iii) to its knowledge, a “beneficial owner” of more than 10% of the shares of Common Stock (as defined for purposes of Rule 13d-3 of the Securities Exchange Act of 1934, as amended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The Company further acknowledges that no Buyer is acting as a financial advisor or fiduciary of the Company or any of its Subsidiaries (or in any similar capacity) with respect to the Transaction Documents and the transactions contemplated hereby and thereby, and any advice given by a Buyer or any of its representatives or agents in connection with the Transaction Documents and the transactions contemplated hereby and thereby is merely incidental to such Buyer’s purchase of the Securities. The Company further represents to each Buyer that the Company’s and each Subsidiary’s decision to enter into the Transaction Documents to which it is a party has been based solely on the independent evaluation by the Company, each Subsidiary and their respective representatives.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No General Solicitation; Placement Agent’s Fees</w:t>
      </w:r>
      <w:r>
        <w:rPr>
          <w:rFonts w:ascii="Times New Roman" w:cs="Times New Roman" w:eastAsia="Times New Roman" w:hAnsi="Times New Roman"/>
          <w:sz w:val="18"/>
          <w:szCs w:val="18"/>
          <w:color w:val="auto"/>
        </w:rPr>
        <w:t>. Neither the Company, nor any of its Subsidiaries or affiliates, nor any Person acting on its or their behalf, has engaged in any form of general solicitation or general advertising (within the meaning of Regulation D) in connection with the offer or sale of the Securities. The Company shall be responsible for the payment of any placement agents’ fees, financial advisory fees, or brokers’ commissions (other than for Persons engaged by any Buyer or its investment advisor) relating to or arising out of the transactions contemplated hereby, including, without limitation, placement agent fees payable to the Placement Agents in connection with the sale of the Securities. The fees and expenses of the Placement Agents to be paid by the Company or any of its Subsidiaries are as set forth on Schedule 3(g) attached hereto. The Company shall pay, and hold each Buyer harmless against, any liability, loss or expense (including, without limitation, attorney’s fees and out-of-pocket expenses) arising in connection with any such claim. The Company acknowledges that it has engaged the Placement Agents in connection with the sale of the Securities. Other than the Placement Agents, neither the Company nor any of its Subsidiaries has engaged any placement agent or other agent in connection with the offer or sale of the Securities.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None of the Company, its Subsidiaries or any of their affiliates, nor any Person acting on their behalf has, directly or indirectly, made any offers or sales of any security or solicited any offers to buy any security, under circumstances that would require registration of the issuance of any of the Securities under the 1933 Act, whether through integration with prior offerings or otherwise, or cause this offering of the Securities to require approval of stockholders of the Company for purposes of the 1933 Act or under any applicable stockholder approval provisions, including, without limitation, under the rules and regulations of any exchange or automated quotation system on which any of the securities of the Company are listed or designated for quotation. None of the Company, its Subsidiaries, their affiliates nor any Person acting on their behalf will take any action or steps that would require registration of the issuance of any of the Securities under the 1933 Act or cause the offering of any of the Securities to be integrated with other offerings of securities of the Company.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Dilutive Effect</w:t>
      </w:r>
      <w:r>
        <w:rPr>
          <w:rFonts w:ascii="Times New Roman" w:cs="Times New Roman" w:eastAsia="Times New Roman" w:hAnsi="Times New Roman"/>
          <w:sz w:val="18"/>
          <w:szCs w:val="18"/>
          <w:color w:val="auto"/>
        </w:rPr>
        <w:t>. The Company understands and acknowledges that the number of Warrant Shares will increase in certain circumstances. The Company further acknowledges that its obligation to issue the Warrant Shares upon exercise of the Warrants in accordance with this Agreement and the Warrants is absolute and unconditional regardless of the dilutive effect that such issuance may have on the ownership interests of other stockholders of the Company.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u w:val="single" w:color="auto"/>
          <w:color w:val="auto"/>
        </w:rPr>
        <w:t>Application of Takeover Protections; Rights Agreement</w:t>
      </w:r>
      <w:r>
        <w:rPr>
          <w:rFonts w:ascii="Times New Roman" w:cs="Times New Roman" w:eastAsia="Times New Roman" w:hAnsi="Times New Roman"/>
          <w:sz w:val="18"/>
          <w:szCs w:val="18"/>
          <w:color w:val="auto"/>
        </w:rPr>
        <w:t>. The Company and its board of directors have taken all necessary action, if any, in order to render inapplicable any control share acquisition, interested stockholder, business combination, poison pill (including, without limitation, any distribution under a rights agreement), stockholder rights plan or other similar anti-takeover provision under the Certificate of Incorporation, Bylaws or other organizational documents or the laws of the jurisdiction of its incorporation or otherwise which is or could become applicable to any Buyer as a result of the transactions contemplated by this Agreement, including, without limitation, the Company’s issuance of the Securities and any Buyer’s ownership of the Securities. The Company and its board of directors have taken all necessary action, if any, in order to render inapplicable any stockholder rights plan or similar arrangement relating to accumulations of beneficial ownership of shares of Common Stock or a change in control of the Company or any of its Subsidiaries.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u w:val="single" w:color="auto"/>
          <w:color w:val="auto"/>
        </w:rPr>
        <w:t>SEC Documents; Financial Statements</w:t>
      </w:r>
      <w:r>
        <w:rPr>
          <w:rFonts w:ascii="Times New Roman" w:cs="Times New Roman" w:eastAsia="Times New Roman" w:hAnsi="Times New Roman"/>
          <w:sz w:val="18"/>
          <w:szCs w:val="18"/>
          <w:color w:val="auto"/>
        </w:rPr>
        <w:t>. During the two (2) years prior to the date hereof, the Company has timely filed all reports, schedules, forms, proxy statements, statements and other documents required to be filed by it with the SEC pursuant to the reporting requirements of the 1934 Act (all of the foregoing filed prior to the date hereof and all exhibits and appendices included therein and financial statements, notes and schedules thereto and documents incorporated by reference therein being hereinafter referred to as the “</w:t>
      </w:r>
      <w:r>
        <w:rPr>
          <w:rFonts w:ascii="Times New Roman" w:cs="Times New Roman" w:eastAsia="Times New Roman" w:hAnsi="Times New Roman"/>
          <w:sz w:val="18"/>
          <w:szCs w:val="18"/>
          <w:b w:val="1"/>
          <w:bCs w:val="1"/>
          <w:color w:val="auto"/>
        </w:rPr>
        <w:t>SEC Documents</w:t>
      </w:r>
      <w:r>
        <w:rPr>
          <w:rFonts w:ascii="Times New Roman" w:cs="Times New Roman" w:eastAsia="Times New Roman" w:hAnsi="Times New Roman"/>
          <w:sz w:val="18"/>
          <w:szCs w:val="18"/>
          <w:color w:val="auto"/>
        </w:rPr>
        <w:t>”). The Company has delivered or has made available to the Buyers or their respective representatives true, correct and complete copies of each of the SEC Documents not available on the EDGAR system.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Documents complied in all material respects with applicable accounting requirements and the published rules and regulations of the SEC with respect thereto as in effect as of the time of filing. Such financial statements have been prepared in accordance with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which will not be material, either individually or in the aggregate). The reserves, if any, established by the Company or the lack of reserves, if applicable, are reasonable based upon facts and circumstances known by the Company on the date hereof and there are no loss contingencies that are required to be accrued by the Statement of Financial Accounting Standard No. 5 of the Financial Accounting Standards Board which are not provided for by the Company in its financial statements or otherwise. No other information provided by or on behalf of the Company to any of the Buyers which is not included in the SEC Documents (including, without limitation, information referred to in Section 2(e) of this Agreement or in the disclosure schedules to this Agreement) contains any untrue statement of a material fact or omits to state any material fact necessary in order to make the statements therein not misleading, in the light of the circumstance under which they are or were made. The Company is not currently contemplating to amend or restate any of the financial statements (including, without limitation, any notes or any letter of the independent accountants of the Company with respect thereto) included in the SEC Documents (the “</w:t>
      </w:r>
      <w:r>
        <w:rPr>
          <w:rFonts w:ascii="Times New Roman" w:cs="Times New Roman" w:eastAsia="Times New Roman" w:hAnsi="Times New Roman"/>
          <w:sz w:val="18"/>
          <w:szCs w:val="18"/>
          <w:b w:val="1"/>
          <w:b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 nor is the Company currently aware of facts or circumstances which would require the Company to amend or restate any of the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in each case, in order for any of the Financials Statements to be in compliance with GAAP and the rules and regulations of the SEC. The Company has not been informed by its independent accountants that they recommend that the Company amend or restate any of the Financial Statements or that there is any need for the Company to amend or restate any of the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Since the date of the Company’s most recent audited financial statements contained in a Form 10-K, there has been no material adverse change and no material adverse development in the business, assets, liabilities, properties, operations (including results thereof), condition (financial or otherwise) or prospects of the Company or any of its Subsidiaries. Since the date of the Company’s most recent audited financial statements contained in a Form 10-K, neither the Company nor any of its Subsidiaries has (i) declared or paid any dividends, (ii) sold any assets, individually or in the aggregate, outside of the ordinary course of business or (iii) made any capital expenditures, individually or in the aggregate, outside of the ordinary course of business. Neither the Company nor any of its Subsidiaries has taken any steps to seek protection pursuant to any law or statute relating to bankruptcy, insolvency, reorganization, receivership, liquidation or winding up, nor does the Company or any Subsidiary have any knowledge or reason to believe that any of their respective creditors intend to initiate involuntary bankruptcy proceedings or any actual knowledge of any fact which would reasonably lead a creditor to do so. The Company and its Subsidiaries, individually and on a consolidated basis, are not as of the date hereof, and after giving effect to the transactions contemplated hereby to occur at the Closing, will not be Insolvent (as defined below). For purposes of this Section 3(l), “</w:t>
      </w:r>
      <w:r>
        <w:rPr>
          <w:rFonts w:ascii="Times New Roman" w:cs="Times New Roman" w:eastAsia="Times New Roman" w:hAnsi="Times New Roman"/>
          <w:sz w:val="18"/>
          <w:szCs w:val="18"/>
          <w:b w:val="1"/>
          <w:bCs w:val="1"/>
          <w:color w:val="auto"/>
        </w:rPr>
        <w:t>Insolvent</w:t>
      </w:r>
      <w:r>
        <w:rPr>
          <w:rFonts w:ascii="Times New Roman" w:cs="Times New Roman" w:eastAsia="Times New Roman" w:hAnsi="Times New Roman"/>
          <w:sz w:val="18"/>
          <w:szCs w:val="18"/>
          <w:color w:val="auto"/>
        </w:rPr>
        <w:t>” means, (i) with respect to the Company and its Subsidiaries, on a consolidated basis, (A) the present fair saleable value of the Company’s and its Subsidiaries’ assets is less than the amount required to pay the Company’s and its Subsidiaries’ total Indebtedness (as defined below), (B) the Company and its Subsidiaries are unable to pay their debts and liabilities, subordinated, contingent or otherwise, as such debts and liabilities become absolute and matured or (C) the Company and its Subsidiaries intend to incur or believe that they will incur debts that would be beyond their ability to pay as such debts mature; and (ii) with respect to the Company and each Subsidiary, individually, (A) the present fair saleable value of the Company’s or such Subsidiary’s (as the case may be) assets is less than the amount required to pay its respective total Indebtedness, (B) the Company or such Subsidiary (as the case may be) is unable to pay its respective debts and liabilities, subordinated, contingent or otherwise, as such debts and liabilities become absolute and matured or (C) the Company or such Subsidiary (as the case may be) intends to incur or believes that it will incur debts that would be beyond its respective ability to pay as such debts mature. Neither the Company nor any of its Subsidiaries has engaged in any business or in any transaction, and is not about to engage in any business or in any transaction, for which the Company’s or such Subsidiary’s remaining assets constitute unreasonably small capital with which to conduct the business in which it is engaged as such business is now conducted and is proposed to be conducted.</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u w:val="single" w:color="auto"/>
          <w:color w:val="auto"/>
        </w:rPr>
        <w:t>No Undisclosed Events, Liabilities, Developments or Circumstances</w:t>
      </w:r>
      <w:r>
        <w:rPr>
          <w:rFonts w:ascii="Times New Roman" w:cs="Times New Roman" w:eastAsia="Times New Roman" w:hAnsi="Times New Roman"/>
          <w:sz w:val="18"/>
          <w:szCs w:val="18"/>
          <w:color w:val="auto"/>
        </w:rPr>
        <w:t>. No event, liability, development or circumstance has occurred or exists, or is reasonably expected to exist or occur with respect to the Company, any of its Subsidiaries or any of their respective businesses, properties, liabilities, prospects, operations (including results thereof) or condition (financial or otherwise), that (i) would be required to be disclosed by the Company under applicable securities laws on a registration statement on Form S-1 filed with the SEC relating to an issuance and sale by the Company of its Common Stock and which has not been publicly announced, (ii) could have a material adverse effect on any Buyer’s investment hereunder or (iii) could have a Material Adverse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(n)               </w:t>
      </w:r>
      <w:r>
        <w:rPr>
          <w:rFonts w:ascii="Times New Roman" w:cs="Times New Roman" w:eastAsia="Times New Roman" w:hAnsi="Times New Roman"/>
          <w:sz w:val="18"/>
          <w:szCs w:val="18"/>
          <w:u w:val="single" w:color="auto"/>
          <w:color w:val="auto"/>
        </w:rPr>
        <w:t>Conduct of Business; Regulatory Permits</w:t>
      </w:r>
      <w:r>
        <w:rPr>
          <w:rFonts w:ascii="Times New Roman" w:cs="Times New Roman" w:eastAsia="Times New Roman" w:hAnsi="Times New Roman"/>
          <w:sz w:val="18"/>
          <w:szCs w:val="18"/>
          <w:color w:val="auto"/>
        </w:rPr>
        <w:t>. Neither the Company nor any of its Subsidiaries is in violation of any term of or in default under its Certificate of Incorporation, any certificate of designation, preferences or rights of any other outstanding series of preferred stock of the Company or any of its Subsidiaries or Bylaws or their organizational charter, certificate of formation, memorandum of association, articles of association, Certificate of Incorporation or certificate of incorporation or bylaws, respectively. Neither the Company nor any of its Subsidiaries is in violation of any judgment, decree or order or any statute, ordinance, rule or regulation applicable to the Company or any of its Subsidiaries, and neither the Company nor any of its Subsidiaries will conduct its business in violation of any of the foregoing, except in all cases for possible violations which could not, individually or in the aggregate, have a Material Adverse Effect. Without limiting the generality of the foregoing, the Company is not in violation of any of the rules, regulations or requirements of the Principal Market and has no knowledge of any facts or circumstances that could reasonably lead to delisting or suspension of the Common Stock by the Principal Market in the foreseeable future. During the two years prior to the date hereof, (i) the Common Stock has been listed or designated for quotation on the Principal Market, (ii) trading in the Common Stock has not been suspended by the SEC or the Principal Market and (iii) the Company has received no communication, written or oral, from the SEC or the Principal Market regarding the suspension or delisting of the Common Stock from the Principal Market. The Company and each of its Subsidiaries possess all certificates, authorizations and permits issued by the appropriate regulatory authorities necessary to conduct their respective businesses, except where the failure to possess such certificates, authorizations or permits would not have, individually or in the aggregate, a Material Adverse Effect, and neither the Company nor any such Subsidiary has received any notice of proceedings relating to the revocation or modification of any such certificate, authorization or permit. There is no agreement, commitment, judgment, injunction, order or decree binding upon the Company or any of its Subsidiaries or to which the Company or any of its Subsidiaries is a party which has or would reasonably be expected to have the effect of prohibiting or materially impairing any business practice of the Company or any of its Subsidiaries, any acquisition of property by the Company or any of its Subsidiaries or the conduct of business by the Company or any of its Subsidiaries as currently conducted other than such effects, individually or in the aggregate, which have not had and would not reasonably be expected to have a Material Adverse Effect on the Company or any of its Subsidiaries.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the Company’s subsidiary or any director, officer, agent, employee, nor any other person acting for or on behalf of the foregoing (individually and collectively, a “</w:t>
      </w:r>
      <w:r>
        <w:rPr>
          <w:rFonts w:ascii="Times New Roman" w:cs="Times New Roman" w:eastAsia="Times New Roman" w:hAnsi="Times New Roman"/>
          <w:sz w:val="18"/>
          <w:szCs w:val="18"/>
          <w:b w:val="1"/>
          <w:bCs w:val="1"/>
          <w:color w:val="auto"/>
        </w:rPr>
        <w:t>Company Affiliate</w:t>
      </w:r>
      <w:r>
        <w:rPr>
          <w:rFonts w:ascii="Times New Roman" w:cs="Times New Roman" w:eastAsia="Times New Roman" w:hAnsi="Times New Roman"/>
          <w:sz w:val="18"/>
          <w:szCs w:val="18"/>
          <w:color w:val="auto"/>
        </w:rPr>
        <w:t>”) have violated the U.S. Foreign Corrupt Practices Act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or any other applicable anti-bribery or anti-corruption laws, nor has any Company Affiliate offered, paid, promised to pay, or authorized the payment of any money, or offered, given, promised to give, or authorized the giving of anything of value, to any officer, employee or any other person acting in an official capacity for any Governmental Entity to any political party or official thereof or to any candidate for political office (individually and collectively, a “</w:t>
      </w:r>
      <w:r>
        <w:rPr>
          <w:rFonts w:ascii="Times New Roman" w:cs="Times New Roman" w:eastAsia="Times New Roman" w:hAnsi="Times New Roman"/>
          <w:sz w:val="18"/>
          <w:szCs w:val="18"/>
          <w:b w:val="1"/>
          <w:bCs w:val="1"/>
          <w:color w:val="auto"/>
        </w:rPr>
        <w:t>Government Official</w:t>
      </w:r>
      <w:r>
        <w:rPr>
          <w:rFonts w:ascii="Times New Roman" w:cs="Times New Roman" w:eastAsia="Times New Roman" w:hAnsi="Times New Roman"/>
          <w:sz w:val="18"/>
          <w:szCs w:val="18"/>
          <w:color w:val="auto"/>
        </w:rPr>
        <w:t>”) or to any person under circumstances where such Company Affiliate knew or was aware of a high probability that all or a portion of such money or thing of value would be offered, given or promised, directly or indirectly, to any Government Official, for the purpose of:</w:t>
      </w:r>
    </w:p>
    <w:p>
      <w:pPr>
        <w:spacing w:after="0" w:line="189"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(A) influencing any act or decision of such Government Official in his/her official capacity, (B) inducing such Government Official to do or omit to do any act in violation of his/her lawful duty, (C) securing any improper advantage, or (D) inducing such Government Official to influence or affect any act or decision of any Governmental Entity,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(ii)              assisting the Company or its Subsidiaries in obtaining or retaining business for or with, or directing business to, the Company or its Subsidiaries.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(p)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 Company and each Subsidiary is in compliance with any and all applicable requirements of the Sarbanes-Oxley Act of 2002, as amended, and any and all applicable rules and regulations promulgated by the SEC thereunder.</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(q)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No current or former employee, partner, director, officer or stockholder (direct or indirect) of the Company or its Subsidiaries, or any associate, or, to the knowledge of the Company, any affiliate of any thereof, or any relative with a relationship no more remote than first cousin of any of the foregoing, is presently, or has ever been, (i) a party to any transaction with the Company or its Subsidiaries (including any contract, agreement or other arrangement providing for the furnishing of services by, or rental of real or personal property from, or otherwise requiring payments to, any such director, officer or stockholder or such associate or affiliate or relative Subsidiaries (other than for ordinary course services as employees, officers or directors of the Company or any of its Subsidiaries)) or (ii) the direct or indirect owner of an interest in any corporation, firm, association or business organization which is a competitor, supplier or customer of the Company or its Subsidiaries (except for a passive investment (direct or indirect) in less than 5% of the common stock of a company whose securities are traded on or quoted through an Eligible Market (as defined in the Warrants)), nor does any such Person receive income from any source other than the Company or its Subsidiaries which relates to the business of the Company or its Subsidiaries or should properly accrue to the Company or its Subsidiaries. No employee, officer, stockholder or director of the Company or any of its Subsidiaries or member of his or her immediate family is indebted to the Company or its Subsidiaries, as the case may be, nor is the Company or any of its Subsidiaries indebted (or committed to make loans or extend or guarantee credit) to any of them, other than (i) for payment of salary for services rendered, (ii) reimbursement for reasonable expenses incurred on behalf of the Company, and (iii) for other standard employee benefits made generally available to all employees or executives (including stock option agreements outstanding under any stock option plan approved by the Board of Directors of the Company).</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                </w:t>
      </w:r>
      <w:r>
        <w:rPr>
          <w:rFonts w:ascii="Times New Roman" w:cs="Times New Roman" w:eastAsia="Times New Roman" w:hAnsi="Times New Roman"/>
          <w:sz w:val="18"/>
          <w:szCs w:val="18"/>
          <w:u w:val="single" w:color="auto"/>
          <w:color w:val="auto"/>
        </w:rPr>
        <w:t>Equity 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left="1300" w:firstLine="648"/>
        <w:spacing w:after="0" w:line="26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(x) the Company’s shares of common stock, $0.001 par value per share, and (y) any capital stock into which such common stock shall have been changed or any share capital resulting from a reclassification of such common stock.</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left="644" w:firstLine="648"/>
        <w:spacing w:after="0" w:line="26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means (x) the Company’s blank check preferred stock, $0.001 par value per share, the terms of which may be designated by the board of directors of the Company in a certificate of designations and (y) any capital stock into which such preferred stock shall have been changed or any share capital resulting from a reclassification of such preferred stock (other than a conversion of such preferred stock into Common Stock in accordance with the terms of such certificate of designations).</w:t>
      </w:r>
    </w:p>
    <w:p>
      <w:pPr>
        <w:spacing w:after="0" w:line="180" w:lineRule="exact"/>
        <w:rPr>
          <w:sz w:val="20"/>
          <w:szCs w:val="20"/>
          <w:color w:val="auto"/>
        </w:rPr>
      </w:pPr>
    </w:p>
    <w:p>
      <w:pPr>
        <w:jc w:val="both"/>
        <w:ind w:left="4" w:firstLine="648"/>
        <w:spacing w:after="0" w:line="257"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Authorized and Outstanding Capital Stock</w:t>
      </w:r>
      <w:r>
        <w:rPr>
          <w:rFonts w:ascii="Times New Roman" w:cs="Times New Roman" w:eastAsia="Times New Roman" w:hAnsi="Times New Roman"/>
          <w:sz w:val="18"/>
          <w:szCs w:val="18"/>
          <w:color w:val="auto"/>
        </w:rPr>
        <w:t>. As of the date hereof, the authorized capital stock of the Company consists of (A) 30,000,000 shares of Common Stock, of which, 8,923,490 are issued and outstanding and no shares are reserved for issuance pursuant to Common Stock Equivalents (as defined below) (other than the Warrants) exercisable or exchangeable for, or convertible into, shares of Common Stock and</w:t>
      </w:r>
    </w:p>
    <w:p>
      <w:pPr>
        <w:spacing w:after="0" w:line="1" w:lineRule="exact"/>
        <w:rPr>
          <w:sz w:val="20"/>
          <w:szCs w:val="20"/>
          <w:color w:val="auto"/>
        </w:rPr>
      </w:pPr>
    </w:p>
    <w:p>
      <w:pPr>
        <w:jc w:val="both"/>
        <w:ind w:left="4" w:hanging="4"/>
        <w:spacing w:after="0" w:line="253" w:lineRule="auto"/>
        <w:tabs>
          <w:tab w:leader="none" w:pos="30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shares of Preferred Stock, none of which are issued and outstanding. No shares of Common Stock are held in the treasury of the Company. “</w:t>
      </w:r>
      <w:r>
        <w:rPr>
          <w:rFonts w:ascii="Times New Roman" w:cs="Times New Roman" w:eastAsia="Times New Roman" w:hAnsi="Times New Roman"/>
          <w:sz w:val="18"/>
          <w:szCs w:val="18"/>
          <w:b w:val="1"/>
          <w:bCs w:val="1"/>
          <w:color w:val="auto"/>
        </w:rPr>
        <w:t>Common Stock Equivalents</w:t>
      </w:r>
      <w:r>
        <w:rPr>
          <w:rFonts w:ascii="Times New Roman" w:cs="Times New Roman" w:eastAsia="Times New Roman" w:hAnsi="Times New Roman"/>
          <w:sz w:val="18"/>
          <w:szCs w:val="18"/>
          <w:color w:val="auto"/>
        </w:rPr>
        <w:t>” means any capital stock or other security of the Company or any of its Subsidiaries that is at any time and under any circumstances directly or indirectly convertible into, exercisable or exchangeable for, or which otherwise entitles the holder thereof to acquire, any capital stock or other security of the Company (including, without limitation, Common Stock) or any of its Subsidiaries.</w:t>
      </w:r>
    </w:p>
    <w:p>
      <w:pPr>
        <w:spacing w:after="0" w:line="189"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Valid Issuance; Available Shares; Affiliates</w:t>
      </w:r>
      <w:r>
        <w:rPr>
          <w:rFonts w:ascii="Times New Roman" w:cs="Times New Roman" w:eastAsia="Times New Roman" w:hAnsi="Times New Roman"/>
          <w:sz w:val="18"/>
          <w:szCs w:val="18"/>
          <w:color w:val="auto"/>
        </w:rPr>
        <w:t xml:space="preserve">. All of such outstanding shares are duly authorized and have been, or upon issuance will be, validly issued and are fully paid and nonassessable. </w:t>
      </w:r>
      <w:r>
        <w:rPr>
          <w:rFonts w:ascii="Times New Roman" w:cs="Times New Roman" w:eastAsia="Times New Roman" w:hAnsi="Times New Roman"/>
          <w:sz w:val="18"/>
          <w:szCs w:val="18"/>
          <w:u w:val="single" w:color="auto"/>
          <w:color w:val="auto"/>
        </w:rPr>
        <w:t>Schedule 3(r)(iii)</w:t>
      </w:r>
      <w:r>
        <w:rPr>
          <w:rFonts w:ascii="Times New Roman" w:cs="Times New Roman" w:eastAsia="Times New Roman" w:hAnsi="Times New Roman"/>
          <w:sz w:val="18"/>
          <w:szCs w:val="18"/>
          <w:color w:val="auto"/>
        </w:rPr>
        <w:t xml:space="preserve"> sets forth the number of shares of Common Stock that are (A) reserved for issuance pursuant to Common Stock Equivalents (as defined below) (other than the Warrants) and (B) that are, as of the date hereof, owned by Persons who are “affiliates” (as defined in Rule 405 of the 1933 Act and calculated based on the assumption that only officers, directors and holders of at least 10% of the Company’s issued and outstanding Common Stock are “affiliates” without conceding that any such Persons are “affiliates” for purposes of federal securities laws) of the Company or any of its Subsidiaries. To the Company’s knowledge, no Person owns 10% or more of the Company’s issued and outstanding shares of Common Stock (calculated based on the assumption that all Common Stock Equivalents (as defined below), whether or not presently exercisable or convertible, have been fully exercised or converted (as the case may be) taking account of any limitations on exercise or conversion (including “blockers”) contained therein without conceding that such identified Person is a 10% stockholder for purposes of federal securities laws).</w:t>
      </w:r>
    </w:p>
    <w:p>
      <w:pPr>
        <w:spacing w:after="0" w:line="194"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u w:val="single" w:color="auto"/>
          <w:color w:val="auto"/>
        </w:rPr>
        <w:t>Existing Securities; Obligations</w:t>
      </w:r>
      <w:r>
        <w:rPr>
          <w:rFonts w:ascii="Times New Roman" w:cs="Times New Roman" w:eastAsia="Times New Roman" w:hAnsi="Times New Roman"/>
          <w:sz w:val="18"/>
          <w:szCs w:val="18"/>
          <w:color w:val="auto"/>
        </w:rPr>
        <w:t>. Except as disclosed in the SEC Documents: (A) none of the Company’s or any Subsidiary’s shares, interests or capital stock is subject to preemptive rights or any other similar rights or Liens suffered or permitted by the Company or any Subsidiary; (B) there are no outstanding options, warrants, scrip, rights to subscribe to, calls or commitments of any character whatsoever relating to, or securities or rights convertible into, or exercisable or exchangeable for, any shares, interests or capital stock of the Company or any of its Subsidiaries, or contracts, commitments, understandings or arrangements by which the Company or any of its Subsidiaries is or may become bound to issue additional shares, interests or capital stock of the Company or any of its Subsidiaries or options, warrants, scrip, rights to subscribe to, calls or commitments of any character whatsoever relating to, or securities or rights convertible into, or exercisable or exchangeable for, any shares, interests or capital stock of the Company or any of its Subsidiaries; (C) there are no agreements or arrangements under which the Company or any of its Subsidiaries is obligated to register the sale of any of their securities under the 1933 Act (except pursuant to the Registration Rights Agreement); (D)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(E) there are no securities or instruments containing anti-dilution or similar provisions that will be triggered by the issuance of the Securities; and (F) neither the Company nor any Subsidiary has any stock appreciation rights or “phantom stock” plans or agreements or any similar plan or agreement.</w:t>
      </w:r>
    </w:p>
    <w:p>
      <w:pPr>
        <w:spacing w:after="0" w:line="200" w:lineRule="exact"/>
        <w:rPr>
          <w:sz w:val="20"/>
          <w:szCs w:val="20"/>
          <w:color w:val="auto"/>
        </w:rPr>
      </w:pPr>
    </w:p>
    <w:p>
      <w:pPr>
        <w:spacing w:after="0" w:line="21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7" w:name="page18"/>
    <w:bookmarkEnd w:id="17"/>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The Company has furnished to the Buyers true, correct and complete copies of the Company’s Certificate of Incorporation, as amended and as in effect on the date hereof (the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and the Company’s bylaws, as amended and as in effect on the date hereof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and the terms of all Common Stock Equivalents and the material rights of the holders thereof in respect thereto.</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Indebtedness and Other Contracts</w:t>
      </w:r>
      <w:r>
        <w:rPr>
          <w:rFonts w:ascii="Times New Roman" w:cs="Times New Roman" w:eastAsia="Times New Roman" w:hAnsi="Times New Roman"/>
          <w:sz w:val="18"/>
          <w:szCs w:val="18"/>
          <w:color w:val="auto"/>
        </w:rPr>
        <w:t xml:space="preserve">. Neither the Company nor any of its Subsidiaries, (i) except as disclosed on </w:t>
      </w:r>
      <w:r>
        <w:rPr>
          <w:rFonts w:ascii="Times New Roman" w:cs="Times New Roman" w:eastAsia="Times New Roman" w:hAnsi="Times New Roman"/>
          <w:sz w:val="18"/>
          <w:szCs w:val="18"/>
          <w:u w:val="single" w:color="auto"/>
          <w:color w:val="auto"/>
        </w:rPr>
        <w:t>Schedule 3(r)</w:t>
      </w:r>
      <w:r>
        <w:rPr>
          <w:rFonts w:ascii="Times New Roman" w:cs="Times New Roman" w:eastAsia="Times New Roman" w:hAnsi="Times New Roman"/>
          <w:sz w:val="18"/>
          <w:szCs w:val="18"/>
          <w:color w:val="auto"/>
        </w:rPr>
        <w:t>, has any outstanding debt securities, notes, credit agreements, credit facilities or other agreements, documents or instruments evidencing Indebtedness of the Company or any of its Subsidiaries or by which the Company or any of its Subsidiaries is or may become bound, (ii) is a party to any contract, agreement or instrument, the violation of which, or default under which, by the other party(ies) to such contract, agreement or instrument could reasonably be expected to result in a Material Adverse Effect, (iii) has any financing statements securing obligations in any amounts filed in connection with the Company or any of its Subsidiaries; (iv) is in violation of any term of, or in default under, any contract, agreement or instrument relating to any Indebtedness, except where such violations and defaults would not result, individually or in the aggregate, in a Material Adverse Effect, or (v) is a party to any contract, agreement or instrument relating to any Indebtedness, the performance of which, in the judgment of the Company’s officers, has or is expected to have a Material Adverse Effect. Neither the Company nor any of its Subsidiaries have any liabilities or obligations required to be disclosed in the SEC Documents which are not so disclosed in the SEC Documents, other than those incurred in the ordinary course of the Company’s or its Subsidiaries’ respective businesses and which, individually or in the aggregate, do not or could not have a Material Adverse Effect. For purposes of this Agreement: (x) “</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of any Person means, without duplication (A) all indebtedness for borrowed money, (B) all obligations issued, undertaken or assumed as the deferred purchase price of property or services (including, without limitation, “capital leases” in accordance with GAAP) (other than trade payables entered into in the ordinary course of business consistent with past practice), (C) all reimbursement or payment obligations with respect to letters of credit, surety bonds and other similar instruments, (D)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(F) all monetary obligations under any leasing or similar arrangement which, in connection with GAAP, consistently applied for the periods covered thereby, is classified as a capital lease, (G) all indebtedness referred to in clauses (A) through (F) above secured by (or for which the holder of such Indebtedness has an existing right, contingent or otherwise, to be secured by) any Lien upon or in any property or assets (including accounts and contract rights) owned by any Person, even though the Person which owns such assets or property has not assumed or become liable for the payment of such indebtedness, and (H) all Contingent Obligations in respect of indebtedness or obligations of others of the kinds referred to in clauses (A) through (G) above; and (y) “</w:t>
      </w:r>
      <w:r>
        <w:rPr>
          <w:rFonts w:ascii="Times New Roman" w:cs="Times New Roman" w:eastAsia="Times New Roman" w:hAnsi="Times New Roman"/>
          <w:sz w:val="18"/>
          <w:szCs w:val="18"/>
          <w:b w:val="1"/>
          <w:bCs w:val="1"/>
          <w:color w:val="auto"/>
        </w:rPr>
        <w:t>Contingent Obligation</w:t>
      </w:r>
      <w:r>
        <w:rPr>
          <w:rFonts w:ascii="Times New Roman" w:cs="Times New Roman" w:eastAsia="Times New Roman" w:hAnsi="Times New Roman"/>
          <w:sz w:val="18"/>
          <w:szCs w:val="18"/>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There is no action, suit, arbitration, proceeding, inquiry or investigation before or by the Principal Market, any court, public board, other Governmental Entity, self-regulatory organization or body pending or, to the knowledge of the Company, threatened against or affecting the Company or any of its Subsidiaries, the Common Stock or any of the Company’s or its Subsidiaries’ officers or directors, whether of a civil or criminal nature or otherwise, in their capacities as such, except as set forth in </w:t>
      </w:r>
      <w:r>
        <w:rPr>
          <w:rFonts w:ascii="Times New Roman" w:cs="Times New Roman" w:eastAsia="Times New Roman" w:hAnsi="Times New Roman"/>
          <w:sz w:val="18"/>
          <w:szCs w:val="18"/>
          <w:u w:val="single" w:color="auto"/>
          <w:color w:val="auto"/>
        </w:rPr>
        <w:t>Schedule 3(t)</w:t>
      </w:r>
      <w:r>
        <w:rPr>
          <w:rFonts w:ascii="Times New Roman" w:cs="Times New Roman" w:eastAsia="Times New Roman" w:hAnsi="Times New Roman"/>
          <w:sz w:val="18"/>
          <w:szCs w:val="18"/>
          <w:color w:val="auto"/>
        </w:rPr>
        <w:t>. No director, officer or employee of the Company or any of its subsidiaries has willfully violated 18 U.S.C. §1519 or engaged in spoliation in reasonable anticipation of litigation. Without limitation of the foregoing, there has not been, and to the knowledge of the Company, there is not pending or contemplated, any investigation by the SEC involving the Company, any of its Subsidiaries or any current or former director or officer of the Company or any of its Subsidiaries. The SEC has not issued any stop order or other order suspending the effectiveness of any registration statement filed by the Company under the 1933 Act or the 1934 Act. After reasonable inquiry of its employees, the Company is not aware of any fact which might result in or form the basis for any such action, suit, arbitration, investigation, inquiry or other proceeding. Neither the Company nor any of its Subsidiaries is subject to any order, writ, judgment, injunction, decree, determination or award of any Governmental Entity.</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(u)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been refused any insurance coverage sought or applied for, and neither the Company nor any such Subsidiary has any reason to believe that it will be unable to renew its existing insurance coverage as and when such coverage expires or to obtain similar coverage from similar insurers as may be necessary to continue its business at a cost that would not have a Material Adverse Effect.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Employee Relations</w:t>
      </w:r>
      <w:r>
        <w:rPr>
          <w:rFonts w:ascii="Times New Roman" w:cs="Times New Roman" w:eastAsia="Times New Roman" w:hAnsi="Times New Roman"/>
          <w:sz w:val="18"/>
          <w:szCs w:val="18"/>
          <w:color w:val="auto"/>
        </w:rPr>
        <w:t>. Neither the Company nor any of its Subsidiaries is a party to any collective bargaining agreement or employs any member of a union. The Company and its Subsidiaries believe that their relations with their employees are good. No executive officer (as defined in Rule 501(f) promulgated under the 1933 Act) or other key employee of the Company or any of its Subsidiaries has notified the Company or any such Subsidiary that such officer intends to leave the Company or any such Subsidiary or otherwise terminate such officer’s employment with the Company or any such Subsidiary. No executive officer or other key employee of the Company or any of its Subsidiaries is, or is now expected to be, in violation of any material term of any employment contract, confidentiality, disclosure or proprietary information agreement, non-competition agreement, or any other contract or agreement or any restrictive covenant, and the continued employment of each such executive officer or other key employee (as the case may be) does not subject the Company or any of its Subsidiaries to any liability with respect to any of the foregoing matters. The Company and its Subsidiaries are in compliance with all federal, state, local and foreign laws and regulations respecting labor, employment and employment practices and benefits, terms and conditions of employment and wages and hours, except where failure to be in compliance would not, either individually or in the aggregate, reasonably be expected to result in a Material Adverse Effect.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color w:val="auto"/>
        </w:rPr>
        <w:t xml:space="preserve">(w)             </w:t>
      </w: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Each of the Company and its Subsidiaries holds good title to all real property, leases in real property, facilities or other interests in real property owned or held by the Company or any of its Subsidiaries (the “</w:t>
      </w:r>
      <w:r>
        <w:rPr>
          <w:rFonts w:ascii="Times New Roman" w:cs="Times New Roman" w:eastAsia="Times New Roman" w:hAnsi="Times New Roman"/>
          <w:sz w:val="18"/>
          <w:szCs w:val="18"/>
          <w:b w:val="1"/>
          <w:bCs w:val="1"/>
          <w:color w:val="auto"/>
        </w:rPr>
        <w:t>Real Property</w:t>
      </w:r>
      <w:r>
        <w:rPr>
          <w:rFonts w:ascii="Times New Roman" w:cs="Times New Roman" w:eastAsia="Times New Roman" w:hAnsi="Times New Roman"/>
          <w:sz w:val="18"/>
          <w:szCs w:val="18"/>
          <w:color w:val="auto"/>
        </w:rPr>
        <w:t>”) owned by the Company or any of its Subsidiaries (as applicable). The Real Property is free and clear of all Liens and is not subject to any rights of way, building use restrictions, exceptions, variances, reservations, or limitations of any nature except for (a) Liens for current taxes not yet due and (b) zoning laws and other land use restrictions that do not impair the present or anticipated use of the property subject thereto. Any Real Property held under lease by the Company or any of its Subsidiaries are held by them under valid, subsisting and enforceable leases with such exceptions as are not material and do not interfere with the use made and proposed to be made of such property and buildings by the Company or any of its Subsidiaries.</w:t>
      </w:r>
    </w:p>
    <w:p>
      <w:pPr>
        <w:spacing w:after="0" w:line="189"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Fixtures and Equipment</w:t>
      </w:r>
      <w:r>
        <w:rPr>
          <w:rFonts w:ascii="Times New Roman" w:cs="Times New Roman" w:eastAsia="Times New Roman" w:hAnsi="Times New Roman"/>
          <w:sz w:val="18"/>
          <w:szCs w:val="18"/>
          <w:color w:val="auto"/>
        </w:rPr>
        <w:t>. Each of the Company and its Subsidiaries (as applicable) has good title to, or a valid leasehold interest in, the tangible personal property, equipment, improvements, fixtures, and other personal property and appurtenances that are used by the Company or its Subsidiary in connection with the conduct of its business (the “</w:t>
      </w:r>
      <w:r>
        <w:rPr>
          <w:rFonts w:ascii="Times New Roman" w:cs="Times New Roman" w:eastAsia="Times New Roman" w:hAnsi="Times New Roman"/>
          <w:sz w:val="18"/>
          <w:szCs w:val="18"/>
          <w:b w:val="1"/>
          <w:bCs w:val="1"/>
          <w:color w:val="auto"/>
        </w:rPr>
        <w:t>Fixtures and Equipment</w:t>
      </w:r>
      <w:r>
        <w:rPr>
          <w:rFonts w:ascii="Times New Roman" w:cs="Times New Roman" w:eastAsia="Times New Roman" w:hAnsi="Times New Roman"/>
          <w:sz w:val="18"/>
          <w:szCs w:val="18"/>
          <w:color w:val="auto"/>
        </w:rPr>
        <w:t>”). The Fixtures and Equipment are structurally sound, are in good operating condition and repair, are adequate for the uses to which they are being put, are not in need of maintenance or repairs except for ordinary, routine maintenance and repairs and are sufficient for the conduct of the Company’s and/or its Subsidiaries’ businesses (as applicable) in the manner as conducted prior to the Closing. Each of the Company and its Subsidiaries owns all of its Fixtures and Equipment free and clear of all Liens except for (a) liens for current taxes not yet due and (b) zoning laws and other land use restrictions that do not impair the present or anticipated use of the property subject thereto.</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(x)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The Company and its Subsidiaries own or possess adequate rights or licenses to use all trademarks, trade names, service marks, service mark registrations, service names, original works of authorship, patents, patent rights, copyrights, inventions, licenses, approvals, governmental authorizations, trade secrets and other intellectual property rights and all applications and registrations therefor (“</w:t>
      </w:r>
      <w:r>
        <w:rPr>
          <w:rFonts w:ascii="Times New Roman" w:cs="Times New Roman" w:eastAsia="Times New Roman" w:hAnsi="Times New Roman"/>
          <w:sz w:val="18"/>
          <w:szCs w:val="18"/>
          <w:b w:val="1"/>
          <w:bCs w:val="1"/>
          <w:color w:val="auto"/>
        </w:rPr>
        <w:t>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Property Rights</w:t>
      </w:r>
      <w:r>
        <w:rPr>
          <w:rFonts w:ascii="Times New Roman" w:cs="Times New Roman" w:eastAsia="Times New Roman" w:hAnsi="Times New Roman"/>
          <w:sz w:val="18"/>
          <w:szCs w:val="18"/>
          <w:color w:val="auto"/>
        </w:rPr>
        <w:t>”) necessary to conduct their respective businesses as now conducted and presently proposed to be conducted. Each of patents owned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or any of its Subsidiaries is listed on Schedule 3(x)(i). Except as set forth in Schedule 3(x)(ii), none of the Company’s Intellectual Property Rights have expired or terminated or have been abandoned or are expected to expire or terminate or are expected to be abandoned, within three years from the date of this Agreement. The Company does not have any knowledge of any infringement by the Company or its Subsidiaries of Intellectual Property Rights of others. There is no claim, action or proceeding being made or brought, or to the knowledge of the Company or any of its Subsidiaries, being threatened, against the Company or any of its Subsidiaries regarding its Intellectual Property Rights. Neither the Company nor any of its Subsidiaries is aware of any facts or circumstances which might give rise to any of the foregoing infringements or claims, actions or proceedings. The Company and its Subsidiaries have taken reasonable security measures to protect the secrecy, confidentiality and value of all of their Intellectual Property Rights.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(y)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 The Company and its Subsidiaries (A) are in compliance with any and all Environmental Laws (as defined below), (B) have received all permits, licenses or other approvals required of them under applicable Environmental Laws to conduct their respective businesses and (C) are in compliance with all terms and conditions of any such permit, license or approval where, in each of the foregoing clauses (A), (B) and (C), the failure to so comply could be reasonably expected to have, individually or in the aggregate, a Material Adverse Effect. The term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all federal, state, local or foreign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b w:val="1"/>
          <w:bCs w:val="1"/>
          <w:color w:val="auto"/>
        </w:rPr>
        <w:t>Hazardous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Hazardous Materials, as well as all authorizations, codes, decrees, demands or demand letters, injunctions, judgments, licenses, notices or notice letters, orders, permits, plans or regulations issued, entered, promulgated or approved thereunder.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left="1300"/>
        <w:spacing w:after="0"/>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No Hazardous Materials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(A)             have been disposed of or otherwise released from any Real Property of the Company or any of its Subsidiaries in violation of any Environmental Laws; or</w:t>
      </w:r>
    </w:p>
    <w:p>
      <w:pPr>
        <w:spacing w:after="0" w:line="162"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(B)              are present on, over, beneath, in or upon any Real Property or any portion thereof in quantities that would constitute a violation of any Environmental Laws. No prior use by the Company or any of its Subsidiaries of any Real Property has occurred that violates any Environmental Laws, which violation would have a material adverse effect on the business of the Company or any of its Subsidiaries.</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(iii)            Neither the Company nor any of its Subsidiaries knows of any other person who or entity which has stored, treated, recycled, disposed of or otherwise located on any Real Property any Hazardous Materials, including, without limitation, such substances as asbestos and polychlorinated biphenyls.</w:t>
      </w:r>
    </w:p>
    <w:p>
      <w:pPr>
        <w:spacing w:after="0" w:line="172" w:lineRule="exact"/>
        <w:rPr>
          <w:sz w:val="20"/>
          <w:szCs w:val="20"/>
          <w:color w:val="auto"/>
        </w:rPr>
      </w:pPr>
    </w:p>
    <w:p>
      <w:pPr>
        <w:jc w:val="both"/>
        <w:ind w:left="660" w:firstLine="648"/>
        <w:spacing w:after="0" w:line="286" w:lineRule="auto"/>
        <w:rPr>
          <w:sz w:val="20"/>
          <w:szCs w:val="20"/>
          <w:color w:val="auto"/>
        </w:rPr>
      </w:pPr>
      <w:r>
        <w:rPr>
          <w:rFonts w:ascii="Times New Roman" w:cs="Times New Roman" w:eastAsia="Times New Roman" w:hAnsi="Times New Roman"/>
          <w:sz w:val="18"/>
          <w:szCs w:val="18"/>
          <w:color w:val="auto"/>
        </w:rPr>
        <w:t>(iv)             None of the Real Properties are on any federal or state “Superfund” list or Liability Information System (“</w:t>
      </w:r>
      <w:r>
        <w:rPr>
          <w:rFonts w:ascii="Times New Roman" w:cs="Times New Roman" w:eastAsia="Times New Roman" w:hAnsi="Times New Roman"/>
          <w:sz w:val="18"/>
          <w:szCs w:val="18"/>
          <w:b w:val="1"/>
          <w:bCs w:val="1"/>
          <w:color w:val="auto"/>
        </w:rPr>
        <w:t>CERCLIS</w:t>
      </w:r>
      <w:r>
        <w:rPr>
          <w:rFonts w:ascii="Times New Roman" w:cs="Times New Roman" w:eastAsia="Times New Roman" w:hAnsi="Times New Roman"/>
          <w:sz w:val="18"/>
          <w:szCs w:val="18"/>
          <w:color w:val="auto"/>
        </w:rPr>
        <w:t>”) list or any state environmental agency list of sites under consideration for CERCLIS, nor subject to any environmental related Liens.</w:t>
      </w:r>
    </w:p>
    <w:p>
      <w:pPr>
        <w:spacing w:after="0" w:line="15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(z)               </w:t>
      </w:r>
      <w:r>
        <w:rPr>
          <w:rFonts w:ascii="Times New Roman" w:cs="Times New Roman" w:eastAsia="Times New Roman" w:hAnsi="Times New Roman"/>
          <w:sz w:val="18"/>
          <w:szCs w:val="18"/>
          <w:u w:val="single" w:color="auto"/>
          <w:color w:val="auto"/>
        </w:rPr>
        <w:t>Subsidiary Rights</w:t>
      </w:r>
      <w:r>
        <w:rPr>
          <w:rFonts w:ascii="Times New Roman" w:cs="Times New Roman" w:eastAsia="Times New Roman" w:hAnsi="Times New Roman"/>
          <w:sz w:val="18"/>
          <w:szCs w:val="18"/>
          <w:color w:val="auto"/>
        </w:rPr>
        <w:t>. The Company or one of its Subsidiaries has the unrestricted right to vote, and (subject to limitations imposed by applicable law) to receive dividends and distributions on, all capital securities of its Subsidiaries as owned by the Company or such Subsidiary.</w:t>
      </w:r>
    </w:p>
    <w:p>
      <w:pPr>
        <w:spacing w:after="0" w:line="16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(aa)            </w:t>
      </w: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The Company and each of its Subsidiaries (i) has timely made or filed all foreign, federal and state income and all other tax returns, reports and declarations required by any jurisdiction to which it is subject, (ii) has timely paid all taxes and other governmental assessments and charges that are material in amount, shown or determined to be due on such returns, reports and declarations, except those being contested in good faith and</w:t>
      </w:r>
    </w:p>
    <w:p>
      <w:pPr>
        <w:spacing w:after="0" w:line="1" w:lineRule="exact"/>
        <w:rPr>
          <w:sz w:val="20"/>
          <w:szCs w:val="20"/>
          <w:color w:val="auto"/>
        </w:rPr>
      </w:pPr>
    </w:p>
    <w:p>
      <w:pPr>
        <w:jc w:val="both"/>
        <w:ind w:firstLine="8"/>
        <w:spacing w:after="0" w:line="252"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set aside on its books provision reasonably adequate for the payment of all taxes for periods subsequent to the periods to which such returns, reports or declarations apply. There are no unpaid taxes in any material amount claimed to be due by the taxing authority of any jurisdiction, and the officers of the Company and its Subsidiaries know of no basis for any such claim. The Company is not operated in such a manner as to qualify as a passive foreign investment company, as defined in Section 1297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The net operating loss carryforwards (“</w:t>
      </w:r>
      <w:r>
        <w:rPr>
          <w:rFonts w:ascii="Times New Roman" w:cs="Times New Roman" w:eastAsia="Times New Roman" w:hAnsi="Times New Roman"/>
          <w:sz w:val="18"/>
          <w:szCs w:val="18"/>
          <w:b w:val="1"/>
          <w:bCs w:val="1"/>
          <w:color w:val="auto"/>
        </w:rPr>
        <w:t>NOLs</w:t>
      </w:r>
      <w:r>
        <w:rPr>
          <w:rFonts w:ascii="Times New Roman" w:cs="Times New Roman" w:eastAsia="Times New Roman" w:hAnsi="Times New Roman"/>
          <w:sz w:val="18"/>
          <w:szCs w:val="18"/>
          <w:color w:val="auto"/>
        </w:rPr>
        <w:t>”) for United States federal income tax purposes of the consolidated group of which the Company is the common parent, if any, shall not be adversely effected by the transactions contemplated hereby. The transactions contemplated hereby do not constitute an “ownership change” within the meaning of Section 382 of the Code, thereby preserving the Company’s ability to utilize such NOLs.</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(bb)           </w:t>
      </w:r>
      <w:r>
        <w:rPr>
          <w:rFonts w:ascii="Times New Roman" w:cs="Times New Roman" w:eastAsia="Times New Roman" w:hAnsi="Times New Roman"/>
          <w:sz w:val="18"/>
          <w:szCs w:val="18"/>
          <w:u w:val="single" w:color="auto"/>
          <w:color w:val="auto"/>
        </w:rPr>
        <w:t>Internal Accounting and Disclosure Controls</w:t>
      </w:r>
      <w:r>
        <w:rPr>
          <w:rFonts w:ascii="Times New Roman" w:cs="Times New Roman" w:eastAsia="Times New Roman" w:hAnsi="Times New Roman"/>
          <w:sz w:val="18"/>
          <w:szCs w:val="18"/>
          <w:color w:val="auto"/>
        </w:rPr>
        <w:t>. The Company and each of its Subsidiaries maintains internal control over financial reporting (as such term is defined in Rule 13a-15(f) under the 1934 Act) that is effective to provide reasonable assurance regarding the reliability of financial reporting and the preparation of financial statements for external purposes in accordance with generally accepted accounting principles, including that (i) transactions are executed in accordance with management’s general or specific authorizations, (ii) transactions are recorded as necessary to permit preparation of financial statements in conformity with GAAP and to maintain asset and liability accountability, (iii) access to assets or incurrence of liabilities is permitted only in accordance with management’s general or specific authorization and (iv) the recorded accountability for assets and liabilities is compared with the existing assets and liabilities at reasonable intervals and appropriate action is taken with respect to any difference. The Company maintains disclosure controls and procedures (as such term is defined in Rule 13a-15(e) under the 1934 Act) that are effective in ensuring that information required to be disclosed by the Company in the reports that it files or submits under the 1934 Act is recorded, processed, summarized and reported, within the time periods specified in the rules and forms of the SEC, including, without limitation, controls and procedures designed to ensure that information required to be disclosed by the Company in the reports that it files or submits under the 1934 Act is accumulated and communicated to the Company’s management, including its principal executive officer or officers and its principal financial officer or officers, as appropriate, to allow timely decisions regarding required disclosure. Neither the Company nor any of its Subsidiaries has received any notice or correspondence from any accountant, Governmental Entity or other Person relating to any potential material weakness or significant deficiency in any part of the internal controls over financial reporting of the Company or any of its Subsidiaries.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(cc)            </w:t>
      </w:r>
      <w:r>
        <w:rPr>
          <w:rFonts w:ascii="Times New Roman" w:cs="Times New Roman" w:eastAsia="Times New Roman" w:hAnsi="Times New Roman"/>
          <w:sz w:val="18"/>
          <w:szCs w:val="18"/>
          <w:u w:val="single" w:color="auto"/>
          <w:color w:val="auto"/>
        </w:rPr>
        <w:t>Off Balance Sheet Arrangements</w:t>
      </w:r>
      <w:r>
        <w:rPr>
          <w:rFonts w:ascii="Times New Roman" w:cs="Times New Roman" w:eastAsia="Times New Roman" w:hAnsi="Times New Roman"/>
          <w:sz w:val="18"/>
          <w:szCs w:val="18"/>
          <w:color w:val="auto"/>
        </w:rPr>
        <w:t>. There is no transaction, arrangement, or other relationship between the Company or any of its Subsidiaries and an unconsolidated or other off balance sheet entity that is required to be disclosed by the Company in its 1934 Act filings and is not so disclosed or that otherwise could be reasonably likely to have a Material Adverse Effect.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(dd)           </w:t>
      </w: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The Company is not, and upon consummation of the sale of the Securities will not be, an “investment company,” an affiliate of an “investment company,” a company controlled by an “investment company” or an “affiliated person” of, or “promoter” or “principal underwriter” for, an “investment company” as such terms are defined in the Investment Company Act of 1940, as amended.</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(ee)            </w:t>
      </w:r>
      <w:r>
        <w:rPr>
          <w:rFonts w:ascii="Times New Roman" w:cs="Times New Roman" w:eastAsia="Times New Roman" w:hAnsi="Times New Roman"/>
          <w:sz w:val="18"/>
          <w:szCs w:val="18"/>
          <w:u w:val="single" w:color="auto"/>
          <w:color w:val="auto"/>
        </w:rPr>
        <w:t>Acknowledgement Regarding Buyers’ Trading Activity</w:t>
      </w:r>
      <w:r>
        <w:rPr>
          <w:rFonts w:ascii="Times New Roman" w:cs="Times New Roman" w:eastAsia="Times New Roman" w:hAnsi="Times New Roman"/>
          <w:sz w:val="18"/>
          <w:szCs w:val="18"/>
          <w:color w:val="auto"/>
        </w:rPr>
        <w:t>. It is understood and acknowledged by the Company that (i) following the public disclosure of the transactions contemplated by the Transaction Documents, in accordance with the terms thereof, none of the Buyers have been asked by the Company or any of its Subsidiaries to agree, nor has any Buyer agreed with the Company or any of its Subsidiaries, to desist from effecting any transactions in or with respect to (including, without limitation, purchasing or selling, long and/or short) any securities of the Company, or “derivative” securities based on securities issued by the Company or to hold any of the Securities for any specified term; (ii) any Buyer, and counterparties in “derivative” transactions to which any such Buyer is a party, directly or indirectly, presently may have a “short” position in the Common Stock which was established prior to such Buyer’s knowledge of the transactions contemplated by the Transaction Documents; (iii) each Buyer shall not be deemed to have any affiliation with or control over any arm’s length counterparty in any “derivative” transaction; and (iv) each Buyer may rely on the Company’s obligation to timely deliver shares of Common Stock upon exercise or exchange, as applicable, of the Securities as and when required pursuant to the Transaction Documents for purposes of effecting trading in the Common Stock of the Company. The Company further understands and acknowledges that following the public disclosure of the transactions contemplated by the Transaction Documents pursuant to the Press Release (as defined below) one or more Buyers may engage in hedging and/or trading activities (including, without limitation, the location and/or reservation of borrowable shares of Common Stock) at various times during the period that the Securities are outstanding, including, without limitation, during the periods that the value and/or number of the Warrant Shares deliverable with respect to the Securities are being determined and such hedging and/or trading activities (including, without limitation, the location and/or reservation of borrowable shares of Common Stock), if any, can reduce the value of the existing stockholders’ equity interest in the Company both at and after the time the hedging and/or trading activities are being conducted. The Company acknowledges that such aforementioned hedging and/or trading activities do not constitute a breach of this Agreement, the Warrants or any other Transaction Document or any of the documents executed in connection herewith or therewith.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(ff)              </w:t>
      </w:r>
      <w:r>
        <w:rPr>
          <w:rFonts w:ascii="Times New Roman" w:cs="Times New Roman" w:eastAsia="Times New Roman" w:hAnsi="Times New Roman"/>
          <w:sz w:val="18"/>
          <w:szCs w:val="18"/>
          <w:u w:val="single" w:color="auto"/>
          <w:color w:val="auto"/>
        </w:rPr>
        <w:t>Manipulation of Price</w:t>
      </w:r>
      <w:r>
        <w:rPr>
          <w:rFonts w:ascii="Times New Roman" w:cs="Times New Roman" w:eastAsia="Times New Roman" w:hAnsi="Times New Roman"/>
          <w:sz w:val="18"/>
          <w:szCs w:val="18"/>
          <w:color w:val="auto"/>
        </w:rPr>
        <w:t>. Neither the Company nor any of its Subsidiaries has, and, to the knowledge of the Company, no Person acting on their behalf has, directly or indirectly, (i) taken any action designed to cause or to result in the stabilization or manipulation of the price of any security of the Company or any of its Subsidiaries to facilitate the sale or resale of any of the Securities, (ii) sold, bid for, purchased, or paid any compensation for soliciting purchases of, any of the Securities (other than the Placement Agents), (iii) paid or agreed to pay to any Person any compensation for soliciting another to purchase any other securities of the Company or any of its Subsidiaries or (iv) paid or agreed to pay any Person for research services with respect to any securities of the Company or any of its Subsidiaries.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(gg)           </w:t>
      </w: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Neither the Company nor any of its Subsidiaries is, or has ever been, and so long as any of the Securities are held by any of the Buyers, shall become, a U.S. real property holding corporation within the meaning of Section 897 of the Code, and the Company and each Subsidiary shall so certify upon any Buyer’s request.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(hh)           </w:t>
      </w:r>
      <w:r>
        <w:rPr>
          <w:rFonts w:ascii="Times New Roman" w:cs="Times New Roman" w:eastAsia="Times New Roman" w:hAnsi="Times New Roman"/>
          <w:sz w:val="18"/>
          <w:szCs w:val="18"/>
          <w:u w:val="single" w:color="auto"/>
          <w:color w:val="auto"/>
        </w:rPr>
        <w:t>Registration Eligibility</w:t>
      </w:r>
      <w:r>
        <w:rPr>
          <w:rFonts w:ascii="Times New Roman" w:cs="Times New Roman" w:eastAsia="Times New Roman" w:hAnsi="Times New Roman"/>
          <w:sz w:val="18"/>
          <w:szCs w:val="18"/>
          <w:color w:val="auto"/>
        </w:rPr>
        <w:t>. The Company is eligible to register the Registrable Securities for resale by the Buyers using Form S-3 promulgated under the 1933 Act.</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On the Closing Date, all stock transfer or other taxes (other than income or similar taxes) which are required to be paid in connection with the issuance, sale and transfer of the Securities to be sold to each Buyer hereunder will be, or will have been, fully paid or provided for by the Company, and all laws imposing such taxes will be or will have been complied with.</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(jj)              </w:t>
      </w: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is subject to the Bank Holding Company Act of 1956, as amended (the “</w:t>
      </w:r>
      <w:r>
        <w:rPr>
          <w:rFonts w:ascii="Times New Roman" w:cs="Times New Roman" w:eastAsia="Times New Roman" w:hAnsi="Times New Roman"/>
          <w:sz w:val="18"/>
          <w:szCs w:val="18"/>
          <w:b w:val="1"/>
          <w:bCs w:val="1"/>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b w:val="1"/>
          <w:bCs w:val="1"/>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(kk)           </w:t>
      </w:r>
      <w:r>
        <w:rPr>
          <w:rFonts w:ascii="Times New Roman" w:cs="Times New Roman" w:eastAsia="Times New Roman" w:hAnsi="Times New Roman"/>
          <w:sz w:val="18"/>
          <w:szCs w:val="18"/>
          <w:u w:val="single" w:color="auto"/>
          <w:color w:val="auto"/>
        </w:rPr>
        <w:t>Shell Company Status</w:t>
      </w:r>
      <w:r>
        <w:rPr>
          <w:rFonts w:ascii="Times New Roman" w:cs="Times New Roman" w:eastAsia="Times New Roman" w:hAnsi="Times New Roman"/>
          <w:sz w:val="18"/>
          <w:szCs w:val="18"/>
          <w:color w:val="auto"/>
        </w:rPr>
        <w:t>. The Company is not, and has never been, an issuer identified in, or subject to, Rule 144(i).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3" w:name="page24"/>
    <w:bookmarkEnd w:id="2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(ll)              </w:t>
      </w:r>
      <w:r>
        <w:rPr>
          <w:rFonts w:ascii="Times New Roman" w:cs="Times New Roman" w:eastAsia="Times New Roman" w:hAnsi="Times New Roman"/>
          <w:sz w:val="18"/>
          <w:szCs w:val="18"/>
          <w:u w:val="single" w:color="auto"/>
          <w:color w:val="auto"/>
        </w:rPr>
        <w:t>Illegal or Unauthorized Payments; Political Contributions</w:t>
      </w:r>
      <w:r>
        <w:rPr>
          <w:rFonts w:ascii="Times New Roman" w:cs="Times New Roman" w:eastAsia="Times New Roman" w:hAnsi="Times New Roman"/>
          <w:sz w:val="18"/>
          <w:szCs w:val="18"/>
          <w:color w:val="auto"/>
        </w:rPr>
        <w:t>. Neither the Company nor any of its Subsidiaries nor, to the best of the Company’s knowledge (after reasonable inquiry of its officers and directors), any of the officers, directors, employees, agents or other representatives of the Company or any of its Subsidiaries or any other business entity or enterprise with which the Company or any Subsidiary is or has been affiliated or associated, has, directly or indirectly, made or authorized any payment, contribution or gift of money, property, or services, whether or not in contravention of applicable law, (i) as a kickback or bribe to any Person or (ii) to any political organization, or the holder of or any aspirant to any elective or appointive public office except for personal political contributions not involving the direct or indirect use of funds of the Company or any of its Subsidiaries.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(mm)          </w:t>
      </w: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Company and its Subsidiaries are in compliance with, and have not previously violated, the USA Patriot Act of 2001 and all other applicable U.S. and non-U.S. anti-money laundering laws and regulations, including, without limitation, the laws, regulations and Executive Orders and sanctions programs administered by the U.S. Office of Foreign Assets Control, including, but not limited, to (i) Executive Order 13224 of September 23, 2001 entitled, “Blocking Property and Prohibiting Transactions With Persons Who Commit, Threaten to Commit, or Support Terrorism” (66 Fed. Reg. 49079 (2001)); and (ii) any regulations contained in 31 CFR, Subtitle B, Chapter V.</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(nn)           </w:t>
      </w:r>
      <w:r>
        <w:rPr>
          <w:rFonts w:ascii="Times New Roman" w:cs="Times New Roman" w:eastAsia="Times New Roman" w:hAnsi="Times New Roman"/>
          <w:sz w:val="18"/>
          <w:szCs w:val="18"/>
          <w:u w:val="single" w:color="auto"/>
          <w:color w:val="auto"/>
        </w:rPr>
        <w:t>Management</w:t>
      </w:r>
      <w:r>
        <w:rPr>
          <w:rFonts w:ascii="Times New Roman" w:cs="Times New Roman" w:eastAsia="Times New Roman" w:hAnsi="Times New Roman"/>
          <w:sz w:val="18"/>
          <w:szCs w:val="18"/>
          <w:color w:val="auto"/>
        </w:rPr>
        <w:t>. Except as set forth in Schedule 3(nn) hereto, during the past five year period, no current or former officer or director or, to the knowledge of the Company, no current ten percent (10%) or greater stockholder of the Company or any of its Subsidiaries has been the subject of:</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(i)           a petition under bankruptcy laws or any other insolvency or moratorium law or the appointment by a court of a receiver, fiscal agent or similar officer for such Person, or any partnership in which such person was a general partner at or within two years before the filing of such petition or such appointment, or any corporation or business association of which such person was an executive officer at or within two years before the time of the filing of such petition or such appointment;</w:t>
      </w:r>
    </w:p>
    <w:p>
      <w:pPr>
        <w:spacing w:after="0" w:line="18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   (ii)          a conviction in a criminal proceeding or a named subject of a pending criminal proceeding (excluding traffic violations that do not relate to driving while intoxicated or driving under the influence);</w:t>
      </w:r>
    </w:p>
    <w:p>
      <w:pPr>
        <w:spacing w:after="0" w:line="162"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  (iii)         any order, judgment or decree, not subsequently reversed, suspended or vacated, of any court of competent jurisdiction, permanently or temporarily enjoining any such person from, or otherwise limiting, the following activities:</w:t>
      </w:r>
    </w:p>
    <w:p>
      <w:pPr>
        <w:spacing w:after="0" w:line="162"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  (1)             Acting as a futures commission merchant, introducing broker, commodity trading advisor, commodity pool operator, floor broker, leverage transaction merchant, any other person regulated by the United States Commodity Futures Trading Commission or an associated person of any of the foregoing, or as an investment adviser, underwriter, broker or dealer in securities, or as an affiliated person, director or employee of any investment company, bank, savings and loan association or insurance company, or engaging in or continuing any conduct or practice in connection with such activity;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left="1960"/>
        <w:spacing w:after="0"/>
        <w:rPr>
          <w:sz w:val="20"/>
          <w:szCs w:val="20"/>
          <w:color w:val="auto"/>
        </w:rPr>
      </w:pPr>
      <w:r>
        <w:rPr>
          <w:rFonts w:ascii="Times New Roman" w:cs="Times New Roman" w:eastAsia="Times New Roman" w:hAnsi="Times New Roman"/>
          <w:sz w:val="18"/>
          <w:szCs w:val="18"/>
          <w:color w:val="auto"/>
        </w:rPr>
        <w:t>  (2)             Engaging in any particular type of business practice; or</w:t>
      </w:r>
    </w:p>
    <w:p>
      <w:pPr>
        <w:spacing w:after="0" w:line="225"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auto"/>
        </w:rPr>
        <w:t>  (3)             Engaging in any activity in connection with the purchase or sale of any security or commodity or in connection with any violation of securities laws or commodities laws;</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(iv)         any order, judgment or decree, not subsequently reversed, suspended or vacated, of any authority barring, suspending or otherwise limiting for more than sixty (60) days the right of any such person to engage in any activity described in the preceding sub paragraph, or to be associated with persons engaged in any such activity;</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(v)           a finding by a court of competent jurisdiction in a civil action or by the SEC or other authority to have violated any securities law, regulation or decree and the judgment in such civil action or finding by the SEC or any other authority has not been subsequently reversed, suspended or vacated; or</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  (vi)          a finding by a court of competent jurisdiction in a civil action or by the Commodity Futures Trading Commission to have violated any federal commodities law, and the judgment in such civil action or finding has not been subsequently reversed, suspended or vacated.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(oo)           </w:t>
      </w: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was granted (i) in accordance with the terms of the applicable stock option plan of the Company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policy or practice of the Company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(pp)           </w:t>
      </w:r>
      <w:r>
        <w:rPr>
          <w:rFonts w:ascii="Times New Roman" w:cs="Times New Roman" w:eastAsia="Times New Roman" w:hAnsi="Times New Roman"/>
          <w:sz w:val="18"/>
          <w:szCs w:val="18"/>
          <w:u w:val="single" w:color="auto"/>
          <w:color w:val="auto"/>
        </w:rPr>
        <w:t>No Disagreements with Accountants and Lawyers</w:t>
      </w:r>
      <w:r>
        <w:rPr>
          <w:rFonts w:ascii="Times New Roman" w:cs="Times New Roman" w:eastAsia="Times New Roman" w:hAnsi="Times New Roman"/>
          <w:sz w:val="18"/>
          <w:szCs w:val="18"/>
          <w:color w:val="auto"/>
        </w:rPr>
        <w:t>. There are no material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 In addition, on or prior to the date hereof, the Company had discussions with its accountants about its financial statements previously filed with the SEC. Based on those discussions, the Company has no reason to believe that it will need to restate any such financial statements or any part thereof.</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(qq)           </w:t>
      </w: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With respect to Securities to be offered and sold hereunder in reliance on Rule 506(b) under the 1933 Act (“</w:t>
      </w:r>
      <w:r>
        <w:rPr>
          <w:rFonts w:ascii="Times New Roman" w:cs="Times New Roman" w:eastAsia="Times New Roman" w:hAnsi="Times New Roman"/>
          <w:sz w:val="18"/>
          <w:szCs w:val="18"/>
          <w:b w:val="1"/>
          <w:bCs w:val="1"/>
          <w:color w:val="auto"/>
        </w:rPr>
        <w:t>Regulation D Securities</w:t>
      </w:r>
      <w:r>
        <w:rPr>
          <w:rFonts w:ascii="Times New Roman" w:cs="Times New Roman" w:eastAsia="Times New Roman" w:hAnsi="Times New Roman"/>
          <w:sz w:val="18"/>
          <w:szCs w:val="18"/>
          <w:color w:val="auto"/>
        </w:rPr>
        <w:t>”), none of the Company, any of its predecessors, any affiliated issuer, any director, executive officer, other officer of the Company participating in the offering contemplated hereby, any beneficial owner of 20% or more of the Company’s outstanding voting equity securities, calculated on the basis of voting power, nor any promoter (as that term is defined in Rule 405 under the 1933 Act) connected with the Company in any capacity at the time of sale (each, an “</w:t>
      </w:r>
      <w:r>
        <w:rPr>
          <w:rFonts w:ascii="Times New Roman" w:cs="Times New Roman" w:eastAsia="Times New Roman" w:hAnsi="Times New Roman"/>
          <w:sz w:val="18"/>
          <w:szCs w:val="18"/>
          <w:b w:val="1"/>
          <w:bCs w:val="1"/>
          <w:color w:val="auto"/>
        </w:rPr>
        <w:t>Issuer Covered Person</w:t>
      </w:r>
      <w:r>
        <w:rPr>
          <w:rFonts w:ascii="Times New Roman" w:cs="Times New Roman" w:eastAsia="Times New Roman" w:hAnsi="Times New Roman"/>
          <w:sz w:val="18"/>
          <w:szCs w:val="18"/>
          <w:color w:val="auto"/>
        </w:rPr>
        <w:t>” and, together, “</w:t>
      </w:r>
      <w:r>
        <w:rPr>
          <w:rFonts w:ascii="Times New Roman" w:cs="Times New Roman" w:eastAsia="Times New Roman" w:hAnsi="Times New Roman"/>
          <w:sz w:val="18"/>
          <w:szCs w:val="18"/>
          <w:b w:val="1"/>
          <w:bCs w:val="1"/>
          <w:color w:val="auto"/>
        </w:rPr>
        <w:t>Issuer Covered Persons</w:t>
      </w:r>
      <w:r>
        <w:rPr>
          <w:rFonts w:ascii="Times New Roman" w:cs="Times New Roman" w:eastAsia="Times New Roman" w:hAnsi="Times New Roman"/>
          <w:sz w:val="18"/>
          <w:szCs w:val="18"/>
          <w:color w:val="auto"/>
        </w:rPr>
        <w:t>”) is subject to any of the “Bad Actor” disqualifications described in Rule 506(d)(1)(i) to (viii) under the 1933 Act (a “</w:t>
      </w:r>
      <w:r>
        <w:rPr>
          <w:rFonts w:ascii="Times New Roman" w:cs="Times New Roman" w:eastAsia="Times New Roman" w:hAnsi="Times New Roman"/>
          <w:sz w:val="18"/>
          <w:szCs w:val="18"/>
          <w:b w:val="1"/>
          <w:bCs w:val="1"/>
          <w:color w:val="auto"/>
        </w:rPr>
        <w:t>Disqualification Event</w:t>
      </w:r>
      <w:r>
        <w:rPr>
          <w:rFonts w:ascii="Times New Roman" w:cs="Times New Roman" w:eastAsia="Times New Roman" w:hAnsi="Times New Roman"/>
          <w:sz w:val="18"/>
          <w:szCs w:val="18"/>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Buyers a copy of any disclosures provided thereunder.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(rr)             </w:t>
      </w:r>
      <w:r>
        <w:rPr>
          <w:rFonts w:ascii="Times New Roman" w:cs="Times New Roman" w:eastAsia="Times New Roman" w:hAnsi="Times New Roman"/>
          <w:sz w:val="18"/>
          <w:szCs w:val="18"/>
          <w:u w:val="single" w:color="auto"/>
          <w:color w:val="auto"/>
        </w:rPr>
        <w:t>Other Covered Persons</w:t>
      </w:r>
      <w:r>
        <w:rPr>
          <w:rFonts w:ascii="Times New Roman" w:cs="Times New Roman" w:eastAsia="Times New Roman" w:hAnsi="Times New Roman"/>
          <w:sz w:val="18"/>
          <w:szCs w:val="18"/>
          <w:color w:val="auto"/>
        </w:rPr>
        <w:t>. The Company is not aware of any Person (other than the Placement Agents) that has been or will be paid (directly or indirectly) remuneration for solicitation of Buyers or potential purchasers in connection with the sale of any Regulation D Securities.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(ss)             </w:t>
      </w:r>
      <w:r>
        <w:rPr>
          <w:rFonts w:ascii="Times New Roman" w:cs="Times New Roman" w:eastAsia="Times New Roman" w:hAnsi="Times New Roman"/>
          <w:sz w:val="18"/>
          <w:szCs w:val="18"/>
          <w:u w:val="single" w:color="auto"/>
          <w:color w:val="auto"/>
        </w:rPr>
        <w:t>No Additional Agreements</w:t>
      </w:r>
      <w:r>
        <w:rPr>
          <w:rFonts w:ascii="Times New Roman" w:cs="Times New Roman" w:eastAsia="Times New Roman" w:hAnsi="Times New Roman"/>
          <w:sz w:val="18"/>
          <w:szCs w:val="18"/>
          <w:color w:val="auto"/>
        </w:rPr>
        <w:t>. The Company does not have any agreement or understanding with any Buyer with respect to the transactions contemplated by the Transaction Documents other than as specified in the Transaction Documents.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(tt)              </w:t>
      </w:r>
      <w:r>
        <w:rPr>
          <w:rFonts w:ascii="Times New Roman" w:cs="Times New Roman" w:eastAsia="Times New Roman" w:hAnsi="Times New Roman"/>
          <w:sz w:val="18"/>
          <w:szCs w:val="18"/>
          <w:u w:val="single" w:color="auto"/>
          <w:color w:val="auto"/>
        </w:rPr>
        <w:t>Public Utility Holding Act</w:t>
      </w:r>
      <w:r>
        <w:rPr>
          <w:rFonts w:ascii="Times New Roman" w:cs="Times New Roman" w:eastAsia="Times New Roman" w:hAnsi="Times New Roman"/>
          <w:sz w:val="18"/>
          <w:szCs w:val="18"/>
          <w:color w:val="auto"/>
        </w:rPr>
        <w:t>. None of the Company nor any of its Subsidiaries is a “holding company,” or an “affiliate” of a “holding company,” as such terms are defined in the Public Utility Holding Act of 2005.</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(uu)            </w:t>
      </w:r>
      <w:r>
        <w:rPr>
          <w:rFonts w:ascii="Times New Roman" w:cs="Times New Roman" w:eastAsia="Times New Roman" w:hAnsi="Times New Roman"/>
          <w:sz w:val="18"/>
          <w:szCs w:val="18"/>
          <w:u w:val="single" w:color="auto"/>
          <w:color w:val="auto"/>
        </w:rPr>
        <w:t>Federal Power Act</w:t>
      </w:r>
      <w:r>
        <w:rPr>
          <w:rFonts w:ascii="Times New Roman" w:cs="Times New Roman" w:eastAsia="Times New Roman" w:hAnsi="Times New Roman"/>
          <w:sz w:val="18"/>
          <w:szCs w:val="18"/>
          <w:color w:val="auto"/>
        </w:rPr>
        <w:t>. None of the Company nor any of its Subsidiaries is subject to regulation as a “public utility” under the Federal Power Act, as amended.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(vv)            </w:t>
      </w:r>
      <w:r>
        <w:rPr>
          <w:rFonts w:ascii="Times New Roman" w:cs="Times New Roman" w:eastAsia="Times New Roman" w:hAnsi="Times New Roman"/>
          <w:sz w:val="18"/>
          <w:szCs w:val="18"/>
          <w:u w:val="single" w:color="auto"/>
          <w:color w:val="auto"/>
        </w:rPr>
        <w:t>Potential Products; FDA; EMEA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  (i)              The Company possesses all certificates, authorizations and permits issued by the appropriate federal, state or foreign regulatory authorities necessary to conduct its business as currently conducted, including without limitation all such certificates, authorizations and permits required by the United States Food and Drug Administration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or any other federal, state or foreign agencies or bodies engaged in the regulation of pharmaceuticals or biohazardous materials, except where the failure to so possess such certificates, authorizations and permits, individually or in the aggregate, would not result in a Material Adverse Effect. The Company has not received any notice of proceedings relating to the revocation or modification of any such certificate, authorization or permit which, individually or in the aggregate, if the subject of an unfavorable decision, ruling or finding, would have a Material Adverse Effect.</w:t>
      </w:r>
    </w:p>
    <w:p>
      <w:pPr>
        <w:spacing w:after="0" w:line="185"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(ii)              The Company has not received any written notices or statements from the FDA, the European Medicines Agency (the “</w:t>
      </w:r>
      <w:r>
        <w:rPr>
          <w:rFonts w:ascii="Times New Roman" w:cs="Times New Roman" w:eastAsia="Times New Roman" w:hAnsi="Times New Roman"/>
          <w:sz w:val="18"/>
          <w:szCs w:val="18"/>
          <w:b w:val="1"/>
          <w:bCs w:val="1"/>
          <w:color w:val="auto"/>
        </w:rPr>
        <w:t>EMEA</w:t>
      </w:r>
      <w:r>
        <w:rPr>
          <w:rFonts w:ascii="Times New Roman" w:cs="Times New Roman" w:eastAsia="Times New Roman" w:hAnsi="Times New Roman"/>
          <w:sz w:val="18"/>
          <w:szCs w:val="18"/>
          <w:color w:val="auto"/>
        </w:rPr>
        <w:t>”) or any other governmental agency, and otherwise has no knowledge or reason to believe, that (i) any drug candidate of the Company (each a “</w:t>
      </w:r>
      <w:r>
        <w:rPr>
          <w:rFonts w:ascii="Times New Roman" w:cs="Times New Roman" w:eastAsia="Times New Roman" w:hAnsi="Times New Roman"/>
          <w:sz w:val="18"/>
          <w:szCs w:val="18"/>
          <w:b w:val="1"/>
          <w:bCs w:val="1"/>
          <w:color w:val="auto"/>
        </w:rPr>
        <w:t>Potential Product</w:t>
      </w:r>
      <w:r>
        <w:rPr>
          <w:rFonts w:ascii="Times New Roman" w:cs="Times New Roman" w:eastAsia="Times New Roman" w:hAnsi="Times New Roman"/>
          <w:sz w:val="18"/>
          <w:szCs w:val="18"/>
          <w:color w:val="auto"/>
        </w:rPr>
        <w:t>”) may or will be rejected or determined to be non-approvable; (ii) a delay in time for review and/or approval of a marketing authorization application or marketing approval application in any jurisdiction for any Potential Product is or may be required, requested or being implemented; (iii) one or more clinical studies for any Potential Product shall or may be requested or required in addition to the clinical studies submitted to the FDA prior to the date hereof as a precondition to or condition of issuance or maintenance of a marketing approval for any Potential Product; (iv) any license, approval, permit or authorization to conduct any clinical trial of or market any product or Potential Product of the Company has been, will be or may be suspended, revoked, modified or limited, except in the cases of clauses (i), (ii), (iii) and (iv) where such rejections, determinations, delays, requests, suspensions, revocations, modifications or limitations might not reasonably be expected to have, individually or in the aggregate, a Material Adverse Effect.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  (iii)            To the Company’s knowledge, the preclinical and clinical testing, application for marketing approval of, manufacture, distribution, promotion and sale of the products and Potential Products of the Company is in compliance, in all material respects, with all laws, rules and regulations applicable to such activities, including without limitation applicable good laboratory practices, good clinical practices and good manufacturing practices, except for such non-compliance as would not, individually or in the aggregate, have a Material Adverse Effect. The Company is not aware of any studies, tests or trial the results of which reasonably call into question the results of the tests and trials conducted by or on behalf of the Company. The Company has not received notice of adverse finding, warning letter or clinical hold notice from the FDA or any non-U.S. counterpart of any of the foregoing, or any untitled letter or other correspondence or notice from the FDA or any other governmental authority or agency or any institutional or ethical review board alleging or asserting noncompliance with any law, rule or regulation applicable in any jurisdiction, except notices, letters, and correspondences and non-U.S. counterparts thereof alleging or asserting such noncompliance as would not, individually or in the aggregate, have a Material Adverse Effect. The Company has not, either voluntarily or involuntarily, initiated, conducted or issued, or caused to be initiated, conducted or issued, any recall, field correction, market withdrawal or replacement, safety alert, warning, “dear doctor” letter, investigator notice, or other notice or action relating to an alleged or potential lack of safety or efficacy of any product or Potential Product of the Company, any alleged product defect of any product or Potential Product of the Company, or any violation of any material applicable law, rule, regulation or any clinical trial or marketing license, approval, permit or authorization for any product or potential product of the Company, and the Company is not aware of any facts or information that would cause it to initiate any such notice or action and has no knowledge or reason to believe that the FDA, the EMEA or any other governmental agency or authority or any institutional or ethical review board or other non-governmental authority intends to impose, require, request or suggest such notice or action.</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(ww)       </w:t>
      </w: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that would reasonably be expected to have a Material Adverse Effect on the Company’s business.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the European Union General Data Protection Regulation (“</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(EU 2016/679); (iv)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and (v)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same, except for those that have been remedied without material cost or liability or the duty to notify any other person or such, nor any incidents under internal review or investigations relating to the same except in each case, where such would not, either individually or in the aggregate, reasonably be expected to result in a Material Adverse Effect.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in each case, where such would not, either individually or in the aggregate, reasonably be expected to result in a Material Adverse Effect.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(xx)           </w:t>
      </w: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The Company and its Subsidiaries are, and at all prior times were, in compliance with all applicable state and federal data privacy and security laws and regulations, including without limitation HIPAA, and the Company and its Subsidiaries have taken commercially reasonable actions to prepare to comply with, and since May 25, 2018, have been and currently are in compliance with, the GDPR (EU 2016/679) (collectively, the “</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except in each case, where such would not, either individually or in the aggregate, reasonably be expected to result in a Material Adverse Effect. To 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 w:cs="Times New Roman" w:eastAsia="Times New Roman" w:hAnsi="Times New Roman"/>
          <w:sz w:val="18"/>
          <w:szCs w:val="18"/>
          <w:b w:val="1"/>
          <w:bCs w:val="1"/>
          <w:color w:val="auto"/>
        </w:rPr>
        <w:t>Policies</w:t>
      </w:r>
      <w:r>
        <w:rPr>
          <w:rFonts w:ascii="Times New Roman" w:cs="Times New Roman" w:eastAsia="Times New Roman" w:hAnsi="Times New Roman"/>
          <w:sz w:val="18"/>
          <w:szCs w:val="18"/>
          <w:color w:val="auto"/>
        </w:rPr>
        <w:t>”).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(yy)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The Company confirms that neither it nor any other Person acting on its behalf has provided any of the Buyers or their agents or counsel with any information that constitutes or could reasonably be expected to constitute material, non-public information concerning the Company or any of its Subsidiaries, other than the existence of the transactions contemplated by this Agreement and the other Transaction Documents. The Company understands and confirms that each of the Buyers will rely on the foregoing representations in effecting transactions in securities of the Company. All disclosure provided to the Buyers regarding the Company and its Subsidiaries, their businesses and the transactions contemplated hereby, including the schedules to this Agreement, furnished by or on behalf of the Company or any of its Subsidiaries is true and correct and does not contain any untrue statement of a material fact or omit to state any material fact necessary in order to make the statements made therein, in the light of the circumstances under which they were made, not misleading. All of the written information furnished after the date hereof by or on behalf of the Company or any of its Subsidiaries to each Buyer pursuant to or in connection with this Agreement and the other Transaction Documents, taken as a whole, will be true and correct in all material respects as of the date on which such information is so provided and will not contain any untrue statement of a material fact or omit to state any material fact necessary in order to make the statements made therein, in the light of the circumstances under which they were made, not misleading. Each press release issued by the Company or any of its Subsidiaries during the twelve (12) months preceding the date of this Agreement did not at the time of release contain any untrue statement of a material fact or omit to state a material fact required to be stated therein or necessary in order to make the statements therein, in the light of the circumstances under which they are made, not misleading. No event or circumstance has occurred or information exists with respect to the Company or any of its Subsidiaries or its or their business, properties, liabilities, prospects, operations (including results thereof) or conditions (financial or otherwise), which, under applicable law, rule or regulation, requires public disclosure at or before the date hereof or announcement by the Company but which has not been so publicly disclosed. All financial projections and forecasts that have been prepared by or on behalf of the Company or any of its Subsidiaries and made available to you have been prepared in good faith based upon reasonable assumptions and represented, at the time each such financial projection or forecast was delivered to each Buyer, the Company’s best estimate of future financial performance (it being recognized that such financial projections or forecasts are not to be viewed as facts and that the actual results during the period or periods covered by any such financial projections or forecasts may differ from the projected or forecasted results). The Company acknowledges and agrees that no Buyer makes or has made any representations or warranties with respect to the transactions contemplated hereby other than those specifically set forth in Section 2.</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4.             COVENANTS.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Best Efforts</w:t>
      </w:r>
      <w:r>
        <w:rPr>
          <w:rFonts w:ascii="Times New Roman" w:cs="Times New Roman" w:eastAsia="Times New Roman" w:hAnsi="Times New Roman"/>
          <w:sz w:val="18"/>
          <w:szCs w:val="18"/>
          <w:color w:val="auto"/>
        </w:rPr>
        <w:t>. Each Buyer shall use its best efforts to timely satisfy each of the covenants hereunder and conditions to be satisfied by it as provided in Section 6 of this Agreement. The Company shall use its best efforts to timely satisfy each of the covenants hereunder and conditions to be satisfied by it as provided in Section 7 of this Agreement.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Form D and Blue Sky</w:t>
      </w:r>
      <w:r>
        <w:rPr>
          <w:rFonts w:ascii="Times New Roman" w:cs="Times New Roman" w:eastAsia="Times New Roman" w:hAnsi="Times New Roman"/>
          <w:sz w:val="18"/>
          <w:szCs w:val="18"/>
          <w:color w:val="auto"/>
        </w:rPr>
        <w:t>. The Company shall file a Form D with respect to the Securities as required under Regulation D and to provide a copy thereof to each Buyer promptly after such filing. The Company shall, on or before the Closing Date, take such action as the Company shall reasonably determine is necessary in order to obtain an exemption for, or to, qualify the Securities for sale to the Buyers at the Closing pursuant to this Agreement under applicable securities or “Blue Sky” laws of the states of the United States (or to obtain an exemption from such qualification), and shall provide evidence of any such action so taken to the Buyers on or prior to the Closing Date. Without limiting any other obligation of the Company under this Agreement, the Company shall timely make all filings and reports relating to the offer and sale of the Securities required under all applicable securities laws (including, without limitation, all applicable federal securities laws and all applicable “Blue Sky” laws), and the Company shall comply with all applicable foreign, federal, state and local laws, statutes, rules, regulations and the like relating to the offering and sale of the Securities to the Buyers.</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Reporting Status</w:t>
      </w:r>
      <w:r>
        <w:rPr>
          <w:rFonts w:ascii="Times New Roman" w:cs="Times New Roman" w:eastAsia="Times New Roman" w:hAnsi="Times New Roman"/>
          <w:sz w:val="18"/>
          <w:szCs w:val="18"/>
          <w:color w:val="auto"/>
        </w:rPr>
        <w:t>. Until the date on which the Buyers shall have sold all of the Registrable Securities (the “</w:t>
      </w:r>
      <w:r>
        <w:rPr>
          <w:rFonts w:ascii="Times New Roman" w:cs="Times New Roman" w:eastAsia="Times New Roman" w:hAnsi="Times New Roman"/>
          <w:sz w:val="18"/>
          <w:szCs w:val="18"/>
          <w:b w:val="1"/>
          <w:bCs w:val="1"/>
          <w:color w:val="auto"/>
        </w:rPr>
        <w:t>Reporting Period</w:t>
      </w:r>
      <w:r>
        <w:rPr>
          <w:rFonts w:ascii="Times New Roman" w:cs="Times New Roman" w:eastAsia="Times New Roman" w:hAnsi="Times New Roman"/>
          <w:sz w:val="18"/>
          <w:szCs w:val="18"/>
          <w:color w:val="auto"/>
        </w:rPr>
        <w:t>”), the Company shall timely file all reports required to be filed with the SEC pursuant to the 1934 Act, and the Company shall not terminate its status as an issuer required to file reports under the 1934 Act even if the 1934 Act or the rules and regulations thereunder would no longer require or otherwise permit such termination. [From the time Form S-3 is available to the Company for the registration of the Registrable Securities, the Company shall take all actions necessary to maintain its eligibility to register the Registrable Securities for resale by the Buyers on Form S-3.]</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will use the proceeds from the sale of the Securities for general corporate purposes, but not, directly or indirectly, for (i) except as set forth on Schedule 4(d), the satisfaction of any indebtedness of the Company or any of its Subsidiaries, (ii) the redemption or repurchase of any securities of the Company or any of its Subsidiaries, or (iii) the settlement of any outstanding litigation.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Financial Information</w:t>
      </w:r>
      <w:r>
        <w:rPr>
          <w:rFonts w:ascii="Times New Roman" w:cs="Times New Roman" w:eastAsia="Times New Roman" w:hAnsi="Times New Roman"/>
          <w:sz w:val="18"/>
          <w:szCs w:val="18"/>
          <w:color w:val="auto"/>
        </w:rPr>
        <w:t>. The Company agrees to send the following to each Investor (as defined in the Registration Rights Agreement) during the Reporting Period (i) unless the following are filed with the SEC through EDGAR and are available to the public through the EDGAR system, within one (1) Business Day after the filing thereof with the SEC, a copy of its Annual Reports on Form 10-K and Quarterly Reports on Form 10-Q, any interim reports or any consolidated balance sheets, income statements, stockholders’ equity statements and/or cash flow statements for any period other than annual, any Current Reports on Form 8-K and any registration statements (other than on Form S-8) or amendments filed pursuant to the 1933 Act, (ii) unless the following are either filed with the SEC through EDGAR or are otherwise widely disseminated via a recognized news release service (such as PR Newswire), on the same day as the release thereof, e-mail copies of all press releases issued by the Company or any of its Subsidiaries and (iii) unless the following are filed with the SEC through EDGAR, copies of any notices and other information made available or given to the stockholders of the Company generally, contemporaneously with the making available or giving thereof to the stockholders.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shall promptly secure the listing or designation for quotation (as the case may be) of all of the Registrable Securities upon each national securities exchange and automated quotation system, if any, upon which the Common Stock is then listed or designated for quotation (as the case may be) (subject to official notice of issuance) and shall maintain such listing or designation for quotation (as the case may be) of all Registrable Securities from time to time issuable under the terms of the Transaction Documents on such national securities exchange or automated quotation system. The Company shall maintain the Common Stock’s listing or authorization for quotation (as the case may be) on The New York Stock Exchange, the NYSE American, the Nasdaq Capital Market, the Nasdaq Global Market or the Nasdaq Global Select Market (each, an “</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Neither the Company nor any of its Subsidiaries shall take any action which could be reasonably expected to result in the delisting or suspension of the Common Stock on an Eligible Market. The Company shall pay all fees and expenses in connection with satisfying its obligations under this Section 4(f).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Company shall reimburse Kelley Drye &amp; Warren LLP, documentation special counsel to Canaccord Genuity LLC, a non-accountable amount of $75,000, for all costs and expenses incurred by it or its affiliates in connection with the structuring, documentation, negotiation and closing of the transactions contemplated by the Transaction Documents (the “</w:t>
      </w:r>
      <w:r>
        <w:rPr>
          <w:rFonts w:ascii="Times New Roman" w:cs="Times New Roman" w:eastAsia="Times New Roman" w:hAnsi="Times New Roman"/>
          <w:sz w:val="18"/>
          <w:szCs w:val="18"/>
          <w:b w:val="1"/>
          <w:bCs w:val="1"/>
          <w:color w:val="auto"/>
        </w:rPr>
        <w:t>Transaction Expenses</w:t>
      </w:r>
      <w:r>
        <w:rPr>
          <w:rFonts w:ascii="Times New Roman" w:cs="Times New Roman" w:eastAsia="Times New Roman" w:hAnsi="Times New Roman"/>
          <w:sz w:val="18"/>
          <w:szCs w:val="18"/>
          <w:color w:val="auto"/>
        </w:rPr>
        <w:t>”), less $35,000 previously paid by the Company to Kelley Drye &amp; Warren LLP. The Company shall be responsible for the payment of any placement agents’ fees, financial advisory fees, transfer agent fees, DTC (as defined below) fees or broker’s commissions (other than for Persons engaged by any Buyer) relating to or arising out of the transactions contemplated hereby (including, without limitation, any fees or commissions payable to the Placement Agents, who are the Company’s sole placement agents in connection with the transactions contemplated by this Agreement). The Company shall pay, and hold each Buyer harmless against, any liability, loss or expense (including, without limitation, reasonable attorneys’ fees and out-of-pocket expenses) arising in connection with any claim relating to any such payment. Except as otherwise set forth in the Transaction Documents, each party to this Agreement shall bear its own expenses in connection with the sale of the Securities to the Buyers.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Pledge of Securities</w:t>
      </w:r>
      <w:r>
        <w:rPr>
          <w:rFonts w:ascii="Times New Roman" w:cs="Times New Roman" w:eastAsia="Times New Roman" w:hAnsi="Times New Roman"/>
          <w:sz w:val="18"/>
          <w:szCs w:val="18"/>
          <w:color w:val="auto"/>
        </w:rPr>
        <w:t>. Notwithstanding anything to the contrary contained in this Agreement, the Company acknowledges and agrees that the Securities may be pledged by an Investor in connection with a bona fide margin agreement or other loan or financing arrangement that is secured by the Securities. The pledge of Securities shall not be deemed to be a transfer, sale or assignment of the Securities hereunder, and no Investor effecting a pledge of Securities shall be required to provide the Company with any notice thereof or otherwise make any delivery to the Company pursuant to this Agreement or any other Transaction Document, including, without limitation, Section 2(g) hereof; provided that an Investor and its pledgee shall be required to comply with the provisions of Section 2(g) hereof in order to effect a sale, transfer or assignment of Securities to such pledgee. The Company hereby agrees to execute and deliver such documentation as a pledgee of the Securities may reasonably request in connection with a pledge of the Securities to such pledgee by a Buyer.</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Disclosure of Transactions and Other Material Information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right="20" w:firstLine="648"/>
        <w:spacing w:after="0" w:line="216" w:lineRule="auto"/>
        <w:rPr>
          <w:sz w:val="20"/>
          <w:szCs w:val="20"/>
          <w:color w:val="auto"/>
        </w:rPr>
      </w:pPr>
      <w:r>
        <w:rPr>
          <w:rFonts w:ascii="Times New Roman" w:cs="Times New Roman" w:eastAsia="Times New Roman" w:hAnsi="Times New Roman"/>
          <w:sz w:val="18"/>
          <w:szCs w:val="18"/>
          <w:color w:val="auto"/>
        </w:rPr>
        <w:t xml:space="preserve">  (i)             </w:t>
      </w:r>
      <w:r>
        <w:rPr>
          <w:rFonts w:ascii="Times New Roman" w:cs="Times New Roman" w:eastAsia="Times New Roman" w:hAnsi="Times New Roman"/>
          <w:sz w:val="18"/>
          <w:szCs w:val="18"/>
          <w:u w:val="single" w:color="auto"/>
          <w:color w:val="auto"/>
        </w:rPr>
        <w:t>Disclosure of Transaction</w:t>
      </w:r>
      <w:r>
        <w:rPr>
          <w:rFonts w:ascii="Times New Roman" w:cs="Times New Roman" w:eastAsia="Times New Roman" w:hAnsi="Times New Roman"/>
          <w:sz w:val="18"/>
          <w:szCs w:val="18"/>
          <w:color w:val="auto"/>
        </w:rPr>
        <w:t>. The Company shall, on or before 9:30 a.m., New York time, on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Business Day after the date of this Agreement, issue a press release (the “</w:t>
      </w:r>
      <w:r>
        <w:rPr>
          <w:rFonts w:ascii="Times New Roman" w:cs="Times New Roman" w:eastAsia="Times New Roman" w:hAnsi="Times New Roman"/>
          <w:sz w:val="18"/>
          <w:szCs w:val="18"/>
          <w:b w:val="1"/>
          <w:bCs w:val="1"/>
          <w:color w:val="auto"/>
        </w:rPr>
        <w:t>Press Release</w:t>
      </w:r>
      <w:r>
        <w:rPr>
          <w:rFonts w:ascii="Times New Roman" w:cs="Times New Roman" w:eastAsia="Times New Roman" w:hAnsi="Times New Roman"/>
          <w:sz w:val="18"/>
          <w:szCs w:val="18"/>
          <w:color w:val="auto"/>
        </w:rPr>
        <w:t>”) reasonably acceptable to the Buyers disclosing all the material terms of the</w:t>
      </w:r>
    </w:p>
    <w:p>
      <w:pPr>
        <w:spacing w:after="0" w:line="1" w:lineRule="exact"/>
        <w:rPr>
          <w:sz w:val="20"/>
          <w:szCs w:val="20"/>
          <w:color w:val="auto"/>
        </w:rPr>
      </w:pPr>
    </w:p>
    <w:p>
      <w:pPr>
        <w:jc w:val="both"/>
        <w:ind w:left="660"/>
        <w:spacing w:after="0"/>
        <w:rPr>
          <w:sz w:val="20"/>
          <w:szCs w:val="20"/>
          <w:color w:val="auto"/>
        </w:rPr>
      </w:pPr>
      <w:r>
        <w:rPr>
          <w:rFonts w:ascii="Times New Roman" w:cs="Times New Roman" w:eastAsia="Times New Roman" w:hAnsi="Times New Roman"/>
          <w:sz w:val="18"/>
          <w:szCs w:val="18"/>
          <w:color w:val="auto"/>
        </w:rPr>
        <w:t>transactions contemplated by the Transaction Documents. On or before 9:30 a.m., New York time, on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Business Day after the date of this Agreement, the Company shall file a Current Report on Form 8-K describing all the material terms of the transactions contemplated by the Transaction Documents in the form required by the 1934 Act and attaching all the material Transaction Documents (including, without limitation, this Agreement (and all schedules to this Agreement), the form of the Warrants, the form of Voting Agreement and the form of the Registration Rights Agreement) (including all attachments, the “</w:t>
      </w:r>
      <w:r>
        <w:rPr>
          <w:rFonts w:ascii="Times New Roman" w:cs="Times New Roman" w:eastAsia="Times New Roman" w:hAnsi="Times New Roman"/>
          <w:sz w:val="18"/>
          <w:szCs w:val="18"/>
          <w:b w:val="1"/>
          <w:bCs w:val="1"/>
          <w:color w:val="auto"/>
        </w:rPr>
        <w:t>8-K Filing</w:t>
      </w:r>
      <w:r>
        <w:rPr>
          <w:rFonts w:ascii="Times New Roman" w:cs="Times New Roman" w:eastAsia="Times New Roman" w:hAnsi="Times New Roman"/>
          <w:sz w:val="18"/>
          <w:szCs w:val="18"/>
          <w:color w:val="auto"/>
        </w:rPr>
        <w:t>”). From and after the filing of the Press Release, the Company shall have disclosed all material, non-public information (if any) provided to any of the Buyers by the Company or any of its Subsidiaries or any of their respective officers, directors, employees or agents in connection with the transactions contemplated by the Transaction Documents. In addition, effective upon the filing of the Press Release, the Company acknowledges and agrees that any and all confidentiality or similar obligations under any agreement, whether written or oral, between the Company, any of its Subsidiaries or any of their respective officers, directors, affiliates, employees or agents, on the one hand, and any of the Buyers or any of their affiliates, on the other hand, shall terminate.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left="660" w:firstLine="648"/>
        <w:spacing w:after="0" w:line="251" w:lineRule="auto"/>
        <w:rPr>
          <w:sz w:val="20"/>
          <w:szCs w:val="20"/>
          <w:color w:val="auto"/>
        </w:rPr>
      </w:pPr>
      <w:r>
        <w:rPr>
          <w:rFonts w:ascii="Times New Roman" w:cs="Times New Roman" w:eastAsia="Times New Roman" w:hAnsi="Times New Roman"/>
          <w:sz w:val="18"/>
          <w:szCs w:val="18"/>
          <w:color w:val="auto"/>
        </w:rPr>
        <w:t xml:space="preserve">  (ii)            </w:t>
      </w:r>
      <w:r>
        <w:rPr>
          <w:rFonts w:ascii="Times New Roman" w:cs="Times New Roman" w:eastAsia="Times New Roman" w:hAnsi="Times New Roman"/>
          <w:sz w:val="18"/>
          <w:szCs w:val="18"/>
          <w:u w:val="single" w:color="auto"/>
          <w:color w:val="auto"/>
        </w:rPr>
        <w:t>Limitations on Disclosure</w:t>
      </w:r>
      <w:r>
        <w:rPr>
          <w:rFonts w:ascii="Times New Roman" w:cs="Times New Roman" w:eastAsia="Times New Roman" w:hAnsi="Times New Roman"/>
          <w:sz w:val="18"/>
          <w:szCs w:val="18"/>
          <w:color w:val="auto"/>
        </w:rPr>
        <w:t>. The Company shall not, and the Company shall cause each of its Subsidiaries and each of its and their respective officers, directors, employees and agents not to, provide any Buyer with any material, non-public information regarding the Company or any of its Subsidiaries from and after the date hereof without the express prior written consent of such Buyer (which may be granted or withheld in such Buyer’s sole discretion). In the event of a breach of any of the foregoing covenants, or any of the covenants or agreements contained in any other Transaction Document, by the Company, any of its Subsidiaries, or any of its or their respective officers, directors, employees and agents (as determined in the reasonable good faith judgment of such Buyer), in addition to any other remedy provided herein or in the Transaction Documents, such Buyer shall have the right to make a public disclosure, in the form of a press release, public advertisement or otherwise, of such breach or such material, non-public information, as applicable, without the prior approval by the Company, any of its Subsidiaries, or any of its or their respective officers, directors, employees or agents. No Buyer shall have any liability to the Company, any of its Subsidiaries, or any of its or their respective officers, directors, employees, affiliates, stockholders or agents, for any such disclosure. To the extent that the Company delivers any material, non-public information to a Buyer without such Buyer’s consent, the Company hereby covenants and agrees that such Buyer shall not have any duty of confidentiality with respect to, or a duty not to trade on the basis of, such material, non-public information. Subject to the foregoing, neither the Company, its Subsidiaries nor any Buyer shall issue any press releases or any other public statements with respect to the transactions contemplated hereby; provided, however, the Company shall be entitled, without the prior approval of any Buyer, to make the Press Release and any press release or other public disclosure with respect to such transactions (i) in substantial conformity with the 8-K Filing and contemporaneously therewith and (ii) as is required by applicable law and regulations (provided that in the case of clause (i) each Buyer shall be consulted by the Company in connection with any such press release or other public disclosure prior to its release). Without the prior written consent of the applicable Buyer (which may be granted or withheld in such Buyer’s sole discretion), the Company shall not (and shall cause each of its Subsidiaries and affiliates to not) disclose the name of such Buyer in any filing, announcement, release or otherwise. Notwithstanding anything contained in this Agreement to the contrary and without implication that the contrary would otherwise be true, the Company expressly acknowledges and agrees that no Buyer shall have (unless expressly agreed to by a particular Buyer after the date hereof in a written definitive and binding agreement executed by the Company and such particular Buyer (it being understood and agreed that no Buyer may bind any other Buyer with respect thereto)), any duty of confidentiality with respect to, or a duty not to trade on the basis of, any material, non-public information regarding the Company or any of its Subsidiaries.</w:t>
      </w:r>
    </w:p>
    <w:p>
      <w:pPr>
        <w:spacing w:after="0" w:line="2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u w:val="single" w:color="auto"/>
          <w:color w:val="auto"/>
        </w:rPr>
        <w:t>Additional Registration Statements</w:t>
      </w:r>
      <w:r>
        <w:rPr>
          <w:rFonts w:ascii="Times New Roman" w:cs="Times New Roman" w:eastAsia="Times New Roman" w:hAnsi="Times New Roman"/>
          <w:sz w:val="18"/>
          <w:szCs w:val="18"/>
          <w:color w:val="auto"/>
        </w:rPr>
        <w:t>. During the Restricted Period (as defined below) and at any time thereafter while any Registration Statement is not effective or the prospectus contained therein is not available for use or any Current Public Information Failure (as defined in the Registration Rights Agreement) exists, the Company shall not file a registration statement under the 1933 Act relating to securities that are not the Registrable Securities (other than a registration statement on Form S-8 or Form S-4 or such supplements or amendments to registration statements that are outstanding and have been declared effective by the SEC as of the date hereof (solely to the extent necessary to keep such registration statements effective and available and not with respect to any Subsequent Placement)). “</w:t>
      </w:r>
      <w:r>
        <w:rPr>
          <w:rFonts w:ascii="Times New Roman" w:cs="Times New Roman" w:eastAsia="Times New Roman" w:hAnsi="Times New Roman"/>
          <w:sz w:val="18"/>
          <w:szCs w:val="18"/>
          <w:b w:val="1"/>
          <w:bCs w:val="1"/>
          <w:color w:val="auto"/>
        </w:rPr>
        <w:t>Applicable Date</w:t>
      </w:r>
      <w:r>
        <w:rPr>
          <w:rFonts w:ascii="Times New Roman" w:cs="Times New Roman" w:eastAsia="Times New Roman" w:hAnsi="Times New Roman"/>
          <w:sz w:val="18"/>
          <w:szCs w:val="18"/>
          <w:color w:val="auto"/>
        </w:rPr>
        <w:t>” means the later of (x) the Stockholder Approval Date (as defined below) and (y) the earlier of (A) the first date on which a Registration Statement (as defined in the Registration Rights Agreement) registering the resale by the Buyers of all of the Registrable Securities is declared effective by the SEC (and the prospectus contained therein is available for use on such date) or</w:t>
      </w:r>
    </w:p>
    <w:p>
      <w:pPr>
        <w:spacing w:after="0" w:line="1" w:lineRule="exact"/>
        <w:rPr>
          <w:sz w:val="20"/>
          <w:szCs w:val="20"/>
          <w:color w:val="auto"/>
        </w:rPr>
      </w:pPr>
    </w:p>
    <w:p>
      <w:pPr>
        <w:ind w:firstLine="8"/>
        <w:spacing w:after="0" w:line="260" w:lineRule="auto"/>
        <w:tabs>
          <w:tab w:leader="none" w:pos="28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date on which all of the Registrable Securities are eligible to be resold by the Buyers pursuant to Rule 144 (or, if a Current Public Information Failure has occurred and is continuing, such later date after which the Company has cured such Current Public Information Failure).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648"/>
        <w:spacing w:after="0" w:line="248"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u w:val="single" w:color="auto"/>
          <w:color w:val="auto"/>
        </w:rPr>
        <w:t>Additional Issuance of Securities</w:t>
      </w:r>
      <w:r>
        <w:rPr>
          <w:rFonts w:ascii="Times New Roman" w:cs="Times New Roman" w:eastAsia="Times New Roman" w:hAnsi="Times New Roman"/>
          <w:sz w:val="18"/>
          <w:szCs w:val="18"/>
          <w:color w:val="auto"/>
        </w:rPr>
        <w:t>. The Company agrees that for the period commencing on the date hereof and ending on the date immediately following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after the Applicable Date (provided that such period shall be extended by the number of calendar days during such period and any extension thereof contemplated by this proviso on which any Registration Statement is not effective or any prospectus contained therein is not available for use or any Current Public Information Failure exists)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neither the Company nor any of its Subsidiaries shall directly or indirectly issue, offer, sell, grant any option or right to purchase, or otherwise dispose of (or announce any issuance, offer, sale, grant of any option or right to purchase or other disposition of) any equity security or any equity-linked or related security (including, without limitation, any “equity security” (as that term is defined under Rule 405 promulgated under the 1933 Act), any Common Stock Equivalents (as defined below), any debt, any preferred stock or any purchase rights) (any such issuance, offer, sale, grant, disposition or announcement (whether occurring during the Restricted Period or at any time thereafter) is referred to as a “</w:t>
      </w:r>
      <w:r>
        <w:rPr>
          <w:rFonts w:ascii="Times New Roman" w:cs="Times New Roman" w:eastAsia="Times New Roman" w:hAnsi="Times New Roman"/>
          <w:sz w:val="18"/>
          <w:szCs w:val="18"/>
          <w:b w:val="1"/>
          <w:bCs w:val="1"/>
          <w:color w:val="auto"/>
        </w:rPr>
        <w:t>Subsequent Placement</w:t>
      </w:r>
      <w:r>
        <w:rPr>
          <w:rFonts w:ascii="Times New Roman" w:cs="Times New Roman" w:eastAsia="Times New Roman" w:hAnsi="Times New Roman"/>
          <w:sz w:val="18"/>
          <w:szCs w:val="18"/>
          <w:color w:val="auto"/>
        </w:rPr>
        <w:t>”). Notwithstanding the foregoing, this Section 4(k) shall not apply in respect of the issuance of (i) shares of Common Stock or standard options to purchase Common Stock to directors, officers, consultant, advisor or employees of the Company in their capacity as such pursuant to an Approved Stock Plan (as defined below),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Buyers; (ii) shares of Common Stock issued upon the conversion or exercise of Common Stock Equivalents (other than standard options to purchase Common Stock issued pursuant to an Approved Stock Plan that are covered by clause (i) above) issued prior to the date hereof, provided that the conversion, exercise or other method of issuance (as the case may be) of any such Common Stock Equivalent is made solely pursuant to the conversion, exercise or other method of issuance (as the case may be) provisions of such Common Stock Equivalent that were in effect on the date immediately prior to the date of this Agreement, the conversion, exercise or issuance price of any such Common Stock Equivalents (other than standard options to purchase Common Stock issued pursuant to an Approved Stock Plan that are covered by clause (i) above) is not lowered, none of such Common Stock Equivalents (other than standard options to purchase Common Stock issued pursuant to an Approved Stock Plan that are covered by clause (i) above) are amended to increase the number of shares issuable thereunder and none of the terms or conditions of any such Common Stock Equivalents (other than standard options to purchase Common Stock issued pursuant to an Approved Stock Plan that are covered by clause (i) above) are otherwise materially changed in any manner that adversely affects any of the Buyers; (iii) the Warrant Shares, (iv) if the VWAP of the Common Stock exceeds 150% of the Exercise Price (as defined in the Warrants) for ten (10) consecutive Trading Days at any time after the Closing Date, shares of Common Stock issued or issuable pursuant to the Permitted ATM (each, an “</w:t>
      </w:r>
      <w:r>
        <w:rPr>
          <w:rFonts w:ascii="Times New Roman" w:cs="Times New Roman" w:eastAsia="Times New Roman" w:hAnsi="Times New Roman"/>
          <w:sz w:val="18"/>
          <w:szCs w:val="18"/>
          <w:b w:val="1"/>
          <w:bCs w:val="1"/>
          <w:color w:val="auto"/>
        </w:rPr>
        <w:t>Excluded ATM Issuance</w:t>
      </w:r>
      <w:r>
        <w:rPr>
          <w:rFonts w:ascii="Times New Roman" w:cs="Times New Roman" w:eastAsia="Times New Roman" w:hAnsi="Times New Roman"/>
          <w:sz w:val="18"/>
          <w:szCs w:val="18"/>
          <w:color w:val="auto"/>
        </w:rPr>
        <w:t>”) and (v) any shares of Common Stock issued or issuable in connection with any bona fide strategic or commercial alliances, sponsored research, collaboration, technology license, development, OEM, marketing or other similar agreements, acquisitions, mergers, licensing arrangements, and strategic partnerships, provided, that (A) the primary purpose of such issuance is not to raise capital as reasonably determined, (B) such issuance is not to a Person whose primary business is investing in securities and (C) the purchaser or acquirer or recipient of the securities in such issuance solely consists of either (I) the actual participants in such strategic or commercial alliance, strategic or commercial licensing arrangement or strategic or commercial partnership, (II) the actual owners of such assets or securities acquired in such acquisition or merger or (III) the stockholders, partners, employees, consultants, officers, directors or members of the foregoing Persons, in each case, which is, itself or through its subsidiaries, an operating company or an owner of an asset, in a business synergistic with the business of the Company and shall provide to the Company additional benefits in addition to the investment of funds, and (IV) the number or amount of securities issued to such Persons by the Company shall not be disproportionate to each such Person’s actual participation in (or fair market value of the contribution to) such strategic or commercial alliance or strategic or commercial partnership or ownership of such assets or securities to be acquired by the Company, as applicable (each of the foregoing in clauses (i) through (iv), collectively the “</w:t>
      </w:r>
      <w:r>
        <w:rPr>
          <w:rFonts w:ascii="Times New Roman" w:cs="Times New Roman" w:eastAsia="Times New Roman" w:hAnsi="Times New Roman"/>
          <w:sz w:val="18"/>
          <w:szCs w:val="18"/>
          <w:b w:val="1"/>
          <w:bCs w:val="1"/>
          <w:color w:val="auto"/>
        </w:rPr>
        <w:t>Excluded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Approved Stock Plan</w:t>
      </w:r>
      <w:r>
        <w:rPr>
          <w:rFonts w:ascii="Times New Roman" w:cs="Times New Roman" w:eastAsia="Times New Roman" w:hAnsi="Times New Roman"/>
          <w:sz w:val="18"/>
          <w:szCs w:val="18"/>
          <w:color w:val="auto"/>
        </w:rPr>
        <w:t>” means any employee benefit plan which has been approved by the board of directors of the Company prior to or subsequent to the date hereof pursuant to which shares of Common Stock and standard options to purchase Common Stock may be issued to any employee, officer, consultant, advisor or director for services provided to the Company in their capacity as such.</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So long as any of the Warrants remain outstanding, the Company shall take all action necessary to at all times have authorized, and reserved for the purpose of issuance, no less than 100% of the maximum number of Warrant Shares issuable upon exercise of all the Warrants then outstanding (without regard to any limitations on the exercise of the Warrants set forth therein) (collectively, the “</w:t>
      </w:r>
      <w:r>
        <w:rPr>
          <w:rFonts w:ascii="Times New Roman" w:cs="Times New Roman" w:eastAsia="Times New Roman" w:hAnsi="Times New Roman"/>
          <w:sz w:val="18"/>
          <w:szCs w:val="18"/>
          <w:b w:val="1"/>
          <w:bCs w:val="1"/>
          <w:color w:val="auto"/>
        </w:rPr>
        <w:t>Required Reserve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provided that at no time shall the number of shares of Common Stock reserved pursuant to this Section 4(l) be reduced other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proportionally in connection with any exercise and/or redemption, as applicable of Warrants. If at any time the number of shares of Common Stock authorized and reserved for issuance is not sufficient to meet the Required Reserve Amount, the Company will promptly take all corporate action necessary to authorize and reserve a sufficient number of shares, including, without limitation, calling a special meeting of stockholders to authorize additional shares to meet the Company’s obligations pursuant to the Transaction Documents, in the case of an insufficient number of authorized shares, obtain stockholder approval of an increase in such authorized number of shares, and voting the management shares of the Company in favor of an increase in the authorized shares of the Company to ensure that the number of authorized shares is sufficient to meet the Required Reserve Amount.</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 The business of the Company and its Subsidiaries shall not be conducted in violation of any law, ordinance or regulation of any Governmental Entity, except where such violations would not reasonably be expected to result, either individually or in the aggregate, in a Material Adverse Effect.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(n)              </w:t>
      </w:r>
      <w:r>
        <w:rPr>
          <w:rFonts w:ascii="Times New Roman" w:cs="Times New Roman" w:eastAsia="Times New Roman" w:hAnsi="Times New Roman"/>
          <w:sz w:val="18"/>
          <w:szCs w:val="18"/>
          <w:u w:val="single" w:color="auto"/>
          <w:color w:val="auto"/>
        </w:rPr>
        <w:t>Variable Securities</w:t>
      </w:r>
      <w:r>
        <w:rPr>
          <w:rFonts w:ascii="Times New Roman" w:cs="Times New Roman" w:eastAsia="Times New Roman" w:hAnsi="Times New Roman"/>
          <w:sz w:val="18"/>
          <w:szCs w:val="18"/>
          <w:color w:val="auto"/>
        </w:rPr>
        <w:t>. At any time during the Restricted Period, the Company and each Subsidiary shall be prohibited from effecting or entering into an agreement to effect any Subsequent Placement involving a Variable Rate Transaction (other than the Permitted ATM (as defined below)); provided, that the Company shall not sell any shares of Common Stock pursuant to the Permitted ATM during the period commencing on the date hereof and ending on March 18, 2025 (other than any shares of Common Stock pursuant to any Excluded ATM Issuance). “</w:t>
      </w:r>
      <w:r>
        <w:rPr>
          <w:rFonts w:ascii="Times New Roman" w:cs="Times New Roman" w:eastAsia="Times New Roman" w:hAnsi="Times New Roman"/>
          <w:sz w:val="18"/>
          <w:szCs w:val="18"/>
          <w:b w:val="1"/>
          <w:bCs w:val="1"/>
          <w:color w:val="auto"/>
        </w:rPr>
        <w:t>Variable Rate Transaction</w:t>
      </w:r>
      <w:r>
        <w:rPr>
          <w:rFonts w:ascii="Times New Roman" w:cs="Times New Roman" w:eastAsia="Times New Roman" w:hAnsi="Times New Roman"/>
          <w:sz w:val="18"/>
          <w:szCs w:val="18"/>
          <w:color w:val="auto"/>
        </w:rPr>
        <w:t>” means a transaction in which the Company or any Subsidiary (i) issues or sells any Common Stock Equivalents either (A) at a conversion, exercise or exchange rate or other price that is based upon and/or varies with the trading prices of or quotations for the shares of Common Stock at any time after the initial issuance of such Common Stock Equivalents, or (B) with a conversion, exercise or exchange price that is subject to being reset at some future date after the initial issuance of such Common Stock Equivalents or upon the occurrence of specified or contingent events directly or indirectly related to the business of the Company or the market for the Common Stock, other than pursuant to a customary “weighted average” or “full-ratchet” anti-dilution provision or (ii) enters into any agreement (including, without limitation, an equity line of credit or an “at-the-market” offering) whereby the Company or any Subsidiary may sell securities at a future determined price (other than standard and customary “preemptive” or “participation” rights). Each Buyer shall be entitled to obtain injunctive relief against the Company and its Subsidiaries to preclude any such issuance, which remedy shall be in addition to any right to collect damages. “</w:t>
      </w:r>
      <w:r>
        <w:rPr>
          <w:rFonts w:ascii="Times New Roman" w:cs="Times New Roman" w:eastAsia="Times New Roman" w:hAnsi="Times New Roman"/>
          <w:sz w:val="18"/>
          <w:szCs w:val="18"/>
          <w:b w:val="1"/>
          <w:bCs w:val="1"/>
          <w:color w:val="auto"/>
        </w:rPr>
        <w:t>Permitted ATM</w:t>
      </w:r>
      <w:r>
        <w:rPr>
          <w:rFonts w:ascii="Times New Roman" w:cs="Times New Roman" w:eastAsia="Times New Roman" w:hAnsi="Times New Roman"/>
          <w:sz w:val="18"/>
          <w:szCs w:val="18"/>
          <w:color w:val="auto"/>
        </w:rPr>
        <w:t>” means any at-the-market offering with a bona-fide registered broker dealer.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               [Intentionally Omitted]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(p)               </w:t>
      </w:r>
      <w:r>
        <w:rPr>
          <w:rFonts w:ascii="Times New Roman" w:cs="Times New Roman" w:eastAsia="Times New Roman" w:hAnsi="Times New Roman"/>
          <w:sz w:val="18"/>
          <w:szCs w:val="18"/>
          <w:u w:val="single" w:color="auto"/>
          <w:color w:val="auto"/>
        </w:rPr>
        <w:t>Dilutive Issuances</w:t>
      </w:r>
      <w:r>
        <w:rPr>
          <w:rFonts w:ascii="Times New Roman" w:cs="Times New Roman" w:eastAsia="Times New Roman" w:hAnsi="Times New Roman"/>
          <w:sz w:val="18"/>
          <w:szCs w:val="18"/>
          <w:color w:val="auto"/>
        </w:rPr>
        <w:t>. For so long as any Warrants remain outstanding, the Company shall not, in any manner, enter into or affect any Dilutive Issuance (as defined in the Warrants) if the effect of such Dilutive Issuance is to cause the Company to be required to issue upon exercise of any Warrant any shares of Common Stock in excess of that number of shares of Common Stock which the Company may issue upon exercise of the Warrants without breaching the Company’s obligations under the rules or regulations of the Principal Market.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(q)              </w:t>
      </w:r>
      <w:r>
        <w:rPr>
          <w:rFonts w:ascii="Times New Roman" w:cs="Times New Roman" w:eastAsia="Times New Roman" w:hAnsi="Times New Roman"/>
          <w:sz w:val="18"/>
          <w:szCs w:val="18"/>
          <w:u w:val="single" w:color="auto"/>
          <w:color w:val="auto"/>
        </w:rPr>
        <w:t>Passive Foreign Investment Company</w:t>
      </w:r>
      <w:r>
        <w:rPr>
          <w:rFonts w:ascii="Times New Roman" w:cs="Times New Roman" w:eastAsia="Times New Roman" w:hAnsi="Times New Roman"/>
          <w:sz w:val="18"/>
          <w:szCs w:val="18"/>
          <w:color w:val="auto"/>
        </w:rPr>
        <w:t>. The Company shall conduct its business, and shall cause its Subsidiaries to conduct their respective businesses, in such a manner as will ensure that the Company will not be deemed to constitute a passive foreign investment company within the meaning of Section 1297 of the Code.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(r)               </w:t>
      </w:r>
      <w:r>
        <w:rPr>
          <w:rFonts w:ascii="Times New Roman" w:cs="Times New Roman" w:eastAsia="Times New Roman" w:hAnsi="Times New Roman"/>
          <w:sz w:val="18"/>
          <w:szCs w:val="18"/>
          <w:u w:val="single" w:color="auto"/>
          <w:color w:val="auto"/>
        </w:rPr>
        <w:t>Restriction on Redemption and Cash Dividends</w:t>
      </w:r>
      <w:r>
        <w:rPr>
          <w:rFonts w:ascii="Times New Roman" w:cs="Times New Roman" w:eastAsia="Times New Roman" w:hAnsi="Times New Roman"/>
          <w:sz w:val="18"/>
          <w:szCs w:val="18"/>
          <w:color w:val="auto"/>
        </w:rPr>
        <w:t>. So long as any Warrants are outstanding, the Company shall not, directly or indirectly, redeem, or declare or pay any cash dividend or distribution on, any securities of the Company without the prior express written consent of the Buyers.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Corporate Existence</w:t>
      </w:r>
      <w:r>
        <w:rPr>
          <w:rFonts w:ascii="Times New Roman" w:cs="Times New Roman" w:eastAsia="Times New Roman" w:hAnsi="Times New Roman"/>
          <w:sz w:val="18"/>
          <w:szCs w:val="18"/>
          <w:color w:val="auto"/>
        </w:rPr>
        <w:t>. So long as any Buyer beneficially owns any Warrants, the Company shall not be party to any Fundamental Transaction (as defined in the Warrants) unless the Company is in compliance with the applicable provisions governing Fundamental Transactions set forth in the Warrants.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                [Intentionally Omitted]</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(u)               </w:t>
      </w:r>
      <w:r>
        <w:rPr>
          <w:rFonts w:ascii="Times New Roman" w:cs="Times New Roman" w:eastAsia="Times New Roman" w:hAnsi="Times New Roman"/>
          <w:sz w:val="18"/>
          <w:szCs w:val="18"/>
          <w:u w:val="single" w:color="auto"/>
          <w:color w:val="auto"/>
        </w:rPr>
        <w:t>Exercise Procedures</w:t>
      </w:r>
      <w:r>
        <w:rPr>
          <w:rFonts w:ascii="Times New Roman" w:cs="Times New Roman" w:eastAsia="Times New Roman" w:hAnsi="Times New Roman"/>
          <w:sz w:val="18"/>
          <w:szCs w:val="18"/>
          <w:color w:val="auto"/>
        </w:rPr>
        <w:t>. The form of Exercise Notice (as defined in the Warrants) included in the Warrants sets forth the totality of the procedures required of the Buyers in order to exercise the Warrants. No legal opinion or other information or instructions shall be required of the Buyers to exercise their Warrants. The Company shall honor exercises of the Warrants and shall deliver the Warrant Shares in accordance with the terms, conditions and time periods set forth in the Warrants. Without limiting the preceding sentences, no ink-original Exercise Notice shall be required, nor shall any medallion guarantee (or other type of guarantee or notarization) of any Exercise Notice form be required in order to exercise the Warrants.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Regulation M</w:t>
      </w:r>
      <w:r>
        <w:rPr>
          <w:rFonts w:ascii="Times New Roman" w:cs="Times New Roman" w:eastAsia="Times New Roman" w:hAnsi="Times New Roman"/>
          <w:sz w:val="18"/>
          <w:szCs w:val="18"/>
          <w:color w:val="auto"/>
        </w:rPr>
        <w:t>. The Company will not take any action prohibited by Regulation M under the 1934 Act, in connection with the distribution of the Securities contemplated hereby.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              </w:t>
      </w: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None of the Company, any of its affiliates (as defined in Rule 501(b) under the 1933 Act) or any person acting on behalf of the Company or such affiliate will solicit any offer to buy or offer or sell the Securities by means of any form of general solicitation or general advertising within the meaning of Regulation D, including: (i) any advertisement, article, notice or other communication published in any newspaper, magazine or similar medium or broadcast over television or radio; and (ii) any seminar or meeting whose attendees have been invited by any general solicitation or general advertising.</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(x)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None of the Company, any of its affiliates (as defined in Rule 501(b) under the 1933 Act), or any person acting on behalf of the Company or such affiliate will sell, offer for sale, or solicit offers to buy or otherwise negotiate in respect of any security (as defined in the 1933 Act) which will be integrated with the sale of the Securities in a manner which would require the registration of the Securities under the 1933 Act or require stockholder approval under the rules and regulations of the Principal Market and the Company will take all action that is appropriate or necessary to assure that its offerings of other securities will not be integrated for purposes of the 1933 Act or the rules and regulations of the Principal Market, with the issuance of Securities contemplated hereby.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(y)               </w:t>
      </w:r>
      <w:r>
        <w:rPr>
          <w:rFonts w:ascii="Times New Roman" w:cs="Times New Roman" w:eastAsia="Times New Roman" w:hAnsi="Times New Roman"/>
          <w:sz w:val="18"/>
          <w:szCs w:val="18"/>
          <w:u w:val="single" w:color="auto"/>
          <w:color w:val="auto"/>
        </w:rPr>
        <w:t>Notice of Disqualification Events</w:t>
      </w:r>
      <w:r>
        <w:rPr>
          <w:rFonts w:ascii="Times New Roman" w:cs="Times New Roman" w:eastAsia="Times New Roman" w:hAnsi="Times New Roman"/>
          <w:sz w:val="18"/>
          <w:szCs w:val="18"/>
          <w:color w:val="auto"/>
        </w:rPr>
        <w:t>. The Company will notify the Buyers in writing, prior to the Closing Date of (i) any Disqualification Event relating to any Issuer Covered Person and (ii) any event that would, with the passage of time, become a Disqualification Event relating to any Issuer Covered Person.</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(z)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Company shall either (x) if the Company shall have obtained the prior written consent of the requisite stockholders (the “</w:t>
      </w:r>
      <w:r>
        <w:rPr>
          <w:rFonts w:ascii="Times New Roman" w:cs="Times New Roman" w:eastAsia="Times New Roman" w:hAnsi="Times New Roman"/>
          <w:sz w:val="18"/>
          <w:szCs w:val="18"/>
          <w:b w:val="1"/>
          <w:bCs w:val="1"/>
          <w:color w:val="auto"/>
        </w:rPr>
        <w:t>Stockholder Consent</w:t>
      </w:r>
      <w:r>
        <w:rPr>
          <w:rFonts w:ascii="Times New Roman" w:cs="Times New Roman" w:eastAsia="Times New Roman" w:hAnsi="Times New Roman"/>
          <w:sz w:val="18"/>
          <w:szCs w:val="18"/>
          <w:color w:val="auto"/>
        </w:rPr>
        <w:t>”) to obtain the Stockholder Approval (as defined below), inform the stockholders of the Company of the receipt of the Stockholder Consent by preparing and filing with the SEC, as promptly as practicable after the date hereof, but prior to the forty-fifth (45th) calendar day after the Closing Date (or, if such filing is delayed by a court or regulatory agency, in no event later than the 90th calendar day after the Closing Date), an information statement with respect thereto or (y) provide each stockholder entitled to vote at a special meeting of stockholders of the Company (the “</w:t>
      </w:r>
      <w:r>
        <w:rPr>
          <w:rFonts w:ascii="Times New Roman" w:cs="Times New Roman" w:eastAsia="Times New Roman" w:hAnsi="Times New Roman"/>
          <w:sz w:val="18"/>
          <w:szCs w:val="18"/>
          <w:b w:val="1"/>
          <w:bCs w:val="1"/>
          <w:color w:val="auto"/>
        </w:rPr>
        <w:t>Stockholder Meeting</w:t>
      </w:r>
      <w:r>
        <w:rPr>
          <w:rFonts w:ascii="Times New Roman" w:cs="Times New Roman" w:eastAsia="Times New Roman" w:hAnsi="Times New Roman"/>
          <w:sz w:val="18"/>
          <w:szCs w:val="18"/>
          <w:color w:val="auto"/>
        </w:rPr>
        <w:t>”), which shall be promptly called and held not later than the 90th calendar day after the Closing Date (the “</w:t>
      </w:r>
      <w:r>
        <w:rPr>
          <w:rFonts w:ascii="Times New Roman" w:cs="Times New Roman" w:eastAsia="Times New Roman" w:hAnsi="Times New Roman"/>
          <w:sz w:val="18"/>
          <w:szCs w:val="18"/>
          <w:b w:val="1"/>
          <w:bCs w:val="1"/>
          <w:color w:val="auto"/>
        </w:rPr>
        <w:t>Stockholder Meeting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Deadline</w:t>
      </w:r>
      <w:r>
        <w:rPr>
          <w:rFonts w:ascii="Times New Roman" w:cs="Times New Roman" w:eastAsia="Times New Roman" w:hAnsi="Times New Roman"/>
          <w:sz w:val="18"/>
          <w:szCs w:val="18"/>
          <w:color w:val="auto"/>
        </w:rPr>
        <w:t>”), a proxy statement, in each case, in a form reasonably acceptable to the Buyers and Kelley Drye &amp; Warren LLP, at the expense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Company obligated to reimburse the expenses of Kelley Drye &amp; Warren LLP incurred in connection therewith in an amount not exceed $5,000. The proxy statement, if any, shall solicit each of the Company’s stockholder’s affirmative vote at the Stockholder Meeting for approval of resolutions (“</w:t>
      </w:r>
      <w:r>
        <w:rPr>
          <w:rFonts w:ascii="Times New Roman" w:cs="Times New Roman" w:eastAsia="Times New Roman" w:hAnsi="Times New Roman"/>
          <w:sz w:val="18"/>
          <w:szCs w:val="18"/>
          <w:b w:val="1"/>
          <w:bCs w:val="1"/>
          <w:color w:val="auto"/>
        </w:rPr>
        <w:t>Stockholder Resolutions</w:t>
      </w:r>
      <w:r>
        <w:rPr>
          <w:rFonts w:ascii="Times New Roman" w:cs="Times New Roman" w:eastAsia="Times New Roman" w:hAnsi="Times New Roman"/>
          <w:sz w:val="18"/>
          <w:szCs w:val="18"/>
          <w:color w:val="auto"/>
        </w:rPr>
        <w:t>”) providing for the approval of the issuance of all of the Securities in compliance with the rules and regulations of the Principal Market (without regard to any limitations on exercise set forth in the Warrants) (such affirmative approval being referred to herein as the “</w:t>
      </w:r>
      <w:r>
        <w:rPr>
          <w:rFonts w:ascii="Times New Roman" w:cs="Times New Roman" w:eastAsia="Times New Roman" w:hAnsi="Times New Roman"/>
          <w:sz w:val="18"/>
          <w:szCs w:val="18"/>
          <w:b w:val="1"/>
          <w:bCs w:val="1"/>
          <w:color w:val="auto"/>
        </w:rPr>
        <w:t>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Approval</w:t>
      </w:r>
      <w:r>
        <w:rPr>
          <w:rFonts w:ascii="Times New Roman" w:cs="Times New Roman" w:eastAsia="Times New Roman" w:hAnsi="Times New Roman"/>
          <w:sz w:val="18"/>
          <w:szCs w:val="18"/>
          <w:color w:val="auto"/>
        </w:rPr>
        <w:t>”, and the date such Stockholder Approval is obtained, the “</w:t>
      </w:r>
      <w:r>
        <w:rPr>
          <w:rFonts w:ascii="Times New Roman" w:cs="Times New Roman" w:eastAsia="Times New Roman" w:hAnsi="Times New Roman"/>
          <w:sz w:val="18"/>
          <w:szCs w:val="18"/>
          <w:b w:val="1"/>
          <w:bCs w:val="1"/>
          <w:color w:val="auto"/>
        </w:rPr>
        <w:t>Stockholder Approval Date</w:t>
      </w:r>
      <w:r>
        <w:rPr>
          <w:rFonts w:ascii="Times New Roman" w:cs="Times New Roman" w:eastAsia="Times New Roman" w:hAnsi="Times New Roman"/>
          <w:sz w:val="18"/>
          <w:szCs w:val="18"/>
          <w:color w:val="auto"/>
        </w:rPr>
        <w:t>”), and the Company shall use its reasonable best efforts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solicit its stockholders’ approval of such resolutions and to cause the Board of Directors of the Company to recommend to the stockholders that they approve such resolutions. The Company shall be obligated to seek to obtain the Stockholder Approval by the Stockholder Meeting Deadline. If, despite the Company’s reasonable best efforts the Stockholder Approval is not obtained on or prior to the Stockholder Meeting Deadline, the Company shall cause an additional Stockholder Meeting to be held on or prior to the 180th calendar day after the Closing Date. If, despite the Company’s reasonable best efforts the Stockholder Approval is not obtained after such subsequent stockholder meetings, the Company shall cause an additional Stockholder Meeting to be held semi-annually thereafter until such Stockholder Approval is obtained.</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(aa)            </w:t>
      </w:r>
      <w:r>
        <w:rPr>
          <w:rFonts w:ascii="Times New Roman" w:cs="Times New Roman" w:eastAsia="Times New Roman" w:hAnsi="Times New Roman"/>
          <w:sz w:val="18"/>
          <w:szCs w:val="18"/>
          <w:u w:val="single" w:color="auto"/>
          <w:color w:val="auto"/>
        </w:rPr>
        <w:t>Voting Agreements</w:t>
      </w:r>
      <w:r>
        <w:rPr>
          <w:rFonts w:ascii="Times New Roman" w:cs="Times New Roman" w:eastAsia="Times New Roman" w:hAnsi="Times New Roman"/>
          <w:sz w:val="18"/>
          <w:szCs w:val="18"/>
          <w:color w:val="auto"/>
        </w:rPr>
        <w:t>. The Company shall not amend, modify, waive or terminate any provision of any of the Voting Agreements except to extend the term of any lock-up period therein and shall enforce the provisions of each Voting Agreement in accordance with its terms. If any party to a Voting Agreement breaches any provision of a Voting Agreement, the Company shall promptly use its best efforts to obtain specific performance of the terms of such Voting Agreement. Notwithstanding the foregoing, no Buyer shall be a third party beneficiary of any Voting Agreement.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(bb)           </w:t>
      </w:r>
      <w:r>
        <w:rPr>
          <w:rFonts w:ascii="Times New Roman" w:cs="Times New Roman" w:eastAsia="Times New Roman" w:hAnsi="Times New Roman"/>
          <w:sz w:val="18"/>
          <w:szCs w:val="18"/>
          <w:u w:val="single" w:color="auto"/>
          <w:color w:val="auto"/>
        </w:rPr>
        <w:t>Closing Documents</w:t>
      </w:r>
      <w:r>
        <w:rPr>
          <w:rFonts w:ascii="Times New Roman" w:cs="Times New Roman" w:eastAsia="Times New Roman" w:hAnsi="Times New Roman"/>
          <w:sz w:val="18"/>
          <w:szCs w:val="18"/>
          <w:color w:val="auto"/>
        </w:rPr>
        <w:t>. On or prior to fourteen (14) calendar days after the Closing Date, the Company agrees to deliver, or cause to be delivered, to each Buyer, the Placement Agents and Kelley Drye &amp; Warren LLP a complete closing set of the executed Transaction Documents, Securities and any other document required to be delivered to any party pursuant to Section 7 hereof or otherwise.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5.             REGISTER; TRANSFER AGENT INSTRUCTIONS; LEGEND.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Company shall maintain at its principal executive offices (or such other office or agency of the Company as it may designate by notice to each holder of Warrants), a register for the Warrants in which the Company shall record the name and address of the Person in whose name the Warrants have been issued (including the name and address of each transferee) and the number of Warrant Shares issuable upon exercise of the Warrants held by such Person. The Company shall keep the register open and available at all times during business hours for inspection of any Buyer or its legal representatives.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Transfer Agent Instructions</w:t>
      </w:r>
      <w:r>
        <w:rPr>
          <w:rFonts w:ascii="Times New Roman" w:cs="Times New Roman" w:eastAsia="Times New Roman" w:hAnsi="Times New Roman"/>
          <w:sz w:val="18"/>
          <w:szCs w:val="18"/>
          <w:color w:val="auto"/>
        </w:rPr>
        <w:t>. The Company shall issue irrevocable instructions to its transfer agent and any subsequent transfer agent (as applicable,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in a form acceptable to each of the Buyers (the “</w:t>
      </w:r>
      <w:r>
        <w:rPr>
          <w:rFonts w:ascii="Times New Roman" w:cs="Times New Roman" w:eastAsia="Times New Roman" w:hAnsi="Times New Roman"/>
          <w:sz w:val="18"/>
          <w:szCs w:val="18"/>
          <w:b w:val="1"/>
          <w:bCs w:val="1"/>
          <w:color w:val="auto"/>
        </w:rPr>
        <w:t>Irrevocable Transfer Agent Instructions</w:t>
      </w:r>
      <w:r>
        <w:rPr>
          <w:rFonts w:ascii="Times New Roman" w:cs="Times New Roman" w:eastAsia="Times New Roman" w:hAnsi="Times New Roman"/>
          <w:sz w:val="18"/>
          <w:szCs w:val="18"/>
          <w:color w:val="auto"/>
        </w:rPr>
        <w:t>”) to issue certificates or credit shares to the applicable balance accounts at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registered in the name of each Buyer or its respective nominee(s), for the Common Shares and the Warrant Shares in such amounts as specified from time to time by each Buyer to the Company upon the exercise of the Warrants (as the case may be). The Company represents and warrants that no instruction other than the Irrevocable Transfer Agent Instructions referred to in this Section 5(b), and stop transfer instructions to give effect to Section 2(g) hereof, will be given by the Company to its transfer agent with respect to the Securities, and that the Securities shall otherwise be freely transferable on the books and records of the Company, as applicable, to the extent provided in this Agreement and the other Transaction Documents. If a Buyer effects a sale, assignment or transfer of the Securities in accordance with Section 2(g), the Company shall permit the transfer and shall promptly instruct its transfer agent to issue one or more certificates or credit shares to the applicable balance accounts at DTC in such name and in such denominations as specified by such Buyer to effect such sale, transfer or assignment. In the event that such sale, assignment or transfer involves Common Shares or Warrant Shares sold, assigned or transferred pursuant to an effective registration statement or in compliance with Rule 144, the transfer agent shall issue such shares to such Buyer, assignee or transferee (as the case may be) without any restrictive legend in accordance with Section 5(d) below. The Company acknowledges that a breach by it of its obligations hereunder will cause irreparable harm to a Buyer. Accordingly, the Company acknowledges that the remedy at law for a breach of its obligations under this Section 5(b) will be inadequate and agrees, in the event of a breach or threatened breach by the Company of the provisions of this Section 5(b), that a Buyer shall be entitled, in addition to all other available remedies, to an order and/or injunction restraining any breach and requiring immediate issuance and transfer, without the necessity of showing economic loss and without any bond or other security being required. The Company shall cause its counsel to issue the legal opinion referred to in the Irrevocable Transfer Agent Instructions to the Company’s transfer agent on each Effective Date (as defined in the Registration Rights Agreement). Any fees (with respect to the transfer agent, counsel to the Company or otherwise) associated with the issuance of such opinion or the removal of any legends on any of the Securities shall be borne by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Each Buyer understands that the Securities have been issued (or will be issued in the case of the Warrant Shares) pursuant to an exemption from registration or qualification under the 1933 Act and applicable state securities laws, and except as set forth below, the Securities shall bear any legend as required by the “blue sky” laws of any state and a restrictive legend in substantially the following form (and a stop-transfer order may be placed against transfer of such stock certificates):</w:t>
      </w:r>
    </w:p>
    <w:p>
      <w:pPr>
        <w:spacing w:after="0" w:line="180" w:lineRule="exact"/>
        <w:rPr>
          <w:sz w:val="20"/>
          <w:szCs w:val="20"/>
          <w:color w:val="auto"/>
        </w:rPr>
      </w:pPr>
    </w:p>
    <w:p>
      <w:pPr>
        <w:jc w:val="both"/>
        <w:ind w:left="1300" w:right="1300"/>
        <w:spacing w:after="0" w:line="253" w:lineRule="auto"/>
        <w:rPr>
          <w:sz w:val="20"/>
          <w:szCs w:val="20"/>
          <w:color w:val="auto"/>
        </w:rPr>
      </w:pPr>
      <w:r>
        <w:rPr>
          <w:rFonts w:ascii="Times New Roman" w:cs="Times New Roman" w:eastAsia="Times New Roman" w:hAnsi="Times New Roman"/>
          <w:sz w:val="18"/>
          <w:szCs w:val="18"/>
          <w:color w:val="404040"/>
        </w:rPr>
        <w:t>[NEITHER THE ISSUANCE AND SALE OF THE SECURITIES REPRESENTED BY THIS CERTIFICATE NOR THE SECURITIES INTO WHICH THESE SECURITIES ARE EXERCISABLE HAVE BEEN][THE SECURITIES REPRESENTED BY THIS CERTIFICATE HAVE NOT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Removal of Legends</w:t>
      </w:r>
      <w:r>
        <w:rPr>
          <w:rFonts w:ascii="Times New Roman" w:cs="Times New Roman" w:eastAsia="Times New Roman" w:hAnsi="Times New Roman"/>
          <w:sz w:val="18"/>
          <w:szCs w:val="18"/>
          <w:color w:val="auto"/>
        </w:rPr>
        <w:t>. Certificates evidencing Securities shall not be required to contain the legend set forth in Section 5(c) above or any other legend (i) while a registration statement (including a Registration Statement) covering the resale of such Securities is effective under the 1933 Act,</w:t>
      </w:r>
    </w:p>
    <w:p>
      <w:pPr>
        <w:jc w:val="both"/>
        <w:ind w:firstLine="8"/>
        <w:spacing w:after="0" w:line="250" w:lineRule="auto"/>
        <w:tabs>
          <w:tab w:leader="none" w:pos="28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any sale of such Securities pursuant to Rule 144 (assuming the transferor is not an affiliate of the Company), (iii) if such Securities are eligible to be sold, assigned or transferred under Rule 144 (provided that a Buyer provides the Company with reasonable assurances that such Securities are eligible for sale, assignment or transfer under Rule 144 which shall not include an opinion of Buyer’s counsel), (iv) in connection with a sale, assignment or other transfer (other than under Rule 144), provided that such Buyer provides the Company with an opinion of counsel to such Buyer, in a generally acceptable form, to the effect that such sale, assignment or transfer of the Securities may be made without registration under the applicable requirements of the 1933 Act or (v) if such legend is not required under applicable requirements of the 1933 Act (including, without limitation, controlling judicial interpretations and pronouncements issued by the SEC). If a legend is not required pursuant to the foregoing, the Company shall no later than one (1) Trading Day (as defined in the Warrants) (or such earlier date as required pursuant to the 1934 Act or other applicable law, rule or regulation for the settlement of a trade initiated on the date such Buyer delivers such legended certificate representing such Securities to the Company) following the delivery by a Buyer to the Company or the transfer agent (with notice to the Company) of a legended certificate representing such Securities (endorsed or with stock powers attached, signatures guaranteed, and otherwise in form necessary to affect the reissuance and/or transfer, if applicable), together with any other deliveries from such Buyer as may be required above in this Section 5(d), as directed by such Buyer, either: (A) provided that the Company’s transfer agent is participating in the DTC Fast Automated Securities Transfer Program (“</w:t>
      </w:r>
      <w:r>
        <w:rPr>
          <w:rFonts w:ascii="Times New Roman" w:cs="Times New Roman" w:eastAsia="Times New Roman" w:hAnsi="Times New Roman"/>
          <w:sz w:val="18"/>
          <w:szCs w:val="18"/>
          <w:b w:val="1"/>
          <w:bCs w:val="1"/>
          <w:color w:val="auto"/>
        </w:rPr>
        <w:t>FAST</w:t>
      </w:r>
      <w:r>
        <w:rPr>
          <w:rFonts w:ascii="Times New Roman" w:cs="Times New Roman" w:eastAsia="Times New Roman" w:hAnsi="Times New Roman"/>
          <w:sz w:val="18"/>
          <w:szCs w:val="18"/>
          <w:color w:val="auto"/>
        </w:rPr>
        <w:t>”) and such Securities are Common Shares or Warrant Shares, credit the aggregate number of shares of Common Stock to which such Buyer shall be entitled to such Buyer’s or its designee’s balance account with DTC through its Deposit/Withdrawal at Custodian system or (B) if the Company’s transfer agent is not participating in FAST, issue and deliver (via reputable overnight courier) to such Buyer, a certificate representing such Securities that is free from all restrictive and other legends, registered in the name of such Buyer or its designee (the date by which such credit is so required to be made to the balance account of such Buyer’s or such Buyer’s designee with DTC or such certificate is required to be delivered to such Buyer pursuant to the foregoing is referred to herein as the “</w:t>
      </w:r>
      <w:r>
        <w:rPr>
          <w:rFonts w:ascii="Times New Roman" w:cs="Times New Roman" w:eastAsia="Times New Roman" w:hAnsi="Times New Roman"/>
          <w:sz w:val="18"/>
          <w:szCs w:val="18"/>
          <w:b w:val="1"/>
          <w:bCs w:val="1"/>
          <w:color w:val="auto"/>
        </w:rPr>
        <w:t>Required Delivery Date</w:t>
      </w:r>
      <w:r>
        <w:rPr>
          <w:rFonts w:ascii="Times New Roman" w:cs="Times New Roman" w:eastAsia="Times New Roman" w:hAnsi="Times New Roman"/>
          <w:sz w:val="18"/>
          <w:szCs w:val="18"/>
          <w:color w:val="auto"/>
        </w:rPr>
        <w:t>”, and the date such shares of Common Stock are actually delivered without restrictive legend to such Buyer or such Buyer’s designee with DTC, as applicable, the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Delivery Date</w:t>
      </w:r>
      <w:r>
        <w:rPr>
          <w:rFonts w:ascii="Times New Roman" w:cs="Times New Roman" w:eastAsia="Times New Roman" w:hAnsi="Times New Roman"/>
          <w:sz w:val="18"/>
          <w:szCs w:val="18"/>
          <w:color w:val="auto"/>
        </w:rPr>
        <w:t>”). The Company shall be responsible for any transfer agent fees or DTC fees with respect to any issuance of Securities or the removal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legends with respect to any Securities in accordance herewith.</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Failure to Timely Deliver; Buy-In</w:t>
      </w:r>
      <w:r>
        <w:rPr>
          <w:rFonts w:ascii="Times New Roman" w:cs="Times New Roman" w:eastAsia="Times New Roman" w:hAnsi="Times New Roman"/>
          <w:sz w:val="18"/>
          <w:szCs w:val="18"/>
          <w:color w:val="auto"/>
        </w:rPr>
        <w:t>. If the Company fails to fail, for any reason or for no reason, to issue and deliver (or cause to be delivered) to a Buyer (or its designee) by the Required Delivery Date, either (I) if the Transfer Agent is not participating in FAST, a certificate for the number of Common Shares or Warrant Shares (as the case may be) to which such Buyer is entitled and register such Common Shares or Warrant Shares (as the case may be) on the Company’s share register or, if the Transfer Agent is participating in FAST, to credit the balance account of such Buyer or such Buyer’s designee with DTC for such number of Common Shares or Warrant Shares (as the case may be) submitted for legend removal by such Buyer pursuant to Section 5(d) above or (II) if the Registration Statement covering the resale of the Common Shares or Warrant Shares (as the case may be) submitted for legend removal by such Buyer pursuant to Section 5(d) above (the “</w:t>
      </w:r>
      <w:r>
        <w:rPr>
          <w:rFonts w:ascii="Times New Roman" w:cs="Times New Roman" w:eastAsia="Times New Roman" w:hAnsi="Times New Roman"/>
          <w:sz w:val="18"/>
          <w:szCs w:val="18"/>
          <w:b w:val="1"/>
          <w:bCs w:val="1"/>
          <w:color w:val="auto"/>
        </w:rPr>
        <w:t>Unavailable Shares</w:t>
      </w:r>
      <w:r>
        <w:rPr>
          <w:rFonts w:ascii="Times New Roman" w:cs="Times New Roman" w:eastAsia="Times New Roman" w:hAnsi="Times New Roman"/>
          <w:sz w:val="18"/>
          <w:szCs w:val="18"/>
          <w:color w:val="auto"/>
        </w:rPr>
        <w:t>”) is not available for the resale of such Unavailable Shares and the Company fails to promptly, but in no event later than as required pursuant to the Registration Rights Agreement (x) so notify such Buyer and (y) deliver the Common Shares or Warrant Shares, as applicable, electronically without any restrictive legend by crediting such aggregate number of Common Shares or Warrant Shares (as the case may be) submitted for legend removal by such Buyer pursuant to Section 5(d) above to such Buyer’s or its designee’s balance account with DTC through its Deposit/Withdrawal At Custodian system (the event described in the immediately foregoing clause (II) is hereinafter referred as a “</w:t>
      </w:r>
      <w:r>
        <w:rPr>
          <w:rFonts w:ascii="Times New Roman" w:cs="Times New Roman" w:eastAsia="Times New Roman" w:hAnsi="Times New Roman"/>
          <w:sz w:val="18"/>
          <w:szCs w:val="18"/>
          <w:b w:val="1"/>
          <w:bCs w:val="1"/>
          <w:color w:val="auto"/>
        </w:rPr>
        <w:t>Notice Failure</w:t>
      </w:r>
      <w:r>
        <w:rPr>
          <w:rFonts w:ascii="Times New Roman" w:cs="Times New Roman" w:eastAsia="Times New Roman" w:hAnsi="Times New Roman"/>
          <w:sz w:val="18"/>
          <w:szCs w:val="18"/>
          <w:color w:val="auto"/>
        </w:rPr>
        <w:t>” and together with the event described in clause (I) above, a “</w:t>
      </w:r>
      <w:r>
        <w:rPr>
          <w:rFonts w:ascii="Times New Roman" w:cs="Times New Roman" w:eastAsia="Times New Roman" w:hAnsi="Times New Roman"/>
          <w:sz w:val="18"/>
          <w:szCs w:val="18"/>
          <w:b w:val="1"/>
          <w:bCs w:val="1"/>
          <w:color w:val="auto"/>
        </w:rPr>
        <w:t>Delivery Failure</w:t>
      </w:r>
      <w:r>
        <w:rPr>
          <w:rFonts w:ascii="Times New Roman" w:cs="Times New Roman" w:eastAsia="Times New Roman" w:hAnsi="Times New Roman"/>
          <w:sz w:val="18"/>
          <w:szCs w:val="18"/>
          <w:color w:val="auto"/>
        </w:rPr>
        <w:t>”), then, in addition to all other remedies available to such Buyer, the Company shall pay in cash to such Buyer on each day after the Share Delivery Date and during such Delivery Failure an amount equal to 1% of the product of (A) the sum of the number of shares of Common Stock not issued to such Buyer on or prior to the Required Delivery Date and to which such Buyer is entitled, and (B) any trading price of the Common Stock selected by such Buyer in writing as in effect at any time during the period beginning on the date of the delivery by such Buyer to the Company of the applicable Common Shares or Warrant Shares (as the case may be) and ending on the applicable Share Delivery Date. In addition to the foregoing, if on or prior to the Required Delivery Date either (I) if the Transfer Agent is not participating in FAST, the Company shall fail to issue and deliver a certificate to a Buyer and register such shares of Common Stock on the Company’s share register or, if the Transfer Agent is participating in FAST, credit the balance account of such Buyer or such Buyer’s designee with DTC for the number of shares of Common Stock to which such Buyer submitted for legend removal by such Buyer pursuant to Section 5(d) above (ii) below or (II) a Notice Failure occurs, and if on or after such Trading Day such Buyer purchases (in an open market transaction or otherwise) shares of Common Stock to deliver in satisfaction of a sale by such Buyer of shares of Common Stock submitted for legend removal by such Buyer pursuant to Section 5(d) above that such Buyer anticipated receiving from the Company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then the Company shall, within one (1) Trading Day after such Buyer’s request and in such Buyer’s discretion, either (i) pay cash to such Buyer in an amount equal to such Buyer’s total purchase price (including brokerage commissions and other out-of-pocket expenses, if any, for the shares of Common Stock so purchased) (the “</w:t>
      </w:r>
      <w:r>
        <w:rPr>
          <w:rFonts w:ascii="Times New Roman" w:cs="Times New Roman" w:eastAsia="Times New Roman" w:hAnsi="Times New Roman"/>
          <w:sz w:val="18"/>
          <w:szCs w:val="18"/>
          <w:b w:val="1"/>
          <w:bCs w:val="1"/>
          <w:color w:val="auto"/>
        </w:rPr>
        <w:t>Buy-In Price</w:t>
      </w:r>
      <w:r>
        <w:rPr>
          <w:rFonts w:ascii="Times New Roman" w:cs="Times New Roman" w:eastAsia="Times New Roman" w:hAnsi="Times New Roman"/>
          <w:sz w:val="18"/>
          <w:szCs w:val="18"/>
          <w:color w:val="auto"/>
        </w:rPr>
        <w:t>”), at which point the Company’s obligation to so deliver such certificate or credit such Buyer’s balance account shall terminate and such shares shall be cancelled, or (ii) promptly honor its obligation to so deliver to such Buyer a certificate or certificates or credit the balance account of such Buyer or such Buyer’s designee with DTC representing such number of shares of Common Stock that would have been so delivered if the Company timely complied with its obligations hereunder and pay cash to such Buyer in an amount equal to the excess (if any) of the Buy-In Price over the product of (A) such number of shares of Common Shares or Warrant Shares (as the case may be) that the Company was required to deliver to such Buyer by the Required Delivery Date multiplied by (B) the lowest Closing Sale Price (as defined in the Warrants) of the Common Stock on any Trading Day during the period commencing on the date of the delivery by such Buyer to the Company of the applicable Common Shares or Warrant Shares (as the case may be) and ending on the date of such delivery and payment under this clause (ii). Nothing shall limit such Buyer’s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as required pursuant to the terms hereof. Notwithstanding anything herein to the contrary, with respect to any given Notice Failure and/or Delivery Failure, this Section 5(e) shall not apply to the applicable Buyer the extent the Company has already paid such amounts in full to such Buyer with respect to such Notice Failure and/or Delivery Failure, as applicable, pursuant to the analogous sections of the Note or Warrant, as applicable, held by such Buyer.</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FAST Compliance</w:t>
      </w:r>
      <w:r>
        <w:rPr>
          <w:rFonts w:ascii="Times New Roman" w:cs="Times New Roman" w:eastAsia="Times New Roman" w:hAnsi="Times New Roman"/>
          <w:sz w:val="18"/>
          <w:szCs w:val="18"/>
          <w:color w:val="auto"/>
        </w:rPr>
        <w:t>. While any Warrants remain outstanding, the Company shall maintain a transfer agent that participates in FAST.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6.              CONDITIONS TO THE COMPANY’S OBLIGATION TO SELL.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The obligation of the Company hereunder to issue and sell the Common Shares and the related Warrants to each Buyer at the Closing is subject to the satisfaction, at or before the Closing Date, of each of the following conditions, provided that these conditions are for the Company’s sole benefit and may be waived by the Company at any time in its sole discretion by providing each Buyer with prior written notice thereof:</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              Such Buyer shall have executed each of the other Transaction Documents to which it is a party and delivered the same to the Company.</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Such Buyer and each other Buyer shall have delivered to the Company the Purchase Price (less, in the case of any Buyer, the amounts withheld pursuant to Section 4(g)) for the Common Shares and the related Warrants being purchased by such Buyer at the Closing by wire transfer of immediately available funds in accordance with the Flow of Funds Letter.</w:t>
      </w:r>
    </w:p>
    <w:p>
      <w:pPr>
        <w:spacing w:after="0" w:line="17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(iii)            The representations and warranties of such Buyer shall be true and correct in all material respects as of the date when made and as of the Closing Date as though originally made at that time (except for representations and warranties that speak as of a specific date, which shall be true and correct as of such specific date), and such Buyer shall have performed, satisfied and complied in all material respects with the covenants, agreements and conditions required by this Agreement to be performed, satisfied or complied with by such Buyer at or prior to the Closing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CONDITIONS TO EACH BUYER’S OBLIGATION TO PURCHASE.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The obligation of each Buyer hereunder to purchase its Common Shares and its related Warrants at the Closing is subject to the satisfaction, at or before the Closing Date, of each of the following conditions, provided that these conditions are for each Buyer’s sole benefit and may be waived by such Buyer at any time in its sole discretion by providing the Company with prior written notice thereof:</w:t>
      </w:r>
    </w:p>
    <w:p>
      <w:pPr>
        <w:spacing w:after="0" w:line="17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               The Company and each Subsidiary (as the case may be) shall have duly executed and delivered to such Buyer each of the Transaction Documents to which it is a party and the Company shall have duly executed and delivered to such Buyer (x) such aggregate number of Common Shares set forth on the signature page of such Buyer attached hereto, and (y) a Series A Warrant to initially acquire up to that aggregate number of Series A Warrant Shares as set forth on the signature page of such Buyer attached here and (z) a Series B Warrant to initially acquire up to such aggregate number of Series B Warrant Shares as set forth on the signature page of such Buyer attached hereto.</w:t>
      </w:r>
    </w:p>
    <w:p>
      <w:pPr>
        <w:spacing w:after="0" w:line="183"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              Such Buyer and the Placement Agents shall have received the opinion of Shumaker, Loop &amp; Kendrick, LLP, the Company’s counsel, dated as of the Closing Date, in the form acceptable to such Buyer.</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(iii)             The Company shall have delivered to such Buyer a copy of the Irrevocable Transfer Agent Instructions, in the form acceptable to such Buyer, which instructions shall have been delivered to and acknowledged in writing by the Company’s transfer agent.</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(iv)             The Company shall have delivered to such Buyer a certificate evidencing the formation and good standing of the Company issued by the Secretary of State of Delaware as of a date within ten (10) days of the Closing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             The Company shall have delivered to such Buyer a certificate evidencing the Company’s qualification as a foreign corporation and good standing issued by the Secretary of State (or comparable office) of each jurisdiction in which the Company conducts business and is required to so qualify, as of a date within ten (10) days of the Closing Date.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(vi)            The Company shall have delivered to such Buyer a certified copy of the Certificate of Incorporation as certified by the Delaware Secretary of State within ten (10) days of the Closing Date.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(vii)          The Company shall have delivered to such Buyer a certificate, in the form acceptable to such Buyer, executed by the Secretary of the Company and dated as of the Closing Date, as to (i) the resolutions consistent with Section 3(b) as adopted by the Company’s board of directors in a form reasonably acceptable to such Buyer, (ii) the Certificate of Incorporation of the Company and (iii) the Bylaws of the Company, each as in effect at the Closing.</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(viii)         Each and every representation and warranty of the Company shall be true and correct as of the date when made and as of the Closing Date as though originally made at that time (except for representations and warranties that speak as of a specific date, which shall be true and correct as of such specific date) and the Company shall have performed, satisfied and complied in all respects with the covenants, agreements and conditions required to be performed, satisfied or complied with by the Company at or prior to the Closing Date. Such Buyer shall have received a certificate, duly executed by the Chief Executive Officer of the Company, dated as of the Closing Date, to the foregoing effect and as to such other matters as may be reasonably requested by such Buyer in the form acceptable to such Buyer.</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(ix)            The Company shall have delivered to such Buyer a letter from the Company’s transfer agent certifying the number of shares of Common Stock outstanding on the Closing Date immediately prior to the Closing.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(x)             The Common Stock (A) shall be designated for quotation or listed (as applicable) on the Principal Market and (B) shall not have been suspended, as of the Closing Date, by the SEC or the Principal Market from trading on the Principal Market nor shall suspension by the SEC or the Principal Market have been threatened, as of the Closing Date, either (I) in writing by the SEC or the Principal Market or (II) by falling below the minimum maintenance requirements of the Principal Market.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(xi)             The Company shall have obtained all governmental, regulatory or third party consents and approvals, if any, necessary for the sale of the Securities, including without limitation, those required by the Principal Market, if any.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(xii)            No statute, rule, regulation, executive order, decree, ruling or injunction shall have been enacted, entered, promulgated or endorsed by any court or Governmental Entity of competent jurisdiction that prohibits the consummation of any of the transactions contemplated by the Transaction Documents.</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0" w:name="page41"/>
    <w:bookmarkEnd w:id="40"/>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(xiii)           Since the date of execution of this Agreement, no event or series of events shall have occurred that reasonably would have or result in a Material Adverse Effect.</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(xiv)          The Company shall have obtained approval of the Principal Market to list or designate for quotation (as the case may be) the Common Shares and the Warrant Shares.</w:t>
      </w:r>
    </w:p>
    <w:p>
      <w:pPr>
        <w:spacing w:after="0" w:line="158" w:lineRule="exact"/>
        <w:rPr>
          <w:sz w:val="20"/>
          <w:szCs w:val="20"/>
          <w:color w:val="auto"/>
        </w:rPr>
      </w:pPr>
    </w:p>
    <w:p>
      <w:pPr>
        <w:jc w:val="both"/>
        <w:ind w:left="660" w:firstLine="648"/>
        <w:spacing w:after="0" w:line="268" w:lineRule="auto"/>
        <w:rPr>
          <w:sz w:val="20"/>
          <w:szCs w:val="20"/>
          <w:color w:val="auto"/>
        </w:rPr>
      </w:pPr>
      <w:r>
        <w:rPr>
          <w:rFonts w:ascii="Times New Roman" w:cs="Times New Roman" w:eastAsia="Times New Roman" w:hAnsi="Times New Roman"/>
          <w:sz w:val="18"/>
          <w:szCs w:val="18"/>
          <w:color w:val="auto"/>
        </w:rPr>
        <w:t xml:space="preserve">(xv)           The Company shall have duly executed and delivered to such Buyer the voting agreement in the form of </w:t>
      </w:r>
      <w:r>
        <w:rPr>
          <w:rFonts w:ascii="Times New Roman" w:cs="Times New Roman" w:eastAsia="Times New Roman" w:hAnsi="Times New Roman"/>
          <w:sz w:val="18"/>
          <w:szCs w:val="18"/>
          <w:b w:val="1"/>
          <w:bCs w:val="1"/>
          <w:u w:val="single" w:color="auto"/>
          <w:color w:val="auto"/>
        </w:rPr>
        <w:t>Exhibit C</w:t>
      </w:r>
      <w:r>
        <w:rPr>
          <w:rFonts w:ascii="Times New Roman" w:cs="Times New Roman" w:eastAsia="Times New Roman" w:hAnsi="Times New Roman"/>
          <w:sz w:val="18"/>
          <w:szCs w:val="18"/>
          <w:color w:val="auto"/>
        </w:rPr>
        <w:t xml:space="preserve"> hereof (the “</w:t>
      </w:r>
      <w:r>
        <w:rPr>
          <w:rFonts w:ascii="Times New Roman" w:cs="Times New Roman" w:eastAsia="Times New Roman" w:hAnsi="Times New Roman"/>
          <w:sz w:val="18"/>
          <w:szCs w:val="18"/>
          <w:b w:val="1"/>
          <w:bCs w:val="1"/>
          <w:color w:val="auto"/>
        </w:rPr>
        <w:t>Voting Agreements</w:t>
      </w:r>
      <w:r>
        <w:rPr>
          <w:rFonts w:ascii="Times New Roman" w:cs="Times New Roman" w:eastAsia="Times New Roman" w:hAnsi="Times New Roman"/>
          <w:sz w:val="18"/>
          <w:szCs w:val="18"/>
          <w:color w:val="auto"/>
        </w:rPr>
        <w:t>”), by and between the Company and the stockholders listed on Schedule 7(a)(xv) attached hereto (the “</w:t>
      </w: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 and the Stockholders shall have duly executed and delivered to such Buyer the Voting Agreements.</w:t>
      </w:r>
    </w:p>
    <w:p>
      <w:pPr>
        <w:spacing w:after="0" w:line="17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(xvi)         Such Buyer shall have received a letter on the letterhead of the Company, duly executed by the Chief Executive Officer of the Company, setting forth the wire amounts of each Buyer and the wire transfer instructions of the Company (the “</w:t>
      </w:r>
      <w:r>
        <w:rPr>
          <w:rFonts w:ascii="Times New Roman" w:cs="Times New Roman" w:eastAsia="Times New Roman" w:hAnsi="Times New Roman"/>
          <w:sz w:val="18"/>
          <w:szCs w:val="18"/>
          <w:b w:val="1"/>
          <w:bCs w:val="1"/>
          <w:color w:val="auto"/>
        </w:rPr>
        <w:t>Flow of Funds Letter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(xvii)         The Company and its Subsidiaries shall have delivered to such Buyer such other documents, instruments or certificates relating to the transactions contemplated by this Agreement as such Buyer or its counsel may reasonably request.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TERMINATION.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that the Closing shall not have occurred with respect to a Buyer within five (5) days of the date hereof, then such Buyer shall have the right to terminate its obligations under this Agreement with respect to itself at any time on or after the close of business on such date without liability of such Buyer to any other party; provided, however, (i) the right to terminate this Agreement under this Section 8 shall not be available to such Buyer if the failure of the transactions contemplated by this Agreement to have been consummated by such date is the result of such Buyer’s breach of this Agreement and (ii) the abandonment of the sale and purchase of the Common Shares and the Warrants shall be applicable only to such Buyer providing such written notice, provided further that no such termination shall affect any obligation of the Company under this Agreement to reimburse such Buyer for the expenses described in Section 4(g) above. Nothing contained in this Section 8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9.             MISCELLANEOUS.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Governing Law; Jurisdiction; Jury Trial</w:t>
      </w:r>
      <w:r>
        <w:rPr>
          <w:rFonts w:ascii="Times New Roman" w:cs="Times New Roman" w:eastAsia="Times New Roman" w:hAnsi="Times New Roman"/>
          <w:sz w:val="18"/>
          <w:szCs w:val="18"/>
          <w:color w:val="auto"/>
        </w:rPr>
        <w:t xml:space="preserve">. All questions concerning the construction, validity, enforcement and interpretation of this Agreement shall be governed by the internal laws of the State of New York, without giving effect to any provision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under any of the other Transaction Documents or with any transaction contemplated hereby or thereby,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any Buyer from bringing suit or taking other legal action against the Company in any other jurisdiction to collect on the Company’s obligations to such Buyer or to enforce a judgment or other court ruling in favor of such Buyer. </w:t>
      </w:r>
      <w:r>
        <w:rPr>
          <w:rFonts w:ascii="Times New Roman" w:cs="Times New Roman" w:eastAsia="Times New Roman" w:hAnsi="Times New Roman"/>
          <w:sz w:val="18"/>
          <w:szCs w:val="18"/>
          <w:b w:val="1"/>
          <w:bCs w:val="1"/>
          <w:color w:val="auto"/>
        </w:rPr>
        <w:t>EACH PARTY HEREBY IRREVOCABLY WAIVES ANY RIGHT IT MAY HAVE TO, AND AGREES NOT TO REQUEST, A JURY</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TRIAL FOR THE ADJUDICATION OF ANY DISPUTE HEREUNDER OR UNDER ANY OTHER TRANSACTION DOCUMENT OR IN CONNECTION WITH OR ARISING OUT OF THIS AGREEMENT, ANY OTHER TRANSACTION DOCUMENT OR ANY TRANSACTION CONTEMPLATED HEREBY OR THEREBY.</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Headings; Gender</w:t>
      </w:r>
      <w:r>
        <w:rPr>
          <w:rFonts w:ascii="Times New Roman" w:cs="Times New Roman" w:eastAsia="Times New Roman" w:hAnsi="Times New Roman"/>
          <w:sz w:val="18"/>
          <w:szCs w:val="18"/>
          <w:color w:val="auto"/>
        </w:rPr>
        <w:t>. The headings of this Agreement are for convenience of reference and shall not form part of, or affect the interpretation of, this Agreement.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Severability; Maximum Payment Amounts</w:t>
      </w:r>
      <w:r>
        <w:rPr>
          <w:rFonts w:ascii="Times New Roman" w:cs="Times New Roman" w:eastAsia="Times New Roman" w:hAnsi="Times New Roman"/>
          <w:sz w:val="18"/>
          <w:szCs w:val="18"/>
          <w:color w:val="auto"/>
        </w:rPr>
        <w:t>. 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Notwithstanding anything to the contrary contained in this Agreement or any other Transaction Document (and without implication that the following is required or applicable), it is the intention of the parties that in no event shall amounts and value paid by the Company and/or any of its Subsidiaries (as the case may be), or payable to or received by any of the Buyers, under the Transaction Documents (including without limitation, any amounts that would be characterized as “interest” under applicable law) exceed amounts permitted under any applicable law. Accordingly, if any obligation to pay, payment made to any Buyer, or collection by any Buyer pursuant the Transaction Documents is finally judicially determined to be contrary to any such applicable law, such obligation to pay, payment or collection shall be deemed to have been made by mutual mistake of such Buyer, the Company and its Subsidiaries and such amount shall be deemed to have been adjusted with retroactive effect to the maximum amount or rate of interest, as the case may be, as would not be so prohibited by the applicable law. Such adjustment shall be effected, to the extent necessary, by reducing or refunding, at the option of such Buyer, the amount of interest or any other amounts which would constitute unlawful amounts required to be paid or actually paid to such Buyer under the Transaction Documents. For greater certainty, to the extent that any interest, charges, fees, expenses or other amounts required to be paid to or received by such Buyer under any of the Transaction Documents or related thereto are held to be within the meaning of “interest” or another applicable term to otherwise be violative of applicable law, such amounts shall be pro-rated over the period of time to which they relate.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Entire Agreement; Amendments</w:t>
      </w:r>
      <w:r>
        <w:rPr>
          <w:rFonts w:ascii="Times New Roman" w:cs="Times New Roman" w:eastAsia="Times New Roman" w:hAnsi="Times New Roman"/>
          <w:sz w:val="18"/>
          <w:szCs w:val="18"/>
          <w:color w:val="auto"/>
        </w:rPr>
        <w:t>. This Agreement, the other Transaction Documents and the schedules and exhibits attached hereto and thereto and the instruments referenced herein and therein supersede all other prior oral or written agreements between the Buyers, the Company, its Subsidiaries, their affiliates and Persons acting on their behalf, including, without limitation, any transactions by any Buyer with respect to Common Stock or the Securities, and the other matters contained herein and therein, and this Agreement, the other Transaction Documents, the schedules and exhibits attached hereto and thereto and the instruments referenced herein and therein contain the entire understanding of the parties solely with respect to the matters covered herein and therein; provided, however, nothing contained in this Agreement or any other Transaction Document shall (or shall be deemed to) (i) have any effect on any agreements any Buyer has entered into with, or any instruments any Buyer has received from, the Company or any of its Subsidiaries prior to the date hereof with respect to any prior investment made by such Buyer in the Company or (ii) waive, alter, modify or amend in any respect any obligations of the Company or any of its Subsidiaries, or any rights of or benefits to any Buyer or any other Person, in any agreement entered into prior to the date hereof between or among the Company and/or any of its Subsidiaries and any Buyer, or any instruments any Buyer received from the Company and/or any of its Subsidiaries prior to the date hereof, and all such agreements and instruments shall continue in full force and effect. Except as specifically set forth herein or therein, neither the Company nor any Buyer makes any representation, warranty, covenant or undertaking with respect to such matters. For clarification purposes, the Recitals are part of this Agreement. No provision of this Agreement may be amended other than by an instrument in writing signed by the Company and the Required Holders (as defined below), and any amendment to any provision of this Agreement made in conformity with the provisions of this Section 9(e) shall be binding on all Buyers and holders of Securities, as applicable; provided that no such amendment shall be effective to the extent that it (A) applies to less than all of the holders of the Securities then outstanding or (B) imposes any obligation or liability on any Buyer without such Buyer’s prior written consent (which may be granted or withheld in such Buyer’s sole discretion); provided further that any such amendment or waiver that materially and adversely affects the rights of the Placement Agents shall require the prior written consent of the Placement Agents. No waiver shall be effective unless it is in writing and signed by an authorized representative of the waiving party, provided that the Required Holders may waive any provision of this Agreement, and any waiver of any provision of this Agreement made in conformity with the provisions of this Section 9(e) shall be binding on all Buyers and holders of Securities, as applicable, provided that no such waiver shall be effective to the extent that it (1) applies to less than all of the holders of the Securities then outstanding (unless a party gives a waiver as to itself only) or (2) imposes any obligation or liability on any Buyer without such Buyer’s prior written consent (which may be granted or withheld in such Buyer’s sole discretion). No consideration (other than reimbursement of legal fees) shall be offered or paid to any Person to amend or consent to a waiver or modification of any provision of any of the Transaction Documents unless the same consideration also is offered to all of the parties to the Transaction Documents, all Buyers or all holders of the Warrants (as the case may be). From the date hereof and while any Warrants are outstanding, the Company shall not be permitted to receive any consideration from a Buyer or a holder of Warrants that is not otherwise contemplated by the Transaction Documents in order to, directly or indirectly, induce the Company or any Subsidiary (i) to treat such Buyer or holder of Warrants in a manner that is more favorable than to other similarly situated Buyers or holders of Warrants, as applicable, or (ii) to treat any Buyer(s) or holder(s) of Warrants in a manner that is less favorable than the Buyer or holder of Warrants that is paying such consideration; provided, however, that the determination of whether a Buyer has been treated more or less favorably than another Buyer shall disregard any securities of the Company purchased or sold by any Buyer. The Company has not, directly or indirectly, made any agreements with any Buyers relating to the terms or conditions of the transactions contemplated by the Transaction Documents except as set forth in the Transaction Documents. Without limiting the foregoing, the Company confirms that, except as set forth in this Agreement, no Buyer has made any commitment or promise or has any other obligation to provide any financing to the Company, any Subsidiary or otherwise. As a material inducement for each Buyer to enter into this Agreement, the Company expressly acknowledges and agrees that (x) no due diligence or other investigation or inquiry conducted by a Buyer, any of its advisors or any of its representatives shall affect such Buyer’s right to rely on, or shall modify or qualify in any manner or be an exception to any of, the Company’s representations and warranties contained in this Agreement or any other Transaction Document and (y) unless a provision of this Agreement or any other Transaction Document is expressly preceded by the phrase “except as disclosed in the SEC Documents,” nothing contained in any of the SEC Documents shall affect such Buyer’s right to rely on, or shall modify or qualify in any manner or be an exception to any of, the Company’s representations and warranties contained in this Agreement or any other Transaction Document. “</w:t>
      </w:r>
      <w:r>
        <w:rPr>
          <w:rFonts w:ascii="Times New Roman" w:cs="Times New Roman" w:eastAsia="Times New Roman" w:hAnsi="Times New Roman"/>
          <w:sz w:val="18"/>
          <w:szCs w:val="18"/>
          <w:b w:val="1"/>
          <w:bCs w:val="1"/>
          <w:color w:val="auto"/>
        </w:rPr>
        <w:t>Required Holders</w:t>
      </w:r>
      <w:r>
        <w:rPr>
          <w:rFonts w:ascii="Times New Roman" w:cs="Times New Roman" w:eastAsia="Times New Roman" w:hAnsi="Times New Roman"/>
          <w:sz w:val="18"/>
          <w:szCs w:val="18"/>
          <w:color w:val="auto"/>
        </w:rPr>
        <w:t>” means (I) prior to the Closing Date, each Buyer entitled to purchase Common Shares and Warrants at the Closing and (II) on or after the Closing Date, holders of a majority of the Registrable Securities as of such time (excluding any Registrable Securities held by the Company or any of its Subsidiaries as of such time) issued or issuable hereunder or pursuant to the Warrants.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consents, waivers or other communications required or permitted to be given under the terms of this Agreement must be in writing and will be deemed to have been delivered: (i) upon receipt, when delivered personally; (ii) upon receipt, when sent by electronic mail (provided that such sent email is kept on file (whether electronically or otherwise) by the sending party and the sending party does not receive an automatically generated message from the recipient’s email server that such e-mail could not be delivered to such recipient); or (iii) one (1) Business Day after deposit with an overnight courier service with next day delivery specified, in each case, properly addressed to the party to receive the same. The mailing addresses and e-mail addresses for such communications shall be:</w:t>
      </w:r>
    </w:p>
    <w:p>
      <w:pPr>
        <w:spacing w:after="0" w:line="18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Marker Therapeutics, Inc..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2450 Holcombe Blvd</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Suite BCM-A, MS: BCM251</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Houston, Texas 77054</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Telephone: (713) 591-8100</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jvera@markertherapeutics.com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(for informational purposes only)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Shumaker, Loop &amp; Kendrick, LLP</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101 East Kennedy Boulevard, Suite 2800</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Tampa, FL 33602</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Telephone: (813) 227-2325</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Julio C. Esquivel</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Jesquivel@shumaker.com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If to the Transfer Agent:</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EQ Shareowner Services</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PO Box 64874</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St Paul MN 55164-0874</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Telephone: (929) 625-4523</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Maritza Vicole</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Senior Relationship Manager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Relationship Management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admin11@equiniti.com</w:t>
      </w:r>
    </w:p>
    <w:p>
      <w:pPr>
        <w:spacing w:after="0" w:line="207" w:lineRule="exact"/>
        <w:rPr>
          <w:sz w:val="20"/>
          <w:szCs w:val="20"/>
          <w:color w:val="auto"/>
        </w:rPr>
      </w:pPr>
    </w:p>
    <w:p>
      <w:pPr>
        <w:ind w:left="1960" w:right="20"/>
        <w:spacing w:after="0" w:line="282" w:lineRule="auto"/>
        <w:rPr>
          <w:sz w:val="20"/>
          <w:szCs w:val="20"/>
          <w:color w:val="auto"/>
        </w:rPr>
      </w:pPr>
      <w:r>
        <w:rPr>
          <w:rFonts w:ascii="Times New Roman" w:cs="Times New Roman" w:eastAsia="Times New Roman" w:hAnsi="Times New Roman"/>
          <w:sz w:val="18"/>
          <w:szCs w:val="18"/>
          <w:color w:val="auto"/>
        </w:rPr>
        <w:t>If to a Buyer, to its mailing address and e-mail address set forth on the on the signature page of such Buyer attached hereto, with copies to such Buyer’s representatives as set forth on the signature page of such Buyer attached hereto;</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 to such other mailing address and/or e-mail address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mechanically or electronically generated by the sender’s e-mail containing the time, date and recipient’s e-mail or (C) provided by an overnight courier service shall be rebuttable evidence of personal service, receipt by e-mail or receipt from an overnight courier service in accordance with clause (i), (ii) or (iii) above, respectively.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respective successors and assigns, including any purchasers of any of the Common Shares and Warrants (other than purchasers of Common Shares in open market transactions). The Company shall not assign this Agreement or any rights or obligations hereunder without the prior written consent of the Required Holders, including, without limitation, by way of a Fundamental Transaction (as defined in the Warrants) (unless the Company is in compliance with the applicable provisions governing Fundamental Transactions set forth in the Warrants). A Buyer may assign some or all of its rights hereunder in connection with any transfer of any of its Securities without the consent of the Company, in which event such assignee shall be deemed to be a Buyer hereunder with respect to such assigned rights.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Agreement is intended for the benefit of the parties hereto and their respective permitted successors and assigns, and is not for the benefit of, nor may any provision hereof be enforced by, any other Person, other than (i) the Indemnitees referred to in Section 9(m) and (ii) the Placement Agents shall be a third party beneficiaries of this Agreement.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Reliance by the Placement Agents</w:t>
      </w:r>
      <w:r>
        <w:rPr>
          <w:rFonts w:ascii="Times New Roman" w:cs="Times New Roman" w:eastAsia="Times New Roman" w:hAnsi="Times New Roman"/>
          <w:sz w:val="18"/>
          <w:szCs w:val="18"/>
          <w:color w:val="auto"/>
        </w:rPr>
        <w:t>. Each party agrees and acknowledges that the Placement Agents may rely on the representations, warranties, agreements and covenants of the Company contained in this Agreement and may rely on the representations and warranties of the respective Buyers contained in this Agreement as if such representations, warranties, agreements, and covenants, as applicable, were made directly to the Placement Agents. The parties further agree that the Placement Agents may rely on or, if the Placement Agents so request, be specifically named as an addressee of, the legal opinions to be delivered pursuant to Section 7(ii) of this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u w:val="single" w:color="auto"/>
          <w:color w:val="auto"/>
        </w:rPr>
        <w:t>Exculpation of Placement Agents</w:t>
      </w:r>
      <w:r>
        <w:rPr>
          <w:rFonts w:ascii="Times New Roman" w:cs="Times New Roman" w:eastAsia="Times New Roman" w:hAnsi="Times New Roman"/>
          <w:sz w:val="18"/>
          <w:szCs w:val="18"/>
          <w:color w:val="auto"/>
        </w:rPr>
        <w:t>. Each party hereto agrees for the express benefit of each of the Placement Agents, their affiliates and representatives that:</w:t>
      </w:r>
    </w:p>
    <w:p>
      <w:pPr>
        <w:spacing w:after="0" w:line="162"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(i)            Neither the Placement Agents nor any of their respective affiliates or any of their respective representatives (1) has any duties or obligations other than those specifically set forth herein or in any engagement letters between the Company and the Placement Agents; (2) shall be liable for any improper payment made in accordance with the information provided by the Company; (3) makes any representation or warranty, or has any responsibilities as to the validity, accuracy, value or genuineness of any information, certificates or documentation delivered by or on behalf of the Company pursuant to this Agreement or the Transaction Documents or in connection with any of the transactions contemplated hereby; or (4) shall be liable (x) for any action taken, suffered or omitted by any of them in good faith and reasonably believed to be authorized or within the discretion or rights or powers conferred upon it by this Agreement or any Transaction Document or (y) for anything which any of them may do or refrain from doing in connection with this Agreement or any Transaction Document, except for such party’s own gross negligence, willful misconduct or bad faith.</w:t>
      </w:r>
    </w:p>
    <w:p>
      <w:pPr>
        <w:spacing w:after="0" w:line="188"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(ii)          The Placement Agents, and their respective affiliates and representatives shall be entitled to (1) rely on, and shall be protected in acting upon, any certificate, instrument, opinion, notice, letter or any other document or security delivered to any of them by or on behalf of the Company, and (2) be indemnified by the Company for acting as Placement Agents hereunder pursuant the indemnification provisions set forth in any engagement letters between the Company and the Placement Agents.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warranties, agreements and covenants shall survive the Closing. Each Buyer shall be responsible only for its own representations, warranties, agreements and covenants 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In consideration of each Buyer’s execution and delivery of the Transaction Documents and acquiring the Securities thereunder and in addition to all of the Company’s other obligations under the Transaction Documents, the Company shall defend, protect, indemnify and hold harmless each Buyer and each holder of any Securities and all of their stockholders,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w:t>
      </w:r>
      <w:r>
        <w:rPr>
          <w:rFonts w:ascii="Times New Roman" w:cs="Times New Roman" w:eastAsia="Times New Roman" w:hAnsi="Times New Roman"/>
          <w:sz w:val="18"/>
          <w:szCs w:val="18"/>
          <w:b w:val="1"/>
          <w:bCs w:val="1"/>
          <w:color w:val="auto"/>
        </w:rPr>
        <w:t>Indemnitees</w:t>
      </w:r>
      <w:r>
        <w:rPr>
          <w:rFonts w:ascii="Times New Roman" w:cs="Times New Roman" w:eastAsia="Times New Roman" w:hAnsi="Times New Roman"/>
          <w:sz w:val="18"/>
          <w:szCs w:val="18"/>
          <w:color w:val="auto"/>
        </w:rPr>
        <w:t>”)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w:t>
      </w:r>
      <w:r>
        <w:rPr>
          <w:rFonts w:ascii="Times New Roman" w:cs="Times New Roman" w:eastAsia="Times New Roman" w:hAnsi="Times New Roman"/>
          <w:sz w:val="18"/>
          <w:szCs w:val="18"/>
          <w:b w:val="1"/>
          <w:bCs w:val="1"/>
          <w:color w:val="auto"/>
        </w:rPr>
        <w:t>Indemnified Liabilities</w:t>
      </w:r>
      <w:r>
        <w:rPr>
          <w:rFonts w:ascii="Times New Roman" w:cs="Times New Roman" w:eastAsia="Times New Roman" w:hAnsi="Times New Roman"/>
          <w:sz w:val="18"/>
          <w:szCs w:val="18"/>
          <w:color w:val="auto"/>
        </w:rPr>
        <w:t>”), incurred by any Indemnitee as a result of, or arising out of, or relating to (i) any misrepresentation or breach of any representation or warranty made by the Company or any Subsidiary in any of the Transaction Documents, (ii) any breach of any covenant, agreement or obligation of the Company or any Subsidiary contained in any of the Transaction Documents or (iii) any cause of action, suit, proceeding or claim brought or made against such Indemnitee by a third party (including for these purposes a derivative action brought on behalf of the Company or any Subsidiary) or which otherwise involves such Indemnitee that arises out of or results from (A) the execution, delivery, performance or enforcement of any of the Transaction Documents, (B) any transaction financed or to be financed in whole or in part, directly or indirectly, with the proceeds of the issuance of the Securities, (C) any disclosure properly made by such Buyer pursuant to Section 4(i), or (D) the status of such Buyer or holder of the Securities either as an investor in the Company pursuant to the transactions contemplated by the Transaction Documents or as a party to this Agreement (including, without limitation, as a party in interest or otherwise in any action or proceeding for injunctive or other equitable relief). To the extent that the foregoing undertaking by the Company may be unenforceable for any reason, the Company shall make the maximum contribution to the payment and satisfaction of each of the Indemnified Liabilities which is permissible under applicable law. Except as otherwise set forth herein, the mechanics and procedures with respect to the rights and obligations under this Section 9(m) shall be the same as those set forth in Section 6 of the Registration Rights Agreement.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(n)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language used in this Agreement will be deemed to be the language chosen by the parties to express their mutual intent, and no rules of strict construction will be applied against any party. No specific representation or warranty shall limit the generality or applicability of a more general representation or warranty. Each and every reference to share prices, shares of Common Stock and any other numbers in this Agreement that relate to the Common Stock shall be automatically adjusted for any stock splits, stock dividends, stock combinations, recapitalizations or other similar transactions that occur with respect to the Common Stock after the date of this Agreement. Notwithstanding anything in this Agreement to the contrary, for the avoidance of doubt, nothing contained herein shall constitute a representation or warranty against, or a prohibition of, any actions with respect to the borrowing of, arrangement to borrow, identification of the availability of, and/or securing of, securities of the Company in order for such Buyer (or its broker or other financial representative) to effect short sales or similar transactions in the future.</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Each Buyer and in the event of assignment by Buyer of its rights and obligations hereunder, each holder of Securities, shall have all rights and remedies set forth in the Transaction Documents and all rights and remedies which such holders have been granted at any time under any other agreement or contract and all of the rights which such holders have under any law. Any Person having any rights under any provision of this Agreement shall be entitled to enforce such rights specifically (without posting a bond or other security), to recover damages by reason of any breach of any provision of this Agreement and to exercise all other rights granted by law. Furthermore, the Company recognizes that in the event that it or any Subsidiary fails to perform, observe, or discharge any or all of its or such Subsidiary’s (as the case may be) obligations under the Transaction Documents, any remedy at law would inadequate relief to the Buyers. The Company therefore agrees that the Buyers shall be entitled to specific performance and/or temporary, preliminary and permanent injunctive or other equitable relief from any court of competent jurisdiction in any such case without the necessity of proving actual damages and without posting a bond or other security. The remedies provided in this Agreement and the other Transaction Documents shall be cumulative and in addition to all other remedies available under this Agreement and the other Transaction Documents, at law or in equity (including a decree of specific performance and/or other injunctive relief).</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(p)               </w:t>
      </w:r>
      <w:r>
        <w:rPr>
          <w:rFonts w:ascii="Times New Roman" w:cs="Times New Roman" w:eastAsia="Times New Roman" w:hAnsi="Times New Roman"/>
          <w:sz w:val="18"/>
          <w:szCs w:val="18"/>
          <w:u w:val="single" w:color="auto"/>
          <w:color w:val="auto"/>
        </w:rPr>
        <w:t>Withdrawal Right</w:t>
      </w:r>
      <w:r>
        <w:rPr>
          <w:rFonts w:ascii="Times New Roman" w:cs="Times New Roman" w:eastAsia="Times New Roman" w:hAnsi="Times New Roman"/>
          <w:sz w:val="18"/>
          <w:szCs w:val="18"/>
          <w:color w:val="auto"/>
        </w:rPr>
        <w:t>. Notwithstanding anything to the contrary contained in (and without limiting any similar provisions of) the Transaction Documents, whenever any Buyer exercises a right, election, demand or option under a Transaction Document and the Company or any Subsidiary does not timely perform its related obligations within the periods therein provided, then such Buyer may rescind or withdraw, in its sole discretion from time to time upon written notice to the Company or such Subsidiary (as the case may be), any relevant notice, demand or election in whole or in part without prejudice to its future actions and rights.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(q)               </w:t>
      </w:r>
      <w:r>
        <w:rPr>
          <w:rFonts w:ascii="Times New Roman" w:cs="Times New Roman" w:eastAsia="Times New Roman" w:hAnsi="Times New Roman"/>
          <w:sz w:val="18"/>
          <w:szCs w:val="18"/>
          <w:u w:val="single" w:color="auto"/>
          <w:color w:val="auto"/>
        </w:rPr>
        <w:t>Payment Set Aside; Currency</w:t>
      </w:r>
      <w:r>
        <w:rPr>
          <w:rFonts w:ascii="Times New Roman" w:cs="Times New Roman" w:eastAsia="Times New Roman" w:hAnsi="Times New Roman"/>
          <w:sz w:val="18"/>
          <w:szCs w:val="18"/>
          <w:color w:val="auto"/>
        </w:rPr>
        <w:t>. To the extent that the Company makes a payment or payments to any Buyer hereunder or pursuant to any of the other Transaction Documents or any of the Buyers enforce or exercise their rights hereunder or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foreign,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 Unless otherwise expressly indicated, all dollar amounts referred to in this Agreement and the other Transaction Documents are in United States Dollars (“</w:t>
      </w:r>
      <w:r>
        <w:rPr>
          <w:rFonts w:ascii="Times New Roman" w:cs="Times New Roman" w:eastAsia="Times New Roman" w:hAnsi="Times New Roman"/>
          <w:sz w:val="18"/>
          <w:szCs w:val="18"/>
          <w:b w:val="1"/>
          <w:bCs w:val="1"/>
          <w:color w:val="auto"/>
        </w:rPr>
        <w:t>U.S. Dollars</w:t>
      </w:r>
      <w:r>
        <w:rPr>
          <w:rFonts w:ascii="Times New Roman" w:cs="Times New Roman" w:eastAsia="Times New Roman" w:hAnsi="Times New Roman"/>
          <w:sz w:val="18"/>
          <w:szCs w:val="18"/>
          <w:color w:val="auto"/>
        </w:rPr>
        <w:t>”), and all amounts owing under this Agreement and all other Transaction Documents shall be paid in U.S. Dollars. All amounts denominated in other currencies (if any) shall be converted into the U.S. Dollar equivalent amount in accordance with the Exchange Rate on the date of calculation. “</w:t>
      </w:r>
      <w:r>
        <w:rPr>
          <w:rFonts w:ascii="Times New Roman" w:cs="Times New Roman" w:eastAsia="Times New Roman" w:hAnsi="Times New Roman"/>
          <w:sz w:val="18"/>
          <w:szCs w:val="18"/>
          <w:b w:val="1"/>
          <w:bCs w:val="1"/>
          <w:color w:val="auto"/>
        </w:rPr>
        <w:t>Exchange Rate</w:t>
      </w:r>
      <w:r>
        <w:rPr>
          <w:rFonts w:ascii="Times New Roman" w:cs="Times New Roman" w:eastAsia="Times New Roman" w:hAnsi="Times New Roman"/>
          <w:sz w:val="18"/>
          <w:szCs w:val="18"/>
          <w:color w:val="auto"/>
        </w:rPr>
        <w:t>” means, in relation to any amount of currency to be converted into U.S. Dollars pursuant to this Agreement, the U.S. Dollar exchange rate as published in the Wall Street Journal on the relevant date of calculation.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 xml:space="preserve">(r)             </w:t>
      </w:r>
      <w:r>
        <w:rPr>
          <w:rFonts w:ascii="Times New Roman" w:cs="Times New Roman" w:eastAsia="Times New Roman" w:hAnsi="Times New Roman"/>
          <w:sz w:val="18"/>
          <w:szCs w:val="18"/>
          <w:u w:val="single" w:color="auto"/>
          <w:color w:val="auto"/>
        </w:rPr>
        <w:t>Judgment Currency.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If for the purpose of obtaining or enforcing judgment against the Company in connection with this Agreement or any other Transaction Document in any court in any jurisdiction it becomes necessary to convert into any other currency (such other currency being hereinafter in this Section 9(r) referred to as the “</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an amount due in US Dollars under this Agreement, the conversion shall be made at the Exchange Rate prevailing on the Trading Day immediately preceding:</w:t>
      </w:r>
    </w:p>
    <w:p>
      <w:pPr>
        <w:spacing w:after="0" w:line="180"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(1)               the date actual payment of the amount due, in the case of any proceeding in the courts of New York or in the courts of any other jurisdiction that will give effect to such conversion being made on such date: or</w:t>
      </w:r>
    </w:p>
    <w:p>
      <w:pPr>
        <w:spacing w:after="0" w:line="162" w:lineRule="exact"/>
        <w:rPr>
          <w:sz w:val="20"/>
          <w:szCs w:val="20"/>
          <w:color w:val="auto"/>
        </w:rPr>
      </w:pPr>
    </w:p>
    <w:p>
      <w:pPr>
        <w:jc w:val="both"/>
        <w:ind w:left="640" w:right="20" w:firstLine="648"/>
        <w:spacing w:after="0" w:line="266" w:lineRule="auto"/>
        <w:rPr>
          <w:sz w:val="20"/>
          <w:szCs w:val="20"/>
          <w:color w:val="auto"/>
        </w:rPr>
      </w:pPr>
      <w:r>
        <w:rPr>
          <w:rFonts w:ascii="Times New Roman" w:cs="Times New Roman" w:eastAsia="Times New Roman" w:hAnsi="Times New Roman"/>
          <w:sz w:val="18"/>
          <w:szCs w:val="18"/>
          <w:color w:val="auto"/>
        </w:rPr>
        <w:t>(2)               the date on which the foreign court determines, in the case of any proceeding in the courts of any other jurisdiction (the date as of which such conversion is made pursuant to this Section 9(r)(i)(2) being hereinafter referred to as the “</w:t>
      </w:r>
      <w:r>
        <w:rPr>
          <w:rFonts w:ascii="Times New Roman" w:cs="Times New Roman" w:eastAsia="Times New Roman" w:hAnsi="Times New Roman"/>
          <w:sz w:val="18"/>
          <w:szCs w:val="18"/>
          <w:b w:val="1"/>
          <w:bCs w:val="1"/>
          <w:color w:val="auto"/>
        </w:rPr>
        <w:t>Judgment 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(ii)              If in the case of any proceeding in the court of any jurisdiction referred to in Section 9(r)(i)(2) above, there is a change in the Exchange Rate prevailing between the Judgment Conversion Date and the date of actual payment of the amount due, the applicable party shall pay such adjusted amount as may be necessary to ensure that the amount paid in the Judgment Currency, when converted at the Exchange Rate prevailing on the date of payment, will produce the amount of US Dollars which could have been purchased with the amount of Judgment Currency stipulated in the judgment or judicial order at the Exchange Rate prevailing on the Judgment Conversion Date.</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(iii)            Any amount due from the Company under this provision shall be due as a separate debt and shall not be affected by judgment being obtained for any other amounts due under or in respect of this Agreement or any other Transaction Document.</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8" w:name="page49"/>
    <w:bookmarkEnd w:id="4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Independent Nature of Buyers’ Obligations and Rights</w:t>
      </w:r>
      <w:r>
        <w:rPr>
          <w:rFonts w:ascii="Times New Roman" w:cs="Times New Roman" w:eastAsia="Times New Roman" w:hAnsi="Times New Roman"/>
          <w:sz w:val="18"/>
          <w:szCs w:val="18"/>
          <w:color w:val="auto"/>
        </w:rPr>
        <w:t>. The obligations of each Buyer under the Transaction Documents are several and not joint with the obligations of any other Buyer, and no Buyer shall be responsible in any way for the performance of the obligations of any other Buyer under any Transaction Document. Nothing contained herein or in any other Transaction Document, and no action taken by any Buyer pursuant hereto or thereto, shall be deemed to constitute the Buyers as, and the Company acknowledges that the Buyers do not so constitute, a partnership, an association, a joint venture or any other kind of group or entity, or create a presumption that the Buyers are in any way acting in concert or as a group or entity, and the Company shall not assert any such claim with respect to such obligations or the transactions contemplated by the Transaction Documents or any matters, and the Company acknowledges that the Buyers are not acting in concert or as a group, and the Company shall not assert any such claim, with respect to such obligations or the transactions contemplated by the Transaction Documents. The decision of each Buyer to purchase Securities pursuant to the Transaction Documents has been made by such Buyer independently of any other Buyer. Each Buyer acknowledges that no other Buyer has acted as agent for such Buyer in connection with such Buyer making its investment hereunder and that no other Buyer will be acting as agent of such Buyer in connection with monitoring such Buyer’s investment in the Securities or enforcing its rights under the Transaction Documents. The Company and each Buyer confirms that each Buyer has independently participated with the Company and its Subsidiaries in the negotiation of the transaction contemplated hereby with the advice of its own counsel and advisors. Each Buyer shall be entitled to independently protect and enforce its rights, including, without limitation, the rights arising out of this Agreement or out of any other Transaction Documents, and it shall not be necessary for any other Buyer to be joined as an additional party in any proceeding for such purpose. The use of a single agreement to effectuate the purchase and sale of the Securities contemplated hereby was solely in the control of the Company, not the action or decision of any Buyer, and was done solely for the convenience of the Company and its Subsidiaries and not because it was required or requested to do so by any Buyer. It is expressly understood and agreed that each provision contained in this Agreement and in each other Transaction Document is between the Company, each Subsidiary and a Buyer, solely, and not between the Company, its Subsidiaries and the Buyers collectively and not between and among the Buyers.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each Buyer and the Company have caused their respective signature page to this Agreement to be duly executed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first written above.</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2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Buyer and the Company have caused their respective signature page to this Agreement to be duly executed as of the date first written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Buyer: __________________________________________________________________________________________________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Buyer</w:t>
      </w:r>
      <w:r>
        <w:rPr>
          <w:rFonts w:ascii="Times New Roman" w:cs="Times New Roman" w:eastAsia="Times New Roman" w:hAnsi="Times New Roman"/>
          <w:sz w:val="18"/>
          <w:szCs w:val="18"/>
          <w:color w:val="auto"/>
        </w:rPr>
        <w:t>: ____________________________________________________________________________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Buyer: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to Buyer (if not same as address for notice):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Purchase Price: $_________________ ($3.20 per each unit consisting of one (1) Common Share (or a Series B Prepaid Warrant to purchase one</w:t>
      </w:r>
    </w:p>
    <w:p>
      <w:pPr>
        <w:spacing w:after="0" w:line="27" w:lineRule="exact"/>
        <w:rPr>
          <w:sz w:val="20"/>
          <w:szCs w:val="20"/>
          <w:color w:val="auto"/>
        </w:rPr>
      </w:pPr>
    </w:p>
    <w:p>
      <w:pPr>
        <w:ind w:right="5620" w:firstLine="8"/>
        <w:spacing w:after="0" w:line="490"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Share) and a Series A Warrant to purchase one (1) Warrant Share) Common Shares: _____________________________</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B Warrant Shares:_______________________</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A Warrant Shares: ______________________</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EIN Number: _______________________________</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Residence:_________________________________</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select beneficial ownership limitation: ____ 4.99% or ____ 9.99% ____ N/A</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[BUYER SIGNATURE PAGE TO MRKR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156845</wp:posOffset>
            </wp:positionV>
            <wp:extent cx="1705610" cy="5314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0561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Provides a Clinical Update on MT-601 in Patients with Lymphoma</w:t>
      </w:r>
    </w:p>
    <w:p>
      <w:pPr>
        <w:spacing w:after="0" w:line="227" w:lineRule="exact"/>
        <w:rPr>
          <w:sz w:val="20"/>
          <w:szCs w:val="20"/>
          <w:color w:val="auto"/>
        </w:rPr>
      </w:pPr>
    </w:p>
    <w:p>
      <w:pPr>
        <w:jc w:val="center"/>
        <w:ind w:left="340" w:right="120"/>
        <w:spacing w:after="0" w:line="284" w:lineRule="auto"/>
        <w:rPr>
          <w:sz w:val="20"/>
          <w:szCs w:val="20"/>
          <w:color w:val="auto"/>
        </w:rPr>
      </w:pPr>
      <w:r>
        <w:rPr>
          <w:rFonts w:ascii="Times New Roman" w:cs="Times New Roman" w:eastAsia="Times New Roman" w:hAnsi="Times New Roman"/>
          <w:sz w:val="18"/>
          <w:szCs w:val="18"/>
          <w:i w:val="1"/>
          <w:iCs w:val="1"/>
          <w:color w:val="auto"/>
        </w:rPr>
        <w:t>APOLLO study investigating MT-601 in patients with relapsed lymphoma: 78% of patients achieved objective response rates, with 44.4% demonstrating complete response (CR)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MT-601 was observed to be well tolerated in all study participants with no observation of immune-effector cell associated neurotoxicity syndrome (ICANS)</w:t>
      </w:r>
    </w:p>
    <w:p>
      <w:pPr>
        <w:spacing w:after="0" w:line="200" w:lineRule="exact"/>
        <w:rPr>
          <w:sz w:val="20"/>
          <w:szCs w:val="20"/>
          <w:color w:val="auto"/>
        </w:rPr>
      </w:pPr>
    </w:p>
    <w:p>
      <w:pPr>
        <w:spacing w:after="0" w:line="23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Houston, TX – December 19, 2024 </w:t>
      </w:r>
      <w:r>
        <w:rPr>
          <w:rFonts w:ascii="Times New Roman" w:cs="Times New Roman" w:eastAsia="Times New Roman" w:hAnsi="Times New Roman"/>
          <w:sz w:val="18"/>
          <w:szCs w:val="18"/>
          <w:color w:val="auto"/>
        </w:rPr>
        <w:t>– Marker Therapeutics, Inc. (Nasdaq: MRKR), a clinical-stage immuno-oncology company focusing on developing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next-generation T cell-based immunotherapies for the treatment of hematological malignancies and solid tumor indications, today provided an update on the progress and clinical observations from the Phase 1 APOLLO study, with a data cutoff date of September 10.</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Company’s Phase 1 APOLLO study is investigating MT-601, a multi-antigen recognizing (MAR) T cell product (formerly known as multi-tumor associated antigen-specific T cells, or multiTAA), in patients with lymphoma who have relapsed after anti-CD19 chimeric antigen receptor (CAR) T cell therapy or where anti-CD19 CAR-T cells are not an option. A total of 10 patients have been treated in the study, for which clinical data is currently available for 9 patients from 5 clinical sites across the United States. Study participants showed early objective responses with and without lymphodepletion. However, immunomonitoring data confirmed that lymphodepletion enhanced the expansion and persistence of MAR-T cell clones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vivo</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findings from the APOLLO study include:</w:t>
      </w:r>
    </w:p>
    <w:p>
      <w:pPr>
        <w:spacing w:after="0" w:line="22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Safety</w:t>
      </w:r>
    </w:p>
    <w:p>
      <w:pPr>
        <w:spacing w:after="0" w:line="31" w:lineRule="exact"/>
        <w:rPr>
          <w:rFonts w:ascii="Times New Roman" w:cs="Times New Roman" w:eastAsia="Times New Roman" w:hAnsi="Times New Roman"/>
          <w:sz w:val="18"/>
          <w:szCs w:val="18"/>
          <w:color w:val="auto"/>
        </w:rPr>
      </w:pPr>
    </w:p>
    <w:p>
      <w:pPr>
        <w:ind w:lef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Infusion of MT-601 was well tolerated in all study participants, with no observation of immune-effector cell associated neurotoxicity syndrome (ICANS) and one reported Grade 1 cytokine release syndrome (CRS). No dose limiting toxicities (DLTs) have been reported to date.</w:t>
      </w:r>
    </w:p>
    <w:p>
      <w:pPr>
        <w:spacing w:after="0" w:line="17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Efficacy</w:t>
      </w:r>
    </w:p>
    <w:p>
      <w:pPr>
        <w:spacing w:after="0" w:line="31" w:lineRule="exact"/>
        <w:rPr>
          <w:rFonts w:ascii="Times New Roman" w:cs="Times New Roman" w:eastAsia="Times New Roman" w:hAnsi="Times New Roman"/>
          <w:sz w:val="18"/>
          <w:szCs w:val="18"/>
          <w:color w:val="auto"/>
        </w:rPr>
      </w:pPr>
    </w:p>
    <w:p>
      <w:pPr>
        <w:ind w:left="66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dose cohort, 7 out of 9 patients achieved objective responses (78%) at first response assessment, with 4 patients demonstrating complete response (CR; 44.4%) (Table 1).</w:t>
      </w:r>
    </w:p>
    <w:p>
      <w:pPr>
        <w:spacing w:after="0" w:line="17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Time in Follow-Up</w:t>
      </w:r>
    </w:p>
    <w:p>
      <w:pPr>
        <w:spacing w:after="0" w:line="31" w:lineRule="exact"/>
        <w:rPr>
          <w:rFonts w:ascii="Times New Roman" w:cs="Times New Roman" w:eastAsia="Times New Roman" w:hAnsi="Times New Roman"/>
          <w:sz w:val="18"/>
          <w:szCs w:val="18"/>
          <w:color w:val="auto"/>
        </w:rPr>
      </w:pPr>
    </w:p>
    <w:p>
      <w:pPr>
        <w:ind w:lef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follow-up of 6 to 12 months is currently available for three patients (Table 2). Ongoing follow-up visits are being conducted to assess the durability of responses. All study participants are monitored closely to ensure comprehensive data collection and patient safety.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380" w:type="dxa"/>
            <w:vAlign w:val="bottom"/>
            <w:gridSpan w:val="7"/>
          </w:tcPr>
          <w:p>
            <w:pPr>
              <w:ind w:left="820"/>
              <w:spacing w:after="0"/>
              <w:rPr>
                <w:sz w:val="20"/>
                <w:szCs w:val="20"/>
                <w:color w:val="auto"/>
              </w:rPr>
            </w:pPr>
            <w:r>
              <w:rPr>
                <w:rFonts w:ascii="Times New Roman" w:cs="Times New Roman" w:eastAsia="Times New Roman" w:hAnsi="Times New Roman"/>
                <w:sz w:val="18"/>
                <w:szCs w:val="18"/>
                <w:i w:val="1"/>
                <w:iCs w:val="1"/>
                <w:color w:val="auto"/>
              </w:rPr>
              <w:t>Table 1: MT-601 shows objective responses at first disease assessment.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3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No. of Patients</w:t>
            </w:r>
          </w:p>
        </w:tc>
        <w:tc>
          <w:tcPr>
            <w:tcW w:w="22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No. Prior Lines</w:t>
            </w:r>
          </w:p>
        </w:tc>
        <w:tc>
          <w:tcPr>
            <w:tcW w:w="19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Response Rate at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CR at First</w:t>
            </w:r>
          </w:p>
        </w:tc>
        <w:tc>
          <w:tcPr>
            <w:tcW w:w="840" w:type="dxa"/>
            <w:vAlign w:val="bottom"/>
          </w:tcPr>
          <w:p>
            <w:pPr>
              <w:spacing w:after="0"/>
              <w:rPr>
                <w:sz w:val="18"/>
                <w:szCs w:val="18"/>
                <w:color w:val="auto"/>
              </w:rPr>
            </w:pPr>
          </w:p>
        </w:tc>
      </w:tr>
      <w:tr>
        <w:trPr>
          <w:trHeight w:val="238"/>
        </w:trPr>
        <w:tc>
          <w:tcPr>
            <w:tcW w:w="86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Treated*</w:t>
            </w:r>
          </w:p>
        </w:tc>
        <w:tc>
          <w:tcPr>
            <w:tcW w:w="200" w:type="dxa"/>
            <w:vAlign w:val="bottom"/>
            <w:tcBorders>
              <w:bottom w:val="single" w:sz="8" w:color="CCEEFF"/>
            </w:tcBorders>
          </w:tcPr>
          <w:p>
            <w:pPr>
              <w:spacing w:after="0"/>
              <w:rPr>
                <w:sz w:val="20"/>
                <w:szCs w:val="20"/>
                <w:color w:val="auto"/>
              </w:rPr>
            </w:pPr>
          </w:p>
        </w:tc>
        <w:tc>
          <w:tcPr>
            <w:tcW w:w="2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of Therapy</w:t>
            </w:r>
          </w:p>
        </w:tc>
        <w:tc>
          <w:tcPr>
            <w:tcW w:w="80" w:type="dxa"/>
            <w:vAlign w:val="bottom"/>
            <w:tcBorders>
              <w:bottom w:val="single" w:sz="8" w:color="CCEEFF"/>
            </w:tcBorders>
          </w:tcPr>
          <w:p>
            <w:pPr>
              <w:spacing w:after="0"/>
              <w:rPr>
                <w:sz w:val="20"/>
                <w:szCs w:val="20"/>
                <w:color w:val="auto"/>
              </w:rPr>
            </w:pPr>
          </w:p>
        </w:tc>
        <w:tc>
          <w:tcPr>
            <w:tcW w:w="19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First Assessment</w:t>
            </w:r>
          </w:p>
        </w:tc>
        <w:tc>
          <w:tcPr>
            <w:tcW w:w="34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2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Assessment</w:t>
            </w:r>
          </w:p>
        </w:tc>
        <w:tc>
          <w:tcPr>
            <w:tcW w:w="160" w:type="dxa"/>
            <w:vAlign w:val="bottom"/>
            <w:tcBorders>
              <w:bottom w:val="single" w:sz="8" w:color="CCEEFF"/>
            </w:tcBorders>
          </w:tcPr>
          <w:p>
            <w:pPr>
              <w:spacing w:after="0"/>
              <w:rPr>
                <w:sz w:val="20"/>
                <w:szCs w:val="20"/>
                <w:color w:val="auto"/>
              </w:rPr>
            </w:pPr>
          </w:p>
        </w:tc>
        <w:tc>
          <w:tcPr>
            <w:tcW w:w="840" w:type="dxa"/>
            <w:vAlign w:val="bottom"/>
          </w:tcPr>
          <w:p>
            <w:pPr>
              <w:spacing w:after="0"/>
              <w:rPr>
                <w:sz w:val="20"/>
                <w:szCs w:val="20"/>
                <w:color w:val="auto"/>
              </w:rPr>
            </w:pPr>
          </w:p>
        </w:tc>
      </w:tr>
      <w:tr>
        <w:trPr>
          <w:trHeight w:val="223"/>
        </w:trPr>
        <w:tc>
          <w:tcPr>
            <w:tcW w:w="860" w:type="dxa"/>
            <w:vAlign w:val="bottom"/>
          </w:tcPr>
          <w:p>
            <w:pPr>
              <w:spacing w:after="0"/>
              <w:rPr>
                <w:sz w:val="19"/>
                <w:szCs w:val="19"/>
                <w:color w:val="auto"/>
              </w:rPr>
            </w:pPr>
          </w:p>
        </w:tc>
        <w:tc>
          <w:tcPr>
            <w:tcW w:w="2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- 12</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w:t>
            </w:r>
          </w:p>
        </w:tc>
        <w:tc>
          <w:tcPr>
            <w:tcW w:w="2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44.4%</w:t>
            </w:r>
          </w:p>
        </w:tc>
        <w:tc>
          <w:tcPr>
            <w:tcW w:w="840" w:type="dxa"/>
            <w:vAlign w:val="bottom"/>
          </w:tcPr>
          <w:p>
            <w:pPr>
              <w:spacing w:after="0"/>
              <w:rPr>
                <w:sz w:val="19"/>
                <w:szCs w:val="19"/>
                <w:color w:val="auto"/>
              </w:rPr>
            </w:pPr>
          </w:p>
        </w:tc>
      </w:tr>
      <w:tr>
        <w:trPr>
          <w:trHeight w:val="236"/>
        </w:trPr>
        <w:tc>
          <w:tcPr>
            <w:tcW w:w="860" w:type="dxa"/>
            <w:vAlign w:val="bottom"/>
          </w:tcPr>
          <w:p>
            <w:pPr>
              <w:spacing w:after="0"/>
              <w:rPr>
                <w:sz w:val="20"/>
                <w:szCs w:val="20"/>
                <w:color w:val="auto"/>
              </w:rPr>
            </w:pPr>
          </w:p>
        </w:tc>
        <w:tc>
          <w:tcPr>
            <w:tcW w:w="33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w w:val="98"/>
              </w:rPr>
              <w:t>CR, Complete Response. Data as of September</w:t>
            </w:r>
          </w:p>
        </w:tc>
        <w:tc>
          <w:tcPr>
            <w:tcW w:w="11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10, 2024.</w:t>
            </w:r>
          </w:p>
        </w:tc>
        <w:tc>
          <w:tcPr>
            <w:tcW w:w="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655"/>
        </w:trPr>
        <w:tc>
          <w:tcPr>
            <w:tcW w:w="8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52" w:name="page53"/>
    <w:bookmarkEnd w:id="52"/>
    <w:p>
      <w:pPr>
        <w:spacing w:after="0" w:line="3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705610" cy="5314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705610" cy="531495"/>
                    </a:xfrm>
                    <a:prstGeom prst="rect">
                      <a:avLst/>
                    </a:prstGeom>
                    <a:noFill/>
                  </pic:spPr>
                </pic:pic>
              </a:graphicData>
            </a:graphic>
          </wp:anchor>
        </w:drawing>
      </w:r>
    </w:p>
    <w:p>
      <w:pPr>
        <w:ind w:left="820"/>
        <w:spacing w:after="0"/>
        <w:rPr>
          <w:sz w:val="20"/>
          <w:szCs w:val="20"/>
          <w:color w:val="auto"/>
        </w:rPr>
      </w:pPr>
      <w:r>
        <w:rPr>
          <w:rFonts w:ascii="Times New Roman" w:cs="Times New Roman" w:eastAsia="Times New Roman" w:hAnsi="Times New Roman"/>
          <w:sz w:val="18"/>
          <w:szCs w:val="18"/>
          <w:i w:val="1"/>
          <w:iCs w:val="1"/>
          <w:color w:val="auto"/>
        </w:rPr>
        <w:t>Table 2: Duration of patient follow-up in Phase 1 APOLLO study.</w:t>
      </w:r>
    </w:p>
    <w:p>
      <w:pPr>
        <w:spacing w:after="0" w:line="29" w:lineRule="exact"/>
        <w:rPr>
          <w:sz w:val="20"/>
          <w:szCs w:val="20"/>
          <w:color w:val="auto"/>
        </w:rPr>
      </w:pPr>
    </w:p>
    <w:tbl>
      <w:tblPr>
        <w:tblLayout w:type="fixed"/>
        <w:tblInd w:w="860" w:type="dxa"/>
        <w:tblCellMar>
          <w:top w:w="0" w:type="dxa"/>
          <w:left w:w="0" w:type="dxa"/>
          <w:bottom w:w="0" w:type="dxa"/>
          <w:right w:w="0" w:type="dxa"/>
        </w:tblCellMar>
      </w:tblPr>
      <w:tr>
        <w:trPr>
          <w:trHeight w:val="229"/>
        </w:trPr>
        <w:tc>
          <w:tcPr>
            <w:tcW w:w="326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Longest Follow-Up</w:t>
            </w:r>
          </w:p>
        </w:tc>
        <w:tc>
          <w:tcPr>
            <w:tcW w:w="304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No. of Patients</w:t>
            </w:r>
          </w:p>
        </w:tc>
      </w:tr>
      <w:tr>
        <w:trPr>
          <w:trHeight w:val="205"/>
        </w:trPr>
        <w:tc>
          <w:tcPr>
            <w:tcW w:w="316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 12 months</w:t>
            </w:r>
          </w:p>
        </w:tc>
        <w:tc>
          <w:tcPr>
            <w:tcW w:w="100" w:type="dxa"/>
            <w:vAlign w:val="bottom"/>
          </w:tcPr>
          <w:p>
            <w:pPr>
              <w:spacing w:after="0"/>
              <w:rPr>
                <w:sz w:val="17"/>
                <w:szCs w:val="17"/>
                <w:color w:val="auto"/>
              </w:rPr>
            </w:pPr>
          </w:p>
        </w:tc>
        <w:tc>
          <w:tcPr>
            <w:tcW w:w="3040" w:type="dxa"/>
            <w:vAlign w:val="bottom"/>
            <w:tcBorders>
              <w:top w:val="single" w:sz="8" w:color="auto"/>
            </w:tcBorders>
          </w:tcPr>
          <w:p>
            <w:pPr>
              <w:jc w:val="right"/>
              <w:ind w:right="1350"/>
              <w:spacing w:after="0" w:line="205" w:lineRule="exact"/>
              <w:rPr>
                <w:sz w:val="20"/>
                <w:szCs w:val="20"/>
                <w:color w:val="auto"/>
              </w:rPr>
            </w:pPr>
            <w:r>
              <w:rPr>
                <w:rFonts w:ascii="Times New Roman" w:cs="Times New Roman" w:eastAsia="Times New Roman" w:hAnsi="Times New Roman"/>
                <w:sz w:val="18"/>
                <w:szCs w:val="18"/>
                <w:color w:val="auto"/>
              </w:rPr>
              <w:t>1</w:t>
            </w:r>
          </w:p>
        </w:tc>
      </w:tr>
      <w:tr>
        <w:trPr>
          <w:trHeight w:val="230"/>
        </w:trPr>
        <w:tc>
          <w:tcPr>
            <w:tcW w:w="3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 6 months</w:t>
            </w:r>
          </w:p>
        </w:tc>
        <w:tc>
          <w:tcPr>
            <w:tcW w:w="30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3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1-4 months</w:t>
            </w:r>
          </w:p>
        </w:tc>
        <w:tc>
          <w:tcPr>
            <w:tcW w:w="30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-144780</wp:posOffset>
            </wp:positionV>
            <wp:extent cx="606044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60440" cy="145415"/>
                    </a:xfrm>
                    <a:prstGeom prst="rect">
                      <a:avLst/>
                    </a:prstGeom>
                    <a:noFill/>
                  </pic:spPr>
                </pic:pic>
              </a:graphicData>
            </a:graphic>
          </wp:anchor>
        </w:drawing>
        <w:drawing>
          <wp:anchor simplePos="0" relativeHeight="251657728" behindDoc="1" locked="0" layoutInCell="0" allowOverlap="1">
            <wp:simplePos x="0" y="0"/>
            <wp:positionH relativeFrom="column">
              <wp:posOffset>544830</wp:posOffset>
            </wp:positionH>
            <wp:positionV relativeFrom="paragraph">
              <wp:posOffset>-445135</wp:posOffset>
            </wp:positionV>
            <wp:extent cx="606044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60440" cy="154305"/>
                    </a:xfrm>
                    <a:prstGeom prst="rect">
                      <a:avLst/>
                    </a:prstGeom>
                    <a:noFill/>
                  </pic:spPr>
                </pic:pic>
              </a:graphicData>
            </a:graphic>
          </wp:anchor>
        </w:drawing>
      </w:r>
    </w:p>
    <w:p>
      <w:pPr>
        <w:ind w:left="820"/>
        <w:spacing w:after="0"/>
        <w:rPr>
          <w:sz w:val="20"/>
          <w:szCs w:val="20"/>
          <w:color w:val="auto"/>
        </w:rPr>
      </w:pPr>
      <w:r>
        <w:rPr>
          <w:rFonts w:ascii="Times New Roman" w:cs="Times New Roman" w:eastAsia="Times New Roman" w:hAnsi="Times New Roman"/>
          <w:sz w:val="18"/>
          <w:szCs w:val="18"/>
          <w:i w:val="1"/>
          <w:iCs w:val="1"/>
          <w:color w:val="auto"/>
        </w:rPr>
        <w:t>CR, Complete Response; PR, Partial Response. Data as of September 10,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Clinical Response</w:t>
      </w:r>
    </w:p>
    <w:p>
      <w:pPr>
        <w:spacing w:after="0" w:line="31" w:lineRule="exact"/>
        <w:rPr>
          <w:sz w:val="20"/>
          <w:szCs w:val="20"/>
          <w:color w:val="auto"/>
        </w:rPr>
      </w:pPr>
    </w:p>
    <w:p>
      <w:pPr>
        <w:jc w:val="center"/>
        <w:ind w:right="1580"/>
        <w:spacing w:after="0"/>
        <w:rPr>
          <w:sz w:val="20"/>
          <w:szCs w:val="20"/>
          <w:color w:val="auto"/>
        </w:rPr>
      </w:pPr>
      <w:r>
        <w:rPr>
          <w:rFonts w:ascii="Times New Roman" w:cs="Times New Roman" w:eastAsia="Times New Roman" w:hAnsi="Times New Roman"/>
          <w:sz w:val="18"/>
          <w:szCs w:val="18"/>
          <w:color w:val="auto"/>
        </w:rPr>
        <w:t>CR</w:t>
      </w:r>
    </w:p>
    <w:p>
      <w:pPr>
        <w:spacing w:after="0" w:line="23" w:lineRule="exact"/>
        <w:rPr>
          <w:sz w:val="20"/>
          <w:szCs w:val="20"/>
          <w:color w:val="auto"/>
        </w:rPr>
      </w:pPr>
    </w:p>
    <w:p>
      <w:pPr>
        <w:jc w:val="center"/>
        <w:ind w:right="1580"/>
        <w:spacing w:after="0"/>
        <w:rPr>
          <w:sz w:val="20"/>
          <w:szCs w:val="20"/>
          <w:color w:val="auto"/>
        </w:rPr>
      </w:pPr>
      <w:r>
        <w:rPr>
          <w:rFonts w:ascii="Times New Roman" w:cs="Times New Roman" w:eastAsia="Times New Roman" w:hAnsi="Times New Roman"/>
          <w:sz w:val="18"/>
          <w:szCs w:val="18"/>
          <w:color w:val="auto"/>
        </w:rPr>
        <w:t>CR, PR</w:t>
      </w:r>
    </w:p>
    <w:p>
      <w:pPr>
        <w:spacing w:after="0" w:line="23" w:lineRule="exact"/>
        <w:rPr>
          <w:sz w:val="20"/>
          <w:szCs w:val="20"/>
          <w:color w:val="auto"/>
        </w:rPr>
      </w:pPr>
    </w:p>
    <w:p>
      <w:pPr>
        <w:jc w:val="center"/>
        <w:ind w:right="1580"/>
        <w:spacing w:after="0"/>
        <w:rPr>
          <w:sz w:val="20"/>
          <w:szCs w:val="20"/>
          <w:color w:val="auto"/>
        </w:rPr>
      </w:pPr>
      <w:r>
        <w:rPr>
          <w:rFonts w:ascii="Times New Roman" w:cs="Times New Roman" w:eastAsia="Times New Roman" w:hAnsi="Times New Roman"/>
          <w:sz w:val="18"/>
          <w:szCs w:val="18"/>
          <w:color w:val="auto"/>
        </w:rPr>
        <w:t>CR, PR</w:t>
      </w:r>
    </w:p>
    <w:p>
      <w:pPr>
        <w:spacing w:after="0" w:line="442" w:lineRule="exact"/>
        <w:rPr>
          <w:sz w:val="20"/>
          <w:szCs w:val="20"/>
          <w:color w:val="auto"/>
        </w:rPr>
      </w:pPr>
    </w:p>
    <w:p>
      <w:pPr>
        <w:sectPr>
          <w:pgSz w:w="11900" w:h="16838" w:orient="portrait"/>
          <w:cols w:equalWidth="0" w:num="2">
            <w:col w:w="7460" w:space="720"/>
            <w:col w:w="3060"/>
          </w:cols>
          <w:pgMar w:left="320" w:top="1440" w:right="339" w:bottom="1440" w:gutter="0" w:footer="0" w:header="0"/>
        </w:sectPr>
      </w:pPr>
    </w:p>
    <w:p>
      <w:pPr>
        <w:spacing w:after="0" w:line="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encouraged by the positive clinical outcomes we are observing in our Phase 1 APOLLO study,” said Monic Stuart, M.D., CMO of Marker Therapeutics. “Observing objective responses at the first response assessment in patients who have been heavily pre-treated and have relapsed after 3 to 12 prior lines of therapy, including CAR-T cells and bispecific antibodies, is a tremendous achievement and we are encouraged by the benefit and hope our therapy may provide to patients and their families. We will continue to monitor long-term treatment effects and durability of response and look forward to enrolling additional participants in this study.”</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CD19-targeting CAR-T cell therapies have gained acceptance as treatment for patients with lymphoma, 40-60% of patients relapse within the first year of treatment (Chong et al, N Engl J Med, 2021; Neelapu et al, Blood, 2023.). These post-CD19 CAR-T relapsed patients currently have no approved standard of care, illustrating a high unmet medical need and urgency for new therapies. In addition, CAR-T cells are associated with severe side effects such as CRS or ICANS and may increase the risk for secondary malignancies (</w:t>
      </w:r>
      <w:r>
        <w:rPr>
          <w:rFonts w:ascii="Times New Roman" w:cs="Times New Roman" w:eastAsia="Times New Roman" w:hAnsi="Times New Roman"/>
          <w:sz w:val="18"/>
          <w:szCs w:val="18"/>
          <w:u w:val="single" w:color="auto"/>
          <w:color w:val="auto"/>
        </w:rPr>
        <w:t>U.S. Food and Drug Administration, November 28, 2023</w:t>
      </w:r>
      <w:r>
        <w:rPr>
          <w:rFonts w:ascii="Times New Roman" w:cs="Times New Roman" w:eastAsia="Times New Roman" w:hAnsi="Times New Roman"/>
          <w:sz w:val="18"/>
          <w:szCs w:val="18"/>
          <w:color w:val="auto"/>
        </w:rPr>
        <w:t>). Data from clinical trials to date have demonstrated that MAR-T cells are well tolerated with no evidence of ICANS. In addition, Marker’s non-engineered MAR-T cell approach selectively expands natural tumor-specific T cells from a patient’s blood that can recognize a broad range of tumor antigens, minimizing the risk of mutagenesis.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enthusiastic about the progress we have made with MT-601 and our study in patients with lymphoma who have relapsed after CD19 CAR-T cell therapy and for whom there is currently no approved drug on the market,” said Juan Vera, M.D., President and CEO of Marker Therapeutics. “We believe that MT-601 can address this unmet medical need in a large and growing patient population. We will continue to treat additional participants in this Phase 1 study to validate our observations and to gather comprehensive safety and durability data to identify the best developmental strategy for MT-601 development in patients with lymphoma.”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MT-601</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lead product, MT-601, is a multi-antigen recognizing (MAR) T cell product that utilizes a non-genetically modified approach that specifically targets six different tumor antigens upregulated in lymphoma cells (Survivin, PRAME, WT-1, NY-ESO-1, SSX-2, MAGEA-4). Marker is currently investigating MT-601 in the Company-sponsored Phase 1 APOLLO trial (clinicaltrials.gov identifier: NCT05798897) for the treatment of patients with lymphoma who relapsed after or are ineligible for anti-CD19 CAR-T cell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3" w:name="page54"/>
    <w:bookmarkEnd w:id="53"/>
    <w:p>
      <w:pPr>
        <w:spacing w:after="0" w:line="3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705610" cy="5314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1705610" cy="5314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About APOLLO</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APOLLO trial (clinicaltrials.gov Identifier: NCT05798897) is a Phase 1, multicenter, open-label study designed to evaluate the safety and efficacy of MT-601 in participants with relapsed or refractory lymphoma who either failed anti-CD19 chimeric antigen receptor (CAR) T cell therapy or are ineligible for anti-CD19 CAR-T cell therapy. The primary objective of this exploratory Phase 1 clinical trial is to evaluate the optimum dose, safety, and preliminary efficacy of MT-601 in participants with various lymphoma subtypes. Under the APOLLO trial, it is anticipated that nine clinical sites across the United States will cumulatively enroll up to approximately 30 participants during the dose escalation phase.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MAR-T cells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multi-antigen recognizing (MAR) T cell platform (formerly known as multiTAA-specific T cells) is a novel, non-genetically modified cell therapy approach that selectively expands tumor-specific T cells from a patient's/donor’s blood capable of recognizing a broad range of tumor antigens. Unlike other T cell therapies, MAR-T cells allow the recognition of hundreds of different epitopes within up to six tumor-specific antigens, thereby reducing the possibility of tumor escape. Since MAR-T cells are not genetically engineered, Marker believes that its product candidates will be easier and less expensive to manufacture, with an improved safety profile compared to current engineered T cell approaches, and may provide patients with meaningful clinical benefits.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Marker Therapeutics, Inc.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Marker Therapeutics, Inc. is a Houston, TX-based clinical-stage immuno-oncology company specializing in the development of next-generation T cell-based immunotherapies for the treatment of hematological malignancies and solid tumors. The Company was founded at Baylor College of Medicine, and clinical trials that enrolled more than 200 patients across various hematological and solid tumor indications showed that the Company’s autologous and allogeneic MAR-T cell products were well tolerated and demonstrated durable clinical responses. Marker’s goal is to introduce novel T cell therapies to the market and improve patient outcomes. To achieve these objectives, the Company prioritizes the preservation of financial resources and focuses on operational excellence. Marker’s unique T cell platform is strengthened by non-dilutive funding from U.S. state and federal agencies supporting cancer research.</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receive future press releases via email, please visit: </w:t>
      </w:r>
      <w:r>
        <w:rPr>
          <w:rFonts w:ascii="Times New Roman" w:cs="Times New Roman" w:eastAsia="Times New Roman" w:hAnsi="Times New Roman"/>
          <w:sz w:val="18"/>
          <w:szCs w:val="18"/>
          <w:u w:val="single" w:color="auto"/>
          <w:color w:val="auto"/>
        </w:rPr>
        <w:t>https://www.markertherapeutics.com/email-alerts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the timing, conduct, interim results announcements and outcomes of our clinical trials of our product candidates, including MT-601 for the treatment of patients with lymphoma.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The Company assumes no obligation to update its forward-looking statements whether as a result of new information, future events or otherwise, after the date of this press release except as may be required by law.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TIBEREND STRATEGIC ADVISORS,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Nugent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205-566-3026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jnugent@tiberend.com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1705610" cy="5314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0561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Announces $16.1 Million Private Placement</w:t>
      </w:r>
    </w:p>
    <w:p>
      <w:pPr>
        <w:spacing w:after="0" w:line="22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Strategic financing supports clinical advancement in Phase 1 APOLLO study investigating MT-601 in patients with lymphoma who relapsed after anti-CD19 CAR-T cells</w:t>
      </w:r>
    </w:p>
    <w:p>
      <w:pPr>
        <w:spacing w:after="0" w:line="1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Houston, TX – December 19, 2024 </w:t>
      </w:r>
      <w:r>
        <w:rPr>
          <w:rFonts w:ascii="Times New Roman" w:cs="Times New Roman" w:eastAsia="Times New Roman" w:hAnsi="Times New Roman"/>
          <w:sz w:val="18"/>
          <w:szCs w:val="18"/>
          <w:color w:val="auto"/>
        </w:rPr>
        <w:t>– Marker Therapeutics, Inc. (Nasdaq: MRKR), a clinical-stage immuno-oncology company focusing on developing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next-generation T cell-based immunotherapies for the treatment of hematological malignancies and solid tumor indications, today announced it has entered into a securities purchase agreement for a private placement resulting in gross proceeds of $16.1 million, before deducting placement agent fees and other expenses.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Proceeds from the financing will, among other uses, support the clinical advancement of the Company’s Phase 1 APOLLO study investigating MT-601, a multi-antigen recognizing (MAR) T cell product (formerly known as multiTAA-specific T cells), in patients with lymphoma who have relapsed after anti-CD19 chimeric antigen receptor (CAR)-T cell therapy or where anti-CD19 CAR-T cells are not an option.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financing included participation from new and existing investors including Blue Owl Healthcare Opportunities, New Enterprise Associates (NEA) and Aisling Capital, and will support the collection of additional clinical data to advance Marker’s lead clinical asset in lymphoma.</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Marker is selling 5,031,250 shares of its common stock (or pre-funded warrants in lieu thereof) and accompanying warrants to purchase up to 5,031,250 shares of common stock, at a purchase price of $3.20 per share (or $3.199 per pre-funded warrant in lieu thereof) and accompanying warrant.</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pre-funded warrants and the accompanying warrants will be exercisable upon shareholder approval and have a term of five years commencing upon shareholder approval. The pre-funded warrants will be exercisable at a price of $0.001 per share and the accompanying warrants will have an exercise price of $4.03 per share.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Canaccord Genuity is acting as lead placement agent and Brookline Capital Markets, a division of Arcadia Securities, LLC, is acting as co-placement agent.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securities being sold in this private placement have not been registered under the Securities Act of 1933, as amended (the “Securities Act”), or applicable state securities laws, and may not be offered or sold in the United States absent registration or an applicable exemption from the registration requirements of the Securities Act. Marker has agreed to file a registration statement with the Securities and Exchange commission (SEC) registering the resale of the shares of common stock and shares of common stock issuable upon exercise of the pre-funded warrants and accompanying warrants.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these securities, nor shall there be any offer, solicitation or sale of these securities in any jurisdiction in which such offer, solicitation or sale would be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05610" cy="5314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1705610" cy="53149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MT-601</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lead product, MT-601, is a multi-antigen recognizing (MAR) T cell product that utilizes a non-genetically modified approach that specifically targets six different tumor antigens upregulated in lymphoma cells (Survivin, PRAME, WT-1, NY-ESO-1, SSX-2, MAGEA-4). Marker is currently investigating MT-601 in the Company-sponsored Phase 1 APOLLO trial (clinicaltrials.gov identifier: NCT05798897) for the treatment of patients with lymphoma who relapsed after or are ineligible for anti-CD19 CAR-T cell therapies.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APOLLO</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APOLLO trial (clinicaltrials.gov Identifier: NCT05798897) is a Phase 1, multicenter, open-label study designed to evaluate the safety and efficacy of MT-601 in participants with relapsed or refractory lymphoma who either failed anti-CD19 chimeric antigen receptor (CAR) T cell therapy or are ineligible for anti-CD19 CAR-T cell therapy. The primary objective of this exploratory Phase 1 clinical trial is to evaluate the optimum dose, safety, and preliminary efficacy of MT-601 in participants with various lymphoma subtypes. Under the APOLLO trial, it is anticipated that nine clinical sites across the United States will cumulatively enroll up to approximately 30 participants during the dose escalation phase.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MAR-T cells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multi-antigen recognizing (MAR) T cell platform (formerly known as multiTAA-specific T cells) is a novel, non-genetically modified cell therapy approach that selectively expands tumor-specific T cells from a patient's/donor’s blood capable of recognizing a broad range of tumor antigens. Unlike other T cell therapies, MAR-T cells allow the recognition of hundreds of different epitopes within up to six tumor-specific antigens, thereby reducing the possibility of tumor escape. Since MAR-T cells are not genetically engineered, Marker believes that its product candidates will be easier and less expensive to manufacture, with an improved safety profile compared to current engineered T cell approaches, and may provide patients with meaningful clinical benefits.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Marker Therapeutics, Inc.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Marker Therapeutics, Inc. is a Houston, TX-based clinical-stage immuno-oncology company specializing in the development of next-generation T cell-based immunotherapies for the treatment of hematological malignancies and solid tumors. The Company was founded at Baylor College of Medicine, and clinical trials that enrolled more than 200 patients across various hematological and solid tumor indications showed that the Company’s autologous and allogeneic MAR-T cell products were well tolerated and demonstrated durable clinical responses. Marker’s goal is to introduce novel T cell therapies to the market and improve patient outcomes. To achieve these objectives, the Company prioritizes the preservation of financial resources and focuses on operational excellence. Marker’s unique T cell platform is strengthened by non-dilutive funding from U.S. state and federal agencies supporting cancer research.</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receive future press releases via email, please visit: </w:t>
      </w:r>
      <w:r>
        <w:rPr>
          <w:rFonts w:ascii="Times New Roman" w:cs="Times New Roman" w:eastAsia="Times New Roman" w:hAnsi="Times New Roman"/>
          <w:sz w:val="18"/>
          <w:szCs w:val="18"/>
          <w:u w:val="single" w:color="auto"/>
          <w:color w:val="auto"/>
        </w:rPr>
        <w:t>https://www.markertherapeutics.com/email-alerts.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05610" cy="5314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705610" cy="531495"/>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the timing, conduct, interim results announcements and outcomes of our clinical trials of our product candidates, including MT-601 for the treatment of patients with lymphoma.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The Company assumes no obligation to update its forward-looking statements whether as a result of new information, future events or otherwise, after the date of this press release except as may be required by law.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TIBEREND STRATEGIC ADVISORS,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Nugent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205-566-3026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jnugent@tiberend.com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upperLetter"/>
      <w:start w:val="1"/>
    </w:lvl>
  </w:abstractNum>
  <w:abstractNum w:abstractNumId="2">
    <w:nsid w:val="507ED7AB"/>
    <w:multiLevelType w:val="hybridMultilevel"/>
    <w:lvl w:ilvl="0">
      <w:lvlJc w:val="left"/>
      <w:lvlText w:val="(%1)"/>
      <w:numFmt w:val="lowerRoman"/>
      <w:start w:val="2"/>
    </w:lvl>
  </w:abstractNum>
  <w:abstractNum w:abstractNumId="3">
    <w:nsid w:val="2EB141F2"/>
    <w:multiLevelType w:val="hybridMultilevel"/>
    <w:lvl w:ilvl="0">
      <w:lvlJc w:val="left"/>
      <w:lvlText w:val="(%1)"/>
      <w:numFmt w:val="upperLetter"/>
      <w:start w:val="2"/>
    </w:lvl>
  </w:abstractNum>
  <w:abstractNum w:abstractNumId="4">
    <w:nsid w:val="41B71EFB"/>
    <w:multiLevelType w:val="hybridMultilevel"/>
    <w:lvl w:ilvl="0">
      <w:lvlJc w:val="left"/>
      <w:lvlText w:val="(%1)"/>
      <w:numFmt w:val="lowerRoman"/>
      <w:start w:val="3"/>
    </w:lvl>
  </w:abstractNum>
  <w:abstractNum w:abstractNumId="5">
    <w:nsid w:val="79E2A9E3"/>
    <w:multiLevelType w:val="hybridMultilevel"/>
    <w:lvl w:ilvl="0">
      <w:lvlJc w:val="left"/>
      <w:lvlText w:val="(%1)"/>
      <w:numFmt w:val="upperLetter"/>
      <w:start w:val="2"/>
    </w:lvl>
  </w:abstractNum>
  <w:abstractNum w:abstractNumId="6">
    <w:nsid w:val="7545E146"/>
    <w:multiLevelType w:val="hybridMultilevel"/>
    <w:lvl w:ilvl="0">
      <w:lvlJc w:val="left"/>
      <w:lvlText w:val="(%1)"/>
      <w:numFmt w:val="lowerRoman"/>
      <w:start w:val="2"/>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2024-12-19T07:29:51Z</dcterms:created>
  <dcterms:modified xsi:type="dcterms:W3CDTF">2024-12-19T07:29:51Z</dcterms:modified>
</cp:coreProperties>
</file>