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317378d2_8k.htm"/>
      <w:bookmarkStart w:id="1" w:name="kstm2317378d2_8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FORM </w:t>
      </w:r>
      <w:bookmarkStart w:id="2" w:name="xdx_906_edei--DocumentType_c20230606__20"/>
      <w:bookmarkEnd w:id="2"/>
      <w:r>
        <w:rPr>
          <w:rFonts w:ascii="Times New Roman;Times;Serif" w:hAnsi="Times New Roman;Times;Serif"/>
          <w:b/>
          <w:i w:val="false"/>
          <w:caps w:val="false"/>
          <w:smallCaps w:val="false"/>
          <w:sz w:val="20"/>
          <w:u w:val="single"/>
        </w:rPr>
        <w:t>8-K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bookmarkStart w:id="3" w:name="xdx_900_edei--DocumentPeriodEndDate_c202"/>
      <w:bookmarkEnd w:id="3"/>
      <w:r>
        <w:rPr>
          <w:rFonts w:ascii="Times New Roman;Times;Serif" w:hAnsi="Times New Roman;Times;Serif"/>
          <w:b/>
          <w:i w:val="false"/>
          <w:caps w:val="false"/>
          <w:smallCaps w:val="false"/>
          <w:sz w:val="20"/>
          <w:u w:val="single"/>
        </w:rPr>
        <w:t>June 6, 2023</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of Report (Date of earliest event reported)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u w:val="single"/>
        </w:rPr>
      </w:pPr>
      <w:bookmarkStart w:id="4" w:name="xdx_90E_edei--EntityRegistrantName_c2023"/>
      <w:bookmarkEnd w:id="4"/>
      <w:r>
        <w:rPr>
          <w:rFonts w:ascii="Times New Roman;Times;Serif" w:hAnsi="Times New Roman;Times;Serif"/>
          <w:b/>
          <w:i w:val="false"/>
          <w:caps w:val="false"/>
          <w:smallCaps w:val="false"/>
          <w:sz w:val="28"/>
          <w:u w:val="single"/>
        </w:rPr>
        <w:t>MARKER THERAPEUTICS, INC.</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(Exact name of registrant as specified in its charter)</w:t>
      </w:r>
    </w:p>
    <w:p>
      <w:pPr>
        <w:pStyle w:val="TextBody"/>
        <w:bidi w:val="0"/>
        <w:spacing w:before="0" w:after="0"/>
        <w:ind w:left="0" w:right="0" w:hanging="0"/>
        <w:jc w:val="left"/>
        <w:rPr>
          <w:caps w:val="false"/>
          <w:smallCaps w:val="false"/>
        </w:rPr>
      </w:pPr>
      <w:r>
        <w:rPr>
          <w:caps w:val="false"/>
          <w:smallCaps w:val="false"/>
        </w:rPr>
        <w:t> </w:t>
      </w:r>
    </w:p>
    <w:tbl>
      <w:tblPr>
        <w:tblW w:w="7365" w:type="dxa"/>
        <w:jc w:val="left"/>
        <w:tblInd w:w="0" w:type="dxa"/>
        <w:tblLayout w:type="fixed"/>
        <w:tblCellMar>
          <w:top w:w="0" w:type="dxa"/>
          <w:left w:w="0" w:type="dxa"/>
          <w:bottom w:w="0" w:type="dxa"/>
          <w:right w:w="0" w:type="dxa"/>
        </w:tblCellMar>
      </w:tblPr>
      <w:tblGrid>
        <w:gridCol w:w="2375"/>
        <w:gridCol w:w="2210"/>
        <w:gridCol w:w="2780"/>
      </w:tblGrid>
      <w:tr>
        <w:trPr/>
        <w:tc>
          <w:tcPr>
            <w:tcW w:w="2375" w:type="dxa"/>
            <w:tcBorders/>
            <w:vAlign w:val="center"/>
          </w:tcPr>
          <w:p>
            <w:pPr>
              <w:pStyle w:val="TableContents"/>
              <w:bidi w:val="0"/>
              <w:spacing w:before="0" w:after="283"/>
              <w:jc w:val="center"/>
              <w:rPr>
                <w:rFonts w:ascii="Times New Roman;Times;Serif" w:hAnsi="Times New Roman;Times;Serif"/>
                <w:b/>
                <w:i w:val="false"/>
                <w:caps w:val="false"/>
                <w:smallCaps w:val="false"/>
                <w:sz w:val="20"/>
                <w:u w:val="single"/>
              </w:rPr>
            </w:pPr>
            <w:bookmarkStart w:id="5" w:name="xdx_90E_edei--EntityIncorporationStateCo"/>
            <w:bookmarkEnd w:id="5"/>
            <w:r>
              <w:rPr>
                <w:rFonts w:ascii="Times New Roman;Times;Serif" w:hAnsi="Times New Roman;Times;Serif"/>
                <w:b/>
                <w:i w:val="false"/>
                <w:caps w:val="false"/>
                <w:smallCaps w:val="false"/>
                <w:sz w:val="20"/>
                <w:u w:val="single"/>
              </w:rPr>
              <w:t>Delaware</w:t>
            </w:r>
          </w:p>
        </w:tc>
        <w:tc>
          <w:tcPr>
            <w:tcW w:w="2210" w:type="dxa"/>
            <w:tcBorders/>
            <w:vAlign w:val="center"/>
          </w:tcPr>
          <w:p>
            <w:pPr>
              <w:pStyle w:val="TableContents"/>
              <w:bidi w:val="0"/>
              <w:spacing w:before="0" w:after="283"/>
              <w:jc w:val="center"/>
              <w:rPr>
                <w:rFonts w:ascii="Times New Roman;Times;Serif" w:hAnsi="Times New Roman;Times;Serif"/>
                <w:b/>
                <w:i w:val="false"/>
                <w:caps w:val="false"/>
                <w:smallCaps w:val="false"/>
                <w:sz w:val="20"/>
                <w:u w:val="single"/>
              </w:rPr>
            </w:pPr>
            <w:bookmarkStart w:id="6" w:name="xdx_905_edei--EntityFileNumber_c20230606"/>
            <w:bookmarkEnd w:id="6"/>
            <w:r>
              <w:rPr>
                <w:rFonts w:ascii="Times New Roman;Times;Serif" w:hAnsi="Times New Roman;Times;Serif"/>
                <w:b/>
                <w:i w:val="false"/>
                <w:caps w:val="false"/>
                <w:smallCaps w:val="false"/>
                <w:sz w:val="20"/>
                <w:u w:val="single"/>
              </w:rPr>
              <w:t>001-37939</w:t>
            </w:r>
          </w:p>
        </w:tc>
        <w:tc>
          <w:tcPr>
            <w:tcW w:w="2780" w:type="dxa"/>
            <w:tcBorders/>
            <w:vAlign w:val="center"/>
          </w:tcPr>
          <w:p>
            <w:pPr>
              <w:pStyle w:val="TableContents"/>
              <w:bidi w:val="0"/>
              <w:spacing w:before="0" w:after="283"/>
              <w:jc w:val="center"/>
              <w:rPr>
                <w:rFonts w:ascii="Times New Roman;Times;Serif" w:hAnsi="Times New Roman;Times;Serif"/>
                <w:b/>
                <w:i w:val="false"/>
                <w:caps w:val="false"/>
                <w:smallCaps w:val="false"/>
                <w:sz w:val="20"/>
                <w:u w:val="single"/>
              </w:rPr>
            </w:pPr>
            <w:bookmarkStart w:id="7" w:name="xdx_908_edei--EntityTaxIdentificationNum"/>
            <w:bookmarkEnd w:id="7"/>
            <w:r>
              <w:rPr>
                <w:rFonts w:ascii="Times New Roman;Times;Serif" w:hAnsi="Times New Roman;Times;Serif"/>
                <w:b/>
                <w:i w:val="false"/>
                <w:caps w:val="false"/>
                <w:smallCaps w:val="false"/>
                <w:sz w:val="20"/>
                <w:u w:val="single"/>
              </w:rPr>
              <w:t>45-4497941</w:t>
            </w:r>
          </w:p>
        </w:tc>
      </w:tr>
      <w:tr>
        <w:trPr/>
        <w:tc>
          <w:tcPr>
            <w:tcW w:w="237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 or other jurisdiction of</w:t>
              <w:br/>
              <w:t>incorporation)</w:t>
            </w:r>
          </w:p>
        </w:tc>
        <w:tc>
          <w:tcPr>
            <w:tcW w:w="221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(Commission File Number)</w:t>
            </w:r>
          </w:p>
        </w:tc>
        <w:tc>
          <w:tcPr>
            <w:tcW w:w="278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(IRS Employer Identification No.)</w:t>
            </w:r>
          </w:p>
        </w:tc>
      </w:tr>
    </w:tbl>
    <w:p>
      <w:pPr>
        <w:pStyle w:val="TextBody"/>
        <w:bidi w:val="0"/>
        <w:spacing w:before="0" w:after="0"/>
        <w:ind w:left="0" w:right="0" w:hanging="0"/>
        <w:jc w:val="left"/>
        <w:rPr>
          <w:caps w:val="false"/>
          <w:smallCaps w:val="false"/>
        </w:rPr>
      </w:pPr>
      <w:r>
        <w:rPr>
          <w:caps w:val="false"/>
          <w:smallCaps w:val="false"/>
        </w:rPr>
        <w:t> </w:t>
      </w:r>
    </w:p>
    <w:tbl>
      <w:tblPr>
        <w:tblW w:w="4195" w:type="dxa"/>
        <w:jc w:val="left"/>
        <w:tblInd w:w="0" w:type="dxa"/>
        <w:tblLayout w:type="fixed"/>
        <w:tblCellMar>
          <w:top w:w="0" w:type="dxa"/>
          <w:left w:w="0" w:type="dxa"/>
          <w:bottom w:w="0" w:type="dxa"/>
          <w:right w:w="0" w:type="dxa"/>
        </w:tblCellMar>
      </w:tblPr>
      <w:tblGrid>
        <w:gridCol w:w="3215"/>
        <w:gridCol w:w="60"/>
        <w:gridCol w:w="920"/>
      </w:tblGrid>
      <w:tr>
        <w:trPr/>
        <w:tc>
          <w:tcPr>
            <w:tcW w:w="321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bookmarkStart w:id="8" w:name="xdx_90C_edei--EntityAddressAddressLine1_"/>
            <w:bookmarkEnd w:id="8"/>
            <w:r>
              <w:rPr>
                <w:rFonts w:ascii="Times New Roman;Times;Serif" w:hAnsi="Times New Roman;Times;Serif"/>
                <w:b/>
                <w:i w:val="false"/>
                <w:caps w:val="false"/>
                <w:smallCaps w:val="false"/>
                <w:sz w:val="20"/>
              </w:rPr>
              <w:t>4551 Kennedy Commerce Drive</w:t>
            </w:r>
          </w:p>
          <w:p>
            <w:pPr>
              <w:pStyle w:val="TableContents"/>
              <w:bidi w:val="0"/>
              <w:spacing w:before="0" w:after="0"/>
              <w:ind w:left="0" w:right="0" w:hanging="0"/>
              <w:jc w:val="center"/>
              <w:rPr>
                <w:rFonts w:ascii="Times New Roman;Times;Serif" w:hAnsi="Times New Roman;Times;Serif"/>
                <w:b/>
                <w:i w:val="false"/>
                <w:caps w:val="false"/>
                <w:smallCaps w:val="false"/>
                <w:sz w:val="20"/>
                <w:u w:val="single"/>
              </w:rPr>
            </w:pPr>
            <w:bookmarkStart w:id="9" w:name="xdx_90D_edei--EntityAddressCityOrTown_c2"/>
            <w:bookmarkEnd w:id="9"/>
            <w:r>
              <w:rPr>
                <w:rFonts w:ascii="Times New Roman;Times;Serif" w:hAnsi="Times New Roman;Times;Serif"/>
                <w:b/>
                <w:i w:val="false"/>
                <w:caps w:val="false"/>
                <w:smallCaps w:val="false"/>
                <w:sz w:val="20"/>
                <w:u w:val="single"/>
              </w:rPr>
              <w:t xml:space="preserve">Houston, </w:t>
            </w:r>
            <w:bookmarkStart w:id="10" w:name="xdx_902_edei--EntityAddressStateOrProvin"/>
            <w:bookmarkEnd w:id="10"/>
            <w:r>
              <w:rPr>
                <w:rFonts w:ascii="Times New Roman;Times;Serif" w:hAnsi="Times New Roman;Times;Serif"/>
                <w:b/>
                <w:i w:val="false"/>
                <w:caps w:val="false"/>
                <w:smallCaps w:val="false"/>
                <w:sz w:val="20"/>
                <w:u w:val="single"/>
              </w:rPr>
              <w:t>Texas</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center"/>
              <w:rPr>
                <w:rFonts w:ascii="Times New Roman;Times;Serif" w:hAnsi="Times New Roman;Times;Serif"/>
                <w:b/>
                <w:i w:val="false"/>
                <w:caps w:val="false"/>
                <w:smallCaps w:val="false"/>
                <w:sz w:val="20"/>
                <w:u w:val="single"/>
              </w:rPr>
            </w:pPr>
            <w:bookmarkStart w:id="11" w:name="xdx_901_edei--EntityAddressPostalZipCode"/>
            <w:bookmarkEnd w:id="11"/>
            <w:r>
              <w:rPr>
                <w:rFonts w:ascii="Times New Roman;Times;Serif" w:hAnsi="Times New Roman;Times;Serif"/>
                <w:b/>
                <w:i w:val="false"/>
                <w:caps w:val="false"/>
                <w:smallCaps w:val="false"/>
                <w:sz w:val="20"/>
                <w:u w:val="single"/>
              </w:rPr>
              <w:t>77032</w:t>
            </w:r>
          </w:p>
        </w:tc>
      </w:tr>
      <w:tr>
        <w:trPr/>
        <w:tc>
          <w:tcPr>
            <w:tcW w:w="321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(Zip Code)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t>
      </w:r>
      <w:bookmarkStart w:id="12" w:name="xdx_901_edei--CityAreaCode_c20230606__20"/>
      <w:bookmarkEnd w:id="12"/>
      <w:r>
        <w:rPr>
          <w:rFonts w:ascii="Times New Roman;Times;Serif" w:hAnsi="Times New Roman;Times;Serif"/>
          <w:b/>
          <w:i w:val="false"/>
          <w:caps w:val="false"/>
          <w:smallCaps w:val="false"/>
          <w:sz w:val="20"/>
        </w:rPr>
        <w:t>713) </w:t>
      </w:r>
      <w:bookmarkStart w:id="13" w:name="xdx_90C_edei--LocalPhoneNumber_c20230606"/>
      <w:bookmarkEnd w:id="13"/>
      <w:r>
        <w:rPr>
          <w:rFonts w:ascii="Times New Roman;Times;Serif" w:hAnsi="Times New Roman;Times;Serif"/>
          <w:b/>
          <w:i w:val="false"/>
          <w:caps w:val="false"/>
          <w:smallCaps w:val="false"/>
          <w:sz w:val="20"/>
        </w:rPr>
        <w:t>400-6400</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Registrant’s telephone number, including area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N/A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(Former name or former address, if changed since last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caps w:val="false"/>
                <w:smallCaps w:val="false"/>
              </w:rPr>
            </w:pPr>
            <w:bookmarkStart w:id="14" w:name="xdx_90F_edei--WrittenCommunications_c202"/>
            <w:bookmarkEnd w:id="14"/>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Written communications pursuant to Rule 425 under the Securities Act (17 CFR 230.425)</w:t>
            </w:r>
          </w:p>
        </w:tc>
      </w:tr>
      <w:tr>
        <w:trPr/>
        <w:tc>
          <w:tcPr>
            <w:tcW w:w="245" w:type="dxa"/>
            <w:tcBorders/>
            <w:vAlign w:val="center"/>
          </w:tcPr>
          <w:p>
            <w:pPr>
              <w:pStyle w:val="TableContents"/>
              <w:bidi w:val="0"/>
              <w:spacing w:before="0" w:after="283"/>
              <w:jc w:val="left"/>
              <w:rPr>
                <w:caps w:val="false"/>
                <w:smallCaps w:val="false"/>
              </w:rPr>
            </w:pPr>
            <w:bookmarkStart w:id="15" w:name="xdx_908_edei--SolicitingMaterial_c202306"/>
            <w:bookmarkEnd w:id="15"/>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Soliciting material pursuant to Rule 14a-12 under the Exchange Act (17 CFR 240.14a-12)</w:t>
            </w:r>
          </w:p>
        </w:tc>
      </w:tr>
      <w:tr>
        <w:trPr/>
        <w:tc>
          <w:tcPr>
            <w:tcW w:w="245" w:type="dxa"/>
            <w:tcBorders/>
            <w:vAlign w:val="center"/>
          </w:tcPr>
          <w:p>
            <w:pPr>
              <w:pStyle w:val="TableContents"/>
              <w:bidi w:val="0"/>
              <w:spacing w:before="0" w:after="283"/>
              <w:jc w:val="left"/>
              <w:rPr>
                <w:caps w:val="false"/>
                <w:smallCaps w:val="false"/>
              </w:rPr>
            </w:pPr>
            <w:bookmarkStart w:id="16" w:name="xdx_90E_edei--PreCommencementTenderOffer"/>
            <w:bookmarkEnd w:id="16"/>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14d-2(b) under the Exchange Act (17 CFR 240.14d-2(b))</w:t>
            </w:r>
          </w:p>
        </w:tc>
      </w:tr>
      <w:tr>
        <w:trPr/>
        <w:tc>
          <w:tcPr>
            <w:tcW w:w="245" w:type="dxa"/>
            <w:tcBorders/>
            <w:vAlign w:val="center"/>
          </w:tcPr>
          <w:p>
            <w:pPr>
              <w:pStyle w:val="TableContents"/>
              <w:bidi w:val="0"/>
              <w:spacing w:before="0" w:after="283"/>
              <w:jc w:val="left"/>
              <w:rPr>
                <w:caps w:val="false"/>
                <w:smallCaps w:val="false"/>
              </w:rPr>
            </w:pPr>
            <w:bookmarkStart w:id="17" w:name="xdx_906_edei--PreCommencementIssuerTende"/>
            <w:bookmarkEnd w:id="17"/>
            <w:r>
              <w:rPr>
                <w:caps w:val="false"/>
                <w:smallCaps w:val="false"/>
              </w:rPr>
              <w:t>☐</w:t>
            </w:r>
          </w:p>
        </w:tc>
        <w:tc>
          <w:tcPr>
            <w:tcW w:w="906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7230" w:type="dxa"/>
        <w:jc w:val="left"/>
        <w:tblInd w:w="0" w:type="dxa"/>
        <w:tblLayout w:type="fixed"/>
        <w:tblCellMar>
          <w:top w:w="0" w:type="dxa"/>
          <w:left w:w="0" w:type="dxa"/>
          <w:bottom w:w="28" w:type="dxa"/>
          <w:right w:w="0" w:type="dxa"/>
        </w:tblCellMar>
      </w:tblPr>
      <w:tblGrid>
        <w:gridCol w:w="3515"/>
        <w:gridCol w:w="60"/>
        <w:gridCol w:w="845"/>
        <w:gridCol w:w="60"/>
        <w:gridCol w:w="2750"/>
      </w:tblGrid>
      <w:tr>
        <w:trPr/>
        <w:tc>
          <w:tcPr>
            <w:tcW w:w="351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 of each class</w:t>
            </w:r>
          </w:p>
        </w:tc>
        <w:tc>
          <w:tcPr>
            <w:tcW w:w="60" w:type="dxa"/>
            <w:tcBorders>
              <w:bottom w:val="single" w:sz="8" w:space="0" w:color="000000"/>
            </w:tcBorders>
            <w:vAlign w:val="center"/>
          </w:tcPr>
          <w:p>
            <w:pPr>
              <w:pStyle w:val="TableContents"/>
              <w:bidi w:val="0"/>
              <w:spacing w:before="0" w:after="283"/>
              <w:jc w:val="center"/>
              <w:rPr/>
            </w:pPr>
            <w:r>
              <w:rPr/>
              <w:t> </w:t>
            </w:r>
          </w:p>
        </w:tc>
        <w:tc>
          <w:tcPr>
            <w:tcW w:w="845"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Trading</w:t>
              <w:br/>
              <w:t>Symbol(s)</w:t>
            </w:r>
          </w:p>
        </w:tc>
        <w:tc>
          <w:tcPr>
            <w:tcW w:w="60" w:type="dxa"/>
            <w:tcBorders>
              <w:bottom w:val="single" w:sz="8" w:space="0" w:color="000000"/>
            </w:tcBorders>
            <w:vAlign w:val="center"/>
          </w:tcPr>
          <w:p>
            <w:pPr>
              <w:pStyle w:val="TableContents"/>
              <w:bidi w:val="0"/>
              <w:spacing w:before="0" w:after="283"/>
              <w:jc w:val="center"/>
              <w:rPr/>
            </w:pPr>
            <w:r>
              <w:rPr/>
              <w:t> </w:t>
            </w:r>
          </w:p>
        </w:tc>
        <w:tc>
          <w:tcPr>
            <w:tcW w:w="2750" w:type="dxa"/>
            <w:tcBorders>
              <w:bottom w:val="single" w:sz="8" w:space="0" w:color="000000"/>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Name of each exchange on which</w:t>
              <w:br/>
              <w:t>registered</w:t>
            </w:r>
          </w:p>
        </w:tc>
      </w:tr>
      <w:tr>
        <w:trPr/>
        <w:tc>
          <w:tcPr>
            <w:tcW w:w="351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8" w:name="xdx_90F_edei--Security12bTitle_c20230606"/>
            <w:bookmarkEnd w:id="18"/>
            <w:r>
              <w:rPr>
                <w:rFonts w:ascii="Times New Roman;Times;Serif" w:hAnsi="Times New Roman;Times;Serif"/>
                <w:b w:val="false"/>
                <w:i w:val="false"/>
                <w:caps w:val="false"/>
                <w:smallCaps w:val="false"/>
                <w:sz w:val="20"/>
              </w:rPr>
              <w:t>Common Stock, par value $0.001 per share</w:t>
            </w:r>
          </w:p>
        </w:tc>
        <w:tc>
          <w:tcPr>
            <w:tcW w:w="60" w:type="dxa"/>
            <w:tcBorders/>
            <w:tcMar>
              <w:bottom w:w="0" w:type="dxa"/>
            </w:tcMar>
            <w:vAlign w:val="center"/>
          </w:tcPr>
          <w:p>
            <w:pPr>
              <w:pStyle w:val="TableContents"/>
              <w:bidi w:val="0"/>
              <w:spacing w:before="0" w:after="283"/>
              <w:jc w:val="center"/>
              <w:rPr/>
            </w:pPr>
            <w:r>
              <w:rPr/>
              <w:t> </w:t>
            </w:r>
          </w:p>
        </w:tc>
        <w:tc>
          <w:tcPr>
            <w:tcW w:w="84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19" w:name="xdx_90D_edei--TradingSymbol_c20230606__2"/>
            <w:bookmarkEnd w:id="19"/>
            <w:r>
              <w:rPr>
                <w:rFonts w:ascii="Times New Roman;Times;Serif" w:hAnsi="Times New Roman;Times;Serif"/>
                <w:b w:val="false"/>
                <w:i w:val="false"/>
                <w:caps w:val="false"/>
                <w:smallCaps w:val="false"/>
                <w:sz w:val="20"/>
              </w:rPr>
              <w:t>MRKR</w:t>
            </w:r>
          </w:p>
        </w:tc>
        <w:tc>
          <w:tcPr>
            <w:tcW w:w="60" w:type="dxa"/>
            <w:tcBorders/>
            <w:tcMar>
              <w:bottom w:w="0" w:type="dxa"/>
            </w:tcMar>
            <w:vAlign w:val="center"/>
          </w:tcPr>
          <w:p>
            <w:pPr>
              <w:pStyle w:val="TableContents"/>
              <w:bidi w:val="0"/>
              <w:spacing w:before="0" w:after="283"/>
              <w:jc w:val="center"/>
              <w:rPr/>
            </w:pPr>
            <w:r>
              <w:rPr/>
              <w:t> </w:t>
            </w:r>
          </w:p>
        </w:tc>
        <w:tc>
          <w:tcPr>
            <w:tcW w:w="275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bookmarkStart w:id="20" w:name="xdx_90C_edei--SecurityExchangeName_c2023"/>
            <w:bookmarkEnd w:id="20"/>
            <w:r>
              <w:rPr>
                <w:rFonts w:ascii="Times New Roman;Times;Serif" w:hAnsi="Times New Roman;Times;Serif"/>
                <w:b w:val="false"/>
                <w:i w:val="false"/>
                <w:caps w:val="false"/>
                <w:smallCaps w:val="false"/>
                <w:sz w:val="20"/>
              </w:rPr>
              <w:t>The Nasdaq Stock Market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720" w:right="720" w:hanging="0"/>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bookmarkStart w:id="21" w:name="xdx_909_edei--EntityEmergingGrowthCompan"/>
      <w:bookmarkEnd w:id="21"/>
      <w:r>
        <w:rPr>
          <w:rFonts w:ascii="Times New Roman;Times;Serif" w:hAnsi="Times New Roman;Times;Serif"/>
          <w:b w:val="false"/>
          <w:i w:val="false"/>
          <w:caps w:val="false"/>
          <w:smallCaps w:val="false"/>
          <w:sz w:val="20"/>
        </w:rPr>
        <w:t>☐</w:t>
      </w:r>
    </w:p>
    <w:p>
      <w:pPr>
        <w:pStyle w:val="TextBody"/>
        <w:bidi w:val="0"/>
        <w:spacing w:before="0" w:after="0"/>
        <w:ind w:left="684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5.07 Submission of Matters to a Vote of Security 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6, 2023, Marker Therapeutics, Inc. (the “Company”) held its 2023 Annual Meeting of Stockholders (the “Annual Meeting”). The stockholders considered four proposals, each of which is described in more detail in the Company’s definitive proxy statement filed with the Securities and Exchange Commission on April 28, 2023. Of the 8,798,829 shares outstanding as of the record date, 5,889,872 shares, or 66.94%, were present virtually or represented by proxy at the Annual Meeting. Set forth below are the results of the matters submitted for a vote of stockholders at the Annual Meeting.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Proposal No. 1</w:t>
      </w:r>
      <w:r>
        <w:rPr>
          <w:rFonts w:ascii="Times New Roman;Times;Serif" w:hAnsi="Times New Roman;Times;Serif"/>
          <w:b w:val="false"/>
          <w:i w:val="false"/>
          <w:caps w:val="false"/>
          <w:smallCaps w:val="false"/>
          <w:sz w:val="20"/>
        </w:rPr>
        <w:t>: Election of five nominees to serve as directors until the 2023 annual meeting of stockholders and until their respective successors are elected and qualified. The votes were cast as follows:</w:t>
      </w:r>
    </w:p>
    <w:p>
      <w:pPr>
        <w:pStyle w:val="TextBody"/>
        <w:bidi w:val="0"/>
        <w:spacing w:before="0" w:after="0"/>
        <w:ind w:left="0" w:right="0" w:hanging="0"/>
        <w:jc w:val="left"/>
        <w:rPr>
          <w:caps w:val="false"/>
          <w:smallCaps w:val="false"/>
        </w:rPr>
      </w:pPr>
      <w:r>
        <w:rPr>
          <w:caps w:val="false"/>
          <w:smallCaps w:val="false"/>
        </w:rPr>
        <w:t> </w:t>
      </w:r>
    </w:p>
    <w:tbl>
      <w:tblPr>
        <w:tblW w:w="3405" w:type="dxa"/>
        <w:jc w:val="left"/>
        <w:tblInd w:w="0" w:type="dxa"/>
        <w:tblLayout w:type="fixed"/>
        <w:tblCellMar>
          <w:top w:w="0" w:type="dxa"/>
          <w:left w:w="0" w:type="dxa"/>
          <w:bottom w:w="28" w:type="dxa"/>
          <w:right w:w="0" w:type="dxa"/>
        </w:tblCellMar>
      </w:tblPr>
      <w:tblGrid>
        <w:gridCol w:w="1445"/>
        <w:gridCol w:w="60"/>
        <w:gridCol w:w="60"/>
        <w:gridCol w:w="845"/>
        <w:gridCol w:w="60"/>
        <w:gridCol w:w="60"/>
        <w:gridCol w:w="63"/>
        <w:gridCol w:w="737"/>
        <w:gridCol w:w="75"/>
      </w:tblGrid>
      <w:tr>
        <w:trPr/>
        <w:tc>
          <w:tcPr>
            <w:tcW w:w="1445" w:type="dxa"/>
            <w:tcBorders>
              <w:bottom w:val="single" w:sz="8" w:space="0" w:color="000000"/>
            </w:tcBorders>
            <w:vAlign w:val="center"/>
          </w:tcPr>
          <w:p>
            <w:pPr>
              <w:pStyle w:val="TableContents"/>
              <w:bidi w:val="0"/>
              <w:spacing w:before="0" w:after="283"/>
              <w:jc w:val="left"/>
              <w:rPr/>
            </w:pPr>
            <w:r>
              <w:rPr/>
              <w:t> </w:t>
            </w:r>
            <w:r>
              <w:rPr>
                <w:rFonts w:ascii="Times New Roman;Times;Serif" w:hAnsi="Times New Roman;Times;Serif"/>
                <w:b/>
                <w:sz w:val="20"/>
              </w:rPr>
              <w:t>Name</w:t>
            </w:r>
          </w:p>
        </w:tc>
        <w:tc>
          <w:tcPr>
            <w:tcW w:w="60" w:type="dxa"/>
            <w:tcBorders/>
            <w:tcMar>
              <w:bottom w:w="0" w:type="dxa"/>
            </w:tcMar>
            <w:vAlign w:val="center"/>
          </w:tcPr>
          <w:p>
            <w:pPr>
              <w:pStyle w:val="TableContents"/>
              <w:bidi w:val="0"/>
              <w:spacing w:before="0" w:after="283"/>
              <w:jc w:val="left"/>
              <w:rPr/>
            </w:pPr>
            <w:r>
              <w:rPr/>
              <w:t> </w:t>
            </w:r>
          </w:p>
        </w:tc>
        <w:tc>
          <w:tcPr>
            <w:tcW w:w="905"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Votes For</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00"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Votes </w:t>
              <w:br/>
              <w:t>Withheld</w:t>
            </w:r>
          </w:p>
        </w:tc>
        <w:tc>
          <w:tcPr>
            <w:tcW w:w="75" w:type="dxa"/>
            <w:tcBorders/>
            <w:tcMar>
              <w:bottom w:w="0" w:type="dxa"/>
            </w:tcMar>
            <w:vAlign w:val="center"/>
          </w:tcPr>
          <w:p>
            <w:pPr>
              <w:pStyle w:val="TableContents"/>
              <w:bidi w:val="0"/>
              <w:spacing w:before="0" w:after="283"/>
              <w:jc w:val="left"/>
              <w:rPr/>
            </w:pPr>
            <w:r>
              <w:rPr/>
              <w:t> </w:t>
            </w:r>
          </w:p>
        </w:tc>
      </w:tr>
      <w:tr>
        <w:trPr/>
        <w:tc>
          <w:tcPr>
            <w:tcW w:w="144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David Eansor</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4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2,488,644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3" w:type="dxa"/>
            <w:tcBorders/>
            <w:shd w:fill="CCEEFF" w:val="clear"/>
            <w:tcMar>
              <w:bottom w:w="0" w:type="dxa"/>
            </w:tcMar>
            <w:vAlign w:val="center"/>
          </w:tcPr>
          <w:p>
            <w:pPr>
              <w:pStyle w:val="TableContents"/>
              <w:bidi w:val="0"/>
              <w:spacing w:before="0" w:after="283"/>
              <w:jc w:val="left"/>
              <w:rPr/>
            </w:pPr>
            <w:r>
              <w:rPr/>
              <w:t> </w:t>
            </w:r>
          </w:p>
        </w:tc>
        <w:tc>
          <w:tcPr>
            <w:tcW w:w="737"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208,131</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44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Steven Elms</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45"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2,500,415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3" w:type="dxa"/>
            <w:tcBorders/>
            <w:shd w:fill="FFFFFF" w:val="clear"/>
            <w:tcMar>
              <w:bottom w:w="0" w:type="dxa"/>
            </w:tcMar>
            <w:vAlign w:val="center"/>
          </w:tcPr>
          <w:p>
            <w:pPr>
              <w:pStyle w:val="TableContents"/>
              <w:bidi w:val="0"/>
              <w:spacing w:before="0" w:after="283"/>
              <w:jc w:val="left"/>
              <w:rPr/>
            </w:pPr>
            <w:r>
              <w:rPr/>
              <w:t> </w:t>
            </w:r>
          </w:p>
        </w:tc>
        <w:tc>
          <w:tcPr>
            <w:tcW w:w="737"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196,360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44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John Wilson</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4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2,473,599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3" w:type="dxa"/>
            <w:tcBorders/>
            <w:shd w:fill="CCEEFF" w:val="clear"/>
            <w:tcMar>
              <w:bottom w:w="0" w:type="dxa"/>
            </w:tcMar>
            <w:vAlign w:val="center"/>
          </w:tcPr>
          <w:p>
            <w:pPr>
              <w:pStyle w:val="TableContents"/>
              <w:bidi w:val="0"/>
              <w:spacing w:before="0" w:after="283"/>
              <w:jc w:val="left"/>
              <w:rPr/>
            </w:pPr>
            <w:r>
              <w:rPr/>
              <w:t> </w:t>
            </w:r>
          </w:p>
        </w:tc>
        <w:tc>
          <w:tcPr>
            <w:tcW w:w="737"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223,176</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144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Juan Vera</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845"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2,499,068</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63" w:type="dxa"/>
            <w:tcBorders/>
            <w:shd w:fill="FFFFFF" w:val="clear"/>
            <w:tcMar>
              <w:bottom w:w="0" w:type="dxa"/>
            </w:tcMar>
            <w:vAlign w:val="center"/>
          </w:tcPr>
          <w:p>
            <w:pPr>
              <w:pStyle w:val="TableContents"/>
              <w:bidi w:val="0"/>
              <w:spacing w:before="0" w:after="283"/>
              <w:jc w:val="left"/>
              <w:rPr/>
            </w:pPr>
            <w:r>
              <w:rPr/>
              <w:t> </w:t>
            </w:r>
          </w:p>
        </w:tc>
        <w:tc>
          <w:tcPr>
            <w:tcW w:w="737"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197,707</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1445" w:type="dxa"/>
            <w:tcBorders/>
            <w:shd w:fill="CCEE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Katharine Knobil</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845"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2,495,539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3" w:type="dxa"/>
            <w:tcBorders/>
            <w:shd w:fill="CCEEFF" w:val="clear"/>
            <w:tcMar>
              <w:bottom w:w="0" w:type="dxa"/>
            </w:tcMar>
            <w:vAlign w:val="center"/>
          </w:tcPr>
          <w:p>
            <w:pPr>
              <w:pStyle w:val="TableContents"/>
              <w:bidi w:val="0"/>
              <w:spacing w:before="0" w:after="283"/>
              <w:jc w:val="left"/>
              <w:rPr/>
            </w:pPr>
            <w:r>
              <w:rPr/>
              <w:t> </w:t>
            </w:r>
          </w:p>
        </w:tc>
        <w:tc>
          <w:tcPr>
            <w:tcW w:w="737"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201,236</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Broker Non-Votes: 3,193,097.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nominees were elected.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Proposal No. 2</w:t>
      </w:r>
      <w:r>
        <w:rPr>
          <w:rFonts w:ascii="Times New Roman;Times;Serif" w:hAnsi="Times New Roman;Times;Serif"/>
          <w:b w:val="false"/>
          <w:i w:val="false"/>
          <w:caps w:val="false"/>
          <w:smallCaps w:val="false"/>
          <w:sz w:val="20"/>
        </w:rPr>
        <w:t>: Approval, on an advisory basis, of the compensation of the Company’s named executive officers. The votes were cast as follows:</w:t>
      </w:r>
    </w:p>
    <w:p>
      <w:pPr>
        <w:pStyle w:val="TextBody"/>
        <w:bidi w:val="0"/>
        <w:spacing w:before="0" w:after="0"/>
        <w:ind w:left="0" w:right="0" w:hanging="0"/>
        <w:jc w:val="left"/>
        <w:rPr>
          <w:caps w:val="false"/>
          <w:smallCaps w:val="false"/>
        </w:rPr>
      </w:pPr>
      <w:r>
        <w:rPr>
          <w:caps w:val="false"/>
          <w:smallCaps w:val="false"/>
        </w:rPr>
        <w:t> </w:t>
      </w:r>
    </w:p>
    <w:tbl>
      <w:tblPr>
        <w:tblW w:w="7835" w:type="dxa"/>
        <w:jc w:val="left"/>
        <w:tblInd w:w="0" w:type="dxa"/>
        <w:tblLayout w:type="fixed"/>
        <w:tblCellMar>
          <w:top w:w="0" w:type="dxa"/>
          <w:left w:w="0" w:type="dxa"/>
          <w:bottom w:w="0" w:type="dxa"/>
          <w:right w:w="0" w:type="dxa"/>
        </w:tblCellMar>
      </w:tblPr>
      <w:tblGrid>
        <w:gridCol w:w="4940"/>
        <w:gridCol w:w="60"/>
        <w:gridCol w:w="60"/>
        <w:gridCol w:w="845"/>
        <w:gridCol w:w="60"/>
        <w:gridCol w:w="60"/>
        <w:gridCol w:w="60"/>
        <w:gridCol w:w="695"/>
        <w:gridCol w:w="60"/>
        <w:gridCol w:w="60"/>
        <w:gridCol w:w="79"/>
        <w:gridCol w:w="781"/>
        <w:gridCol w:w="75"/>
      </w:tblGrid>
      <w:tr>
        <w:trPr/>
        <w:tc>
          <w:tcPr>
            <w:tcW w:w="49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Votes For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Votes</w:t>
              <w:br/>
              <w:t>Against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Abstained</w:t>
            </w:r>
          </w:p>
        </w:tc>
        <w:tc>
          <w:tcPr>
            <w:tcW w:w="75" w:type="dxa"/>
            <w:tcBorders/>
            <w:vAlign w:val="center"/>
          </w:tcPr>
          <w:p>
            <w:pPr>
              <w:pStyle w:val="TableContents"/>
              <w:bidi w:val="0"/>
              <w:spacing w:before="0" w:after="283"/>
              <w:jc w:val="left"/>
              <w:rPr/>
            </w:pPr>
            <w:r>
              <w:rPr/>
              <w:t> </w:t>
            </w:r>
          </w:p>
        </w:tc>
      </w:tr>
      <w:tr>
        <w:trPr/>
        <w:tc>
          <w:tcPr>
            <w:tcW w:w="49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Advisory approval of named executive officer compensation</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2,347,263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321,791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78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27,721</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Broker Non-Votes: 3,193,097.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Proposal No. 3</w:t>
      </w:r>
      <w:r>
        <w:rPr>
          <w:rFonts w:ascii="Times New Roman;Times;Serif" w:hAnsi="Times New Roman;Times;Serif"/>
          <w:b w:val="false"/>
          <w:i w:val="false"/>
          <w:caps w:val="false"/>
          <w:smallCaps w:val="false"/>
          <w:sz w:val="20"/>
        </w:rPr>
        <w:t>: Indication, on an advisory basis, of the preferred frequency of future shareholder advisory votes on the compensation of the Company’s named executive officers. The votes were cast as follows: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195"/>
        <w:gridCol w:w="60"/>
        <w:gridCol w:w="60"/>
        <w:gridCol w:w="845"/>
        <w:gridCol w:w="60"/>
        <w:gridCol w:w="60"/>
        <w:gridCol w:w="74"/>
        <w:gridCol w:w="738"/>
        <w:gridCol w:w="60"/>
        <w:gridCol w:w="60"/>
        <w:gridCol w:w="74"/>
        <w:gridCol w:w="861"/>
        <w:gridCol w:w="60"/>
        <w:gridCol w:w="60"/>
        <w:gridCol w:w="79"/>
        <w:gridCol w:w="781"/>
        <w:gridCol w:w="78"/>
      </w:tblGrid>
      <w:tr>
        <w:trPr/>
        <w:tc>
          <w:tcPr>
            <w:tcW w:w="61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0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One Year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1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Two Years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93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Three Years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Abstained</w:t>
            </w:r>
          </w:p>
        </w:tc>
        <w:tc>
          <w:tcPr>
            <w:tcW w:w="78"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195" w:type="dxa"/>
            <w:tcBorders/>
            <w:shd w:fill="CCEEFF" w:val="cle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Advisory indication of preferred frequency of future shareholder advisory votes on named executive officer compensation</w:t>
            </w:r>
          </w:p>
        </w:tc>
        <w:tc>
          <w:tcPr>
            <w:tcW w:w="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8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2,535,976</w:t>
            </w:r>
          </w:p>
        </w:tc>
        <w:tc>
          <w:tcPr>
            <w:tcW w:w="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738"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25,098</w:t>
            </w:r>
          </w:p>
        </w:tc>
        <w:tc>
          <w:tcPr>
            <w:tcW w:w="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74"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861"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102,082</w:t>
            </w:r>
          </w:p>
        </w:tc>
        <w:tc>
          <w:tcPr>
            <w:tcW w:w="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60"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79"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c>
          <w:tcPr>
            <w:tcW w:w="781"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33,619</w:t>
            </w:r>
          </w:p>
        </w:tc>
        <w:tc>
          <w:tcPr>
            <w:tcW w:w="78" w:type="dxa"/>
            <w:tcBorders/>
            <w:shd w:fill="CCEEFF" w:val="clear"/>
            <w:vAlign w:val="center"/>
          </w:tcPr>
          <w:p>
            <w:pPr>
              <w:pStyle w:val="TableContents"/>
              <w:bidi w:val="0"/>
              <w:spacing w:before="0" w:after="283"/>
              <w:jc w:val="center"/>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color w:val="FFFFFF"/>
        </w:rPr>
      </w:pPr>
      <w:r>
        <w:rPr>
          <w:caps w:val="false"/>
          <w:smallCaps w:val="false"/>
          <w:color w:val="FFFFFF"/>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Broker Non-Votes: 3,193,097.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After taking into consideration the foregoing voting results and the Board of Directors’ prior recommendation in favor of an annual say on pay vote as set forth in the Company’s proxy statement for the Annual Meeting, and consistent with the shareholder voting results, the Board of Directors has determined that the say on pay vote will be conducted once every year, until the next shareholder vote on say on pay frequency.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Proposal No. 4</w:t>
      </w:r>
      <w:r>
        <w:rPr>
          <w:rFonts w:ascii="Times New Roman;Times;Serif" w:hAnsi="Times New Roman;Times;Serif"/>
          <w:b w:val="false"/>
          <w:i w:val="false"/>
          <w:caps w:val="false"/>
          <w:smallCaps w:val="false"/>
          <w:sz w:val="20"/>
        </w:rPr>
        <w:t>: Ratification of the selection of Marcum LLP as independent registered public accounting firm for the fiscal year ending December 31, 2023. The votes were cast as follows: </w:t>
      </w:r>
    </w:p>
    <w:p>
      <w:pPr>
        <w:pStyle w:val="TextBody"/>
        <w:bidi w:val="0"/>
        <w:spacing w:before="0" w:after="0"/>
        <w:ind w:left="0" w:right="0" w:hanging="0"/>
        <w:jc w:val="left"/>
        <w:rPr>
          <w:caps w:val="false"/>
          <w:smallCaps w:val="false"/>
        </w:rPr>
      </w:pPr>
      <w:r>
        <w:rPr>
          <w:caps w:val="false"/>
          <w:smallCaps w:val="false"/>
        </w:rPr>
        <w:t> </w:t>
      </w:r>
    </w:p>
    <w:tbl>
      <w:tblPr>
        <w:tblW w:w="6515" w:type="dxa"/>
        <w:jc w:val="left"/>
        <w:tblInd w:w="0" w:type="dxa"/>
        <w:tblLayout w:type="fixed"/>
        <w:tblCellMar>
          <w:top w:w="0" w:type="dxa"/>
          <w:left w:w="0" w:type="dxa"/>
          <w:bottom w:w="0" w:type="dxa"/>
          <w:right w:w="0" w:type="dxa"/>
        </w:tblCellMar>
      </w:tblPr>
      <w:tblGrid>
        <w:gridCol w:w="3620"/>
        <w:gridCol w:w="60"/>
        <w:gridCol w:w="60"/>
        <w:gridCol w:w="845"/>
        <w:gridCol w:w="60"/>
        <w:gridCol w:w="60"/>
        <w:gridCol w:w="60"/>
        <w:gridCol w:w="695"/>
        <w:gridCol w:w="60"/>
        <w:gridCol w:w="60"/>
        <w:gridCol w:w="79"/>
        <w:gridCol w:w="781"/>
        <w:gridCol w:w="75"/>
      </w:tblGrid>
      <w:tr>
        <w:trPr/>
        <w:tc>
          <w:tcPr>
            <w:tcW w:w="36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Votes For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55"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 xml:space="preserve">Votes </w:t>
              <w:br/>
              <w:t>Against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Abstained</w:t>
            </w:r>
          </w:p>
        </w:tc>
        <w:tc>
          <w:tcPr>
            <w:tcW w:w="75" w:type="dxa"/>
            <w:tcBorders/>
            <w:vAlign w:val="center"/>
          </w:tcPr>
          <w:p>
            <w:pPr>
              <w:pStyle w:val="TableContents"/>
              <w:bidi w:val="0"/>
              <w:spacing w:before="0" w:after="283"/>
              <w:jc w:val="left"/>
              <w:rPr/>
            </w:pPr>
            <w:r>
              <w:rPr/>
              <w:t> </w:t>
            </w:r>
          </w:p>
        </w:tc>
      </w:tr>
      <w:tr>
        <w:trPr/>
        <w:tc>
          <w:tcPr>
            <w:tcW w:w="362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Ratification of appointment of Marcum LLP</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5,760,786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109,958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9" w:type="dxa"/>
            <w:tcBorders/>
            <w:shd w:fill="CCEEFF" w:val="clear"/>
            <w:vAlign w:val="center"/>
          </w:tcPr>
          <w:p>
            <w:pPr>
              <w:pStyle w:val="TableContents"/>
              <w:bidi w:val="0"/>
              <w:spacing w:before="0" w:after="283"/>
              <w:jc w:val="left"/>
              <w:rPr/>
            </w:pPr>
            <w:r>
              <w:rPr/>
              <w:t> </w:t>
            </w:r>
          </w:p>
        </w:tc>
        <w:tc>
          <w:tcPr>
            <w:tcW w:w="78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19,128</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Broker Non-Votes: 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as amended,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tbl>
      <w:tblPr>
        <w:tblW w:w="3915" w:type="dxa"/>
        <w:jc w:val="left"/>
        <w:tblInd w:w="0" w:type="dxa"/>
        <w:tblLayout w:type="fixed"/>
        <w:tblCellMar>
          <w:top w:w="0" w:type="dxa"/>
          <w:left w:w="0" w:type="dxa"/>
          <w:bottom w:w="0" w:type="dxa"/>
          <w:right w:w="0" w:type="dxa"/>
        </w:tblCellMar>
      </w:tblPr>
      <w:tblGrid>
        <w:gridCol w:w="1655"/>
        <w:gridCol w:w="320"/>
        <w:gridCol w:w="1940"/>
      </w:tblGrid>
      <w:tr>
        <w:trPr/>
        <w:tc>
          <w:tcPr>
            <w:tcW w:w="1655" w:type="dxa"/>
            <w:tcBorders/>
            <w:vAlign w:val="center"/>
          </w:tcPr>
          <w:p>
            <w:pPr>
              <w:pStyle w:val="TableContents"/>
              <w:bidi w:val="0"/>
              <w:spacing w:before="0" w:after="283"/>
              <w:jc w:val="left"/>
              <w:rPr/>
            </w:pPr>
            <w:r>
              <w:rPr/>
              <w:t> </w:t>
            </w:r>
          </w:p>
        </w:tc>
        <w:tc>
          <w:tcPr>
            <w:tcW w:w="2260"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Marker Therapeutics, Inc.</w:t>
            </w:r>
          </w:p>
        </w:tc>
      </w:tr>
      <w:tr>
        <w:trPr/>
        <w:tc>
          <w:tcPr>
            <w:tcW w:w="165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1940" w:type="dxa"/>
            <w:tcBorders/>
            <w:vAlign w:val="center"/>
          </w:tcPr>
          <w:p>
            <w:pPr>
              <w:pStyle w:val="TableContents"/>
              <w:bidi w:val="0"/>
              <w:spacing w:before="0" w:after="283"/>
              <w:jc w:val="left"/>
              <w:rPr/>
            </w:pPr>
            <w:r>
              <w:rPr/>
              <w:t> </w:t>
            </w:r>
          </w:p>
        </w:tc>
      </w:tr>
      <w:tr>
        <w:trPr/>
        <w:tc>
          <w:tcPr>
            <w:tcW w:w="16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Dated: June 9, 2023</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94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Juan Vera</w:t>
            </w:r>
          </w:p>
        </w:tc>
      </w:tr>
      <w:tr>
        <w:trPr/>
        <w:tc>
          <w:tcPr>
            <w:tcW w:w="165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19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Juan Vera</w:t>
            </w:r>
          </w:p>
        </w:tc>
      </w:tr>
      <w:tr>
        <w:trPr/>
        <w:tc>
          <w:tcPr>
            <w:tcW w:w="165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1940"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739</Words>
  <Characters>4085</Characters>
  <CharactersWithSpaces>4872</CharactersWithSpaces>
  <Paragraphs>253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