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November 14,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86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1500" w:type="dxa"/>
            <w:vAlign w:val="bottom"/>
            <w:gridSpan w:val="2"/>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20" w:type="dxa"/>
            <w:vAlign w:val="bottom"/>
            <w:gridSpan w:val="5"/>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22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45-4497941</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8"/>
        </w:trPr>
        <w:tc>
          <w:tcPr>
            <w:tcW w:w="220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940" w:type="dxa"/>
            <w:vAlign w:val="bottom"/>
          </w:tcPr>
          <w:p>
            <w:pPr>
              <w:spacing w:after="0"/>
              <w:rPr>
                <w:sz w:val="18"/>
                <w:szCs w:val="18"/>
                <w:color w:val="auto"/>
              </w:rPr>
            </w:pPr>
          </w:p>
        </w:tc>
        <w:tc>
          <w:tcPr>
            <w:tcW w:w="3780" w:type="dxa"/>
            <w:vAlign w:val="bottom"/>
            <w:gridSpan w:val="4"/>
          </w:tcPr>
          <w:p>
            <w:pPr>
              <w:jc w:val="center"/>
              <w:ind w:right="52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80" w:type="dxa"/>
            <w:vAlign w:val="bottom"/>
            <w:gridSpan w:val="5"/>
          </w:tcPr>
          <w:p>
            <w:pPr>
              <w:jc w:val="center"/>
              <w:ind w:left="1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2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incorporation)</w:t>
            </w:r>
          </w:p>
        </w:tc>
        <w:tc>
          <w:tcPr>
            <w:tcW w:w="9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00" w:type="dxa"/>
            <w:vAlign w:val="bottom"/>
            <w:gridSpan w:val="6"/>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2450 Holcombe Blvd, TMC Partners Office 1.311</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Borders>
              <w:bottom w:val="single" w:sz="8" w:color="auto"/>
            </w:tcBorders>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2600" w:type="dxa"/>
            <w:vAlign w:val="bottom"/>
            <w:gridSpan w:val="3"/>
          </w:tcPr>
          <w:p>
            <w:pPr>
              <w:spacing w:after="0"/>
              <w:rPr>
                <w:sz w:val="17"/>
                <w:szCs w:val="17"/>
                <w:color w:val="auto"/>
              </w:rPr>
            </w:pPr>
          </w:p>
        </w:tc>
        <w:tc>
          <w:tcPr>
            <w:tcW w:w="2880" w:type="dxa"/>
            <w:vAlign w:val="bottom"/>
            <w:gridSpan w:val="5"/>
          </w:tcPr>
          <w:p>
            <w:pPr>
              <w:jc w:val="right"/>
              <w:ind w:right="160"/>
              <w:spacing w:after="0" w:line="198" w:lineRule="exact"/>
              <w:rPr>
                <w:sz w:val="20"/>
                <w:szCs w:val="20"/>
                <w:color w:val="auto"/>
              </w:rPr>
            </w:pPr>
            <w:r>
              <w:rPr>
                <w:rFonts w:ascii="Times New Roman" w:cs="Times New Roman" w:eastAsia="Times New Roman" w:hAnsi="Times New Roman"/>
                <w:sz w:val="18"/>
                <w:szCs w:val="18"/>
                <w:b w:val="1"/>
                <w:bCs w:val="1"/>
                <w:color w:val="auto"/>
              </w:rPr>
              <w:t>77021</w:t>
            </w:r>
          </w:p>
        </w:tc>
      </w:tr>
      <w:tr>
        <w:trPr>
          <w:trHeight w:val="20"/>
        </w:trPr>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720" w:type="dxa"/>
            <w:vAlign w:val="bottom"/>
            <w:gridSpan w:val="5"/>
          </w:tcPr>
          <w:p>
            <w:pPr>
              <w:jc w:val="center"/>
              <w:ind w:right="16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720" w:type="dxa"/>
            <w:vAlign w:val="bottom"/>
            <w:gridSpan w:val="5"/>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(713) 400-6400</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720" w:type="dxa"/>
            <w:vAlign w:val="bottom"/>
            <w:gridSpan w:val="5"/>
          </w:tcPr>
          <w:p>
            <w:pPr>
              <w:jc w:val="center"/>
              <w:ind w:left="3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4"/>
        </w:trPr>
        <w:tc>
          <w:tcPr>
            <w:tcW w:w="4760" w:type="dxa"/>
            <w:vAlign w:val="bottom"/>
          </w:tcPr>
          <w:p>
            <w:pPr>
              <w:spacing w:after="0"/>
              <w:rPr>
                <w:sz w:val="24"/>
                <w:szCs w:val="24"/>
                <w:color w:val="auto"/>
              </w:rPr>
            </w:pPr>
          </w:p>
        </w:tc>
        <w:tc>
          <w:tcPr>
            <w:tcW w:w="2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Trading</w:t>
            </w:r>
          </w:p>
        </w:tc>
        <w:tc>
          <w:tcPr>
            <w:tcW w:w="4280" w:type="dxa"/>
            <w:vAlign w:val="bottom"/>
          </w:tcPr>
          <w:p>
            <w:pPr>
              <w:spacing w:after="0"/>
              <w:rPr>
                <w:sz w:val="24"/>
                <w:szCs w:val="24"/>
                <w:color w:val="auto"/>
              </w:rPr>
            </w:pPr>
          </w:p>
        </w:tc>
      </w:tr>
      <w:tr>
        <w:trPr>
          <w:trHeight w:val="234"/>
        </w:trPr>
        <w:tc>
          <w:tcPr>
            <w:tcW w:w="476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Symbol(s)</w:t>
            </w:r>
          </w:p>
        </w:tc>
        <w:tc>
          <w:tcPr>
            <w:tcW w:w="428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6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MRKR</w:t>
            </w:r>
          </w:p>
        </w:tc>
        <w:tc>
          <w:tcPr>
            <w:tcW w:w="42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On November 14, 2025, Marker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reported financial results for the third quarter ended September 30, 2025 and other recent corporate updates. A copy of the press release is furnished as Exhibit 99.1 to this report and incorporated by reference.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9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200" w:type="dxa"/>
            <w:vAlign w:val="bottom"/>
          </w:tcPr>
          <w:p>
            <w:pPr>
              <w:spacing w:after="0"/>
              <w:rPr>
                <w:sz w:val="24"/>
                <w:szCs w:val="24"/>
                <w:color w:val="auto"/>
              </w:rPr>
            </w:pPr>
          </w:p>
        </w:tc>
      </w:tr>
      <w:tr>
        <w:trPr>
          <w:trHeight w:val="391"/>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6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November 14, 2025</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14, 2025</w:t>
            </w: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 /s/ Juan Vera</w:t>
            </w:r>
          </w:p>
        </w:tc>
      </w:tr>
      <w:tr>
        <w:trPr>
          <w:trHeight w:val="189"/>
        </w:trPr>
        <w:tc>
          <w:tcPr>
            <w:tcW w:w="38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Juan Vera</w:t>
            </w:r>
          </w:p>
        </w:tc>
      </w:tr>
      <w:tr>
        <w:trPr>
          <w:trHeight w:val="236"/>
        </w:trPr>
        <w:tc>
          <w:tcPr>
            <w:tcW w:w="38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75"/>
        </w:trPr>
        <w:tc>
          <w:tcPr>
            <w:tcW w:w="3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697355" cy="480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9735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Reports Third Quarter 2025 Financial Results and Provides Business Updates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APOLLO study showed encouraging overall responses and favorable safety profile in relapsed/refractory B-cell lymphoma</w:t>
      </w:r>
    </w:p>
    <w:p>
      <w:pPr>
        <w:spacing w:after="0" w:line="22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MT-601 demonstrated 66% objective response rate with 50% complete response in relapsed Non-Hodgkin lymphoma (NHL) patients in the ongoing APOLLO study</w:t>
      </w:r>
    </w:p>
    <w:p>
      <w:pPr>
        <w:spacing w:after="0" w:line="158" w:lineRule="exact"/>
        <w:rPr>
          <w:sz w:val="20"/>
          <w:szCs w:val="20"/>
          <w:color w:val="auto"/>
        </w:rPr>
      </w:pPr>
    </w:p>
    <w:p>
      <w:pPr>
        <w:jc w:val="center"/>
        <w:ind w:left="340" w:right="600"/>
        <w:spacing w:after="0" w:line="284" w:lineRule="auto"/>
        <w:rPr>
          <w:sz w:val="20"/>
          <w:szCs w:val="20"/>
          <w:color w:val="auto"/>
        </w:rPr>
      </w:pPr>
      <w:r>
        <w:rPr>
          <w:rFonts w:ascii="Times New Roman" w:cs="Times New Roman" w:eastAsia="Times New Roman" w:hAnsi="Times New Roman"/>
          <w:sz w:val="18"/>
          <w:szCs w:val="18"/>
          <w:i w:val="1"/>
          <w:iCs w:val="1"/>
          <w:color w:val="auto"/>
        </w:rPr>
        <w:t>First patient treated in Off-the-Shelf program (RAPID study) investigating MAR-T cells in patients with Acute Myeloid Leukemia (AML) or Myelodysplastic Syndrome (MDS)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cGMP manufacturing collaboration established with Cellipont Bioservices</w:t>
      </w:r>
    </w:p>
    <w:p>
      <w:pPr>
        <w:spacing w:after="0" w:line="2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HOUSTON, TX – November 14, 2025 </w:t>
      </w:r>
      <w:r>
        <w:rPr>
          <w:rFonts w:ascii="Times New Roman" w:cs="Times New Roman" w:eastAsia="Times New Roman" w:hAnsi="Times New Roman"/>
          <w:sz w:val="18"/>
          <w:szCs w:val="18"/>
          <w:color w:val="auto"/>
        </w:rPr>
        <w:t>– Marker Therapeutics, Inc. (Nasdaq: MRKR), a clinical-stage immuno-oncology company developing next-generation T cell-based therapies, today reported corporate updates and financial results for the third quarter ended September 30, 2025.</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“Marker entered the second half of 2025 with strong clinical momentum as we continue to advance our lead program, MT-601, in patients with relapsed or refractory B-cell lymphoma,” said Juan Vera, M.D., President and Chief Executive Officer of Marker Therapeutics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most recent update from our Phase 1 APOLLO study showed a 66% objective response rate including 50% complete responses, in heavily pre-treated NHL patients. These data, together with a favorable safety profile, reinforce the potential of MT-601 to meet the critical needs of patients who have exhausted multiple lines of therapy, including CAR-T cell therapies and bispecific antibodies. We’re encouraged by the durability of responses and plan to share an additional update in the first half of 2026.”</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Dr. Vera continued, “We also achieved a number of key milestones in this quarter, including treating the first patient in our Off-the-Shelf (OTS) program and entering a strategic manufacturing collaboration with Cellipont to scale up production of MT-601. In parallel, we have strengthened our balance sheet by raising approximately $10 million through our ATM facility, extending our cash runway well into 2026. Looking ahead, we are focused on enrolling patients in the MT-601 dose expansion cohort to build on our promising observations from our APOLLO study. Having executed on the priorities we set at the beginning of the year we are entering the final stretch of 2025 with strong operational footing and a clear clinical focus.”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 UPDATES &amp; OPERATIONAL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MT-601 (Lymphoma)</w:t>
      </w:r>
    </w:p>
    <w:p>
      <w:pPr>
        <w:spacing w:after="0" w:line="229" w:lineRule="exact"/>
        <w:rPr>
          <w:sz w:val="20"/>
          <w:szCs w:val="20"/>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clinical data from the Phase 1 APOLLO study (clinicaltrials.gov identifier: NCT05798897) showed a 66% (8 out of 12) objective response rate and 50% (6 out of 12) complete response rate in relapsed NHL patients, including those previously treated with CAR-T cell therapies and bispecific antibodies (</w:t>
      </w:r>
      <w:r>
        <w:rPr>
          <w:rFonts w:ascii="Times New Roman" w:cs="Times New Roman" w:eastAsia="Times New Roman" w:hAnsi="Times New Roman"/>
          <w:sz w:val="18"/>
          <w:szCs w:val="18"/>
          <w:u w:val="single" w:color="auto"/>
          <w:color w:val="auto"/>
        </w:rPr>
        <w:t>Press Release, August 26, 2025</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Responses were durable with five NHL patients maintaining response for ≥6 months, including three with ≥12 months (range 3-24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697355"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97355" cy="480060"/>
                    </a:xfrm>
                    <a:prstGeom prst="rect">
                      <a:avLst/>
                    </a:prstGeom>
                    <a:noFill/>
                  </pic:spPr>
                </pic:pic>
              </a:graphicData>
            </a:graphic>
          </wp:anchor>
        </w:drawing>
      </w:r>
    </w:p>
    <w:p>
      <w:pPr>
        <w:spacing w:after="0" w:line="237" w:lineRule="exact"/>
        <w:rPr>
          <w:sz w:val="20"/>
          <w:szCs w:val="20"/>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safety profile with no dose-limiting toxicities (DLTs) or immune effector cell–associated neurotoxicity (ICANS) observed at any dose level in the dose escalation cohort.</w:t>
      </w:r>
    </w:p>
    <w:p>
      <w:pPr>
        <w:spacing w:after="0" w:line="165" w:lineRule="exact"/>
        <w:rPr>
          <w:rFonts w:ascii="Times New Roman" w:cs="Times New Roman" w:eastAsia="Times New Roman" w:hAnsi="Times New Roman"/>
          <w:sz w:val="18"/>
          <w:szCs w:val="18"/>
          <w:color w:val="auto"/>
        </w:rPr>
      </w:pPr>
    </w:p>
    <w:p>
      <w:pPr>
        <w:ind w:left="660" w:right="20" w:hanging="328"/>
        <w:spacing w:after="0" w:line="188"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Dose expansion cohort underway, evaluating MT-601 at highest dose level (400x10</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cells) in patients with Diffuse Large B Cell Lymphoma (DLBCL) who have relapsed after or are ineligible for CAR-T cell therapy.</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clinical data are expected in the first half of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MT-601 (Pancreatic Cancer)</w:t>
      </w:r>
    </w:p>
    <w:p>
      <w:pPr>
        <w:spacing w:after="0" w:line="229" w:lineRule="exact"/>
        <w:rPr>
          <w:sz w:val="20"/>
          <w:szCs w:val="20"/>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Marker was previously awarded $2.0 million from the NIH and $9.5 million from the Cancer Prevention and Research Institute of Texas (CPRIT) to support the development of MT-601 in metastatic pancreatic cancer.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program launch is anticipated in the first half of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Off-the-Shelf Program (Acute Myeloid Leukemia or Myelodysplastic Syndrome)</w:t>
      </w:r>
    </w:p>
    <w:p>
      <w:pPr>
        <w:spacing w:after="0" w:line="229"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Marker announced first patient treated in Phase 1 RAPID study (clinicaltrials.gov Identifier: NCT06552416) evaluating MT-401 as an Off-the-Shelf (OTS) product (</w:t>
      </w:r>
      <w:r>
        <w:rPr>
          <w:rFonts w:ascii="Times New Roman" w:cs="Times New Roman" w:eastAsia="Times New Roman" w:hAnsi="Times New Roman"/>
          <w:sz w:val="18"/>
          <w:szCs w:val="18"/>
          <w:u w:val="single" w:color="auto"/>
          <w:color w:val="auto"/>
        </w:rPr>
        <w:t>Press Release, October 6, 2025</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with MT-401-OTS was well tolerated, consistent with the favorable safety profile previously reported for MAR-T cells.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OTS program is investigating MAR-T cells in Acute Myeloid Leukemia (AML) or Myelodysplastic Syndrome (MDS) with the potential for future expansion to other indications.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previously secured non-dilutive funding from NIH, FDA and CPRIT to support the OTS program.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Updates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Marker entered a current good manufacturing practice (cGMP) manufacturing agreement with Cellipont Bioservices to scale up the production of MT-601 for the APOLLO study. This partnership supports clinical supply and lays the ground for a potential pivotal trial and commercial readiness (</w:t>
      </w:r>
      <w:r>
        <w:rPr>
          <w:rFonts w:ascii="Times New Roman" w:cs="Times New Roman" w:eastAsia="Times New Roman" w:hAnsi="Times New Roman"/>
          <w:sz w:val="18"/>
          <w:szCs w:val="18"/>
          <w:u w:val="single" w:color="auto"/>
          <w:color w:val="auto"/>
        </w:rPr>
        <w:t>Press Release, June 17, 2025</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660" w:right="20" w:hanging="328"/>
        <w:spacing w:after="0" w:line="188" w:lineRule="auto"/>
        <w:tabs>
          <w:tab w:leader="none" w:pos="66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Data from the Phase 1 APOLLO study will be presented in two posters at the 67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ASH Annual Meeting and Exposition, held from December 6-9, 2025, in Orlando, Florida (</w:t>
      </w:r>
      <w:r>
        <w:rPr>
          <w:rFonts w:ascii="Times New Roman" w:cs="Times New Roman" w:eastAsia="Times New Roman" w:hAnsi="Times New Roman"/>
          <w:sz w:val="18"/>
          <w:szCs w:val="18"/>
          <w:u w:val="single" w:color="auto"/>
          <w:color w:val="auto"/>
        </w:rPr>
        <w:t>Press Release, November 3, 2025</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Kathryn Penkus Corzo, R.Ph., MBA to the Company’s Board of Directors, effective November 1, 2025 (</w:t>
      </w:r>
      <w:r>
        <w:rPr>
          <w:rFonts w:ascii="Times New Roman" w:cs="Times New Roman" w:eastAsia="Times New Roman" w:hAnsi="Times New Roman"/>
          <w:sz w:val="18"/>
          <w:szCs w:val="18"/>
          <w:u w:val="single" w:color="auto"/>
          <w:color w:val="auto"/>
        </w:rPr>
        <w:t>Press Release, November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2025</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Marker raised approximately $10 million through its ATM Agreement, extending the Company’s runway well into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697355"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697355" cy="48006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2025 FINANCIAL HIGHLIGHTS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Cash Position and Guidance</w:t>
      </w:r>
      <w:r>
        <w:rPr>
          <w:rFonts w:ascii="Times New Roman" w:cs="Times New Roman" w:eastAsia="Times New Roman" w:hAnsi="Times New Roman"/>
          <w:sz w:val="18"/>
          <w:szCs w:val="18"/>
          <w:color w:val="auto"/>
        </w:rPr>
        <w:t>: At September 30, 2025, Marker had cash and cash equivalents of $17.6 million and restricted cash of $1.4 million.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believes that its existing cash, cash equivalents and restricted cash will fund its operating expenses through the third quarter of 2026, assuming no additional grant funds are received, either from new grants or from existing awarded grants.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R&amp;D Expenses</w:t>
      </w:r>
      <w:r>
        <w:rPr>
          <w:rFonts w:ascii="Times New Roman" w:cs="Times New Roman" w:eastAsia="Times New Roman" w:hAnsi="Times New Roman"/>
          <w:sz w:val="18"/>
          <w:szCs w:val="18"/>
          <w:color w:val="auto"/>
        </w:rPr>
        <w:t>: Research and development expenses were $2.3 million for the quarter ended September 30, 2025, compared to $3.5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ended September 30, 2024.</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G&amp;A Expenses</w:t>
      </w:r>
      <w:r>
        <w:rPr>
          <w:rFonts w:ascii="Times New Roman" w:cs="Times New Roman" w:eastAsia="Times New Roman" w:hAnsi="Times New Roman"/>
          <w:sz w:val="18"/>
          <w:szCs w:val="18"/>
          <w:color w:val="auto"/>
        </w:rPr>
        <w:t>: General and administrative expenses were $1 million for the quarter ended September 30, 2025, compared to $0.9 million for the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September 30, 2024.</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Net Loss</w:t>
      </w:r>
      <w:r>
        <w:rPr>
          <w:rFonts w:ascii="Times New Roman" w:cs="Times New Roman" w:eastAsia="Times New Roman" w:hAnsi="Times New Roman"/>
          <w:sz w:val="18"/>
          <w:szCs w:val="18"/>
          <w:color w:val="auto"/>
        </w:rPr>
        <w:t>: Marker reported a net loss from continuing operations of $2.0 million for the quarter ended September 30, 2025, compared to $2.3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quarter ended September 30,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MAR-T cells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multi-antigen recognizing (MAR) T cell platform (formerly known as multiTAA-specific T cells) is a novel, non-genetically modified cell therapy approach that selectively expands tumor-specific T cells from a patient's/donor’s blood capable of recognizing a broad range of tumor antigens. Unlike other T cell therapies, MAR-T cells allow the recognition of hundreds of different epitopes within up to six tumor-specific antigens, thereby reducing the possibility of tumor escape. Since MAR-T cells are not genetically engineered, Marker believes that its product candidates will be easier and less expensive to manufacture, with an improved safety profile compared to current engineered T cell approaches and may provide patients with meaningful clinical benefits.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Marker Therapeutics,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Marker Therapeutics, Inc. is a Houston, TX-based clinical-stage immuno-oncology company specializing in the development of next-generation T cell-based immunotherapies for the treatment of hematological malignancies and solid tumors. The Company was founded at Baylor College of Medicine, and clinical trials that enrolled more than 200 patients across various hematological and solid tumor indications showed that the Company’s autologous and allogeneic MAR-T cell products were well tolerated and demonstrated durable clinical responses. Marker’s goal is to introduce novel T cell therapies to the market and improve patient outcomes. To achieve these objectives, the Company prioritizes the preservation of financial resources and focuses on operational excellence. Marker’s unique T cell platform is strengthened by non-dilutive funding from U.S. state and federal agencies supporting cancer research.</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receive future press releases via email, please visit: </w:t>
      </w:r>
      <w:r>
        <w:rPr>
          <w:rFonts w:ascii="Times New Roman" w:cs="Times New Roman" w:eastAsia="Times New Roman" w:hAnsi="Times New Roman"/>
          <w:sz w:val="18"/>
          <w:szCs w:val="18"/>
          <w:u w:val="single" w:color="auto"/>
          <w:color w:val="auto"/>
        </w:rPr>
        <w:t>https://www.markertherapeutics.com/email-alerts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and the timing, conduct, interim results announcements and outcomes of our clinical trials of our product candidates, including MT-601 for the treatment of patients with lymphoma.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Company assumes no obligation to update its forward-looking statements whether as a result of new information, future events or otherwise, after the date of this press release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697355"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697355" cy="480060"/>
                    </a:xfrm>
                    <a:prstGeom prst="rect">
                      <a:avLst/>
                    </a:prstGeom>
                    <a:noFill/>
                  </pic:spPr>
                </pic:pic>
              </a:graphicData>
            </a:graphic>
          </wp:anchor>
        </w:drawing>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9"/>
                <w:szCs w:val="19"/>
                <w:color w:val="auto"/>
              </w:rPr>
            </w:pPr>
          </w:p>
        </w:tc>
        <w:tc>
          <w:tcPr>
            <w:tcW w:w="15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4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17,589,978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19,192,440</w:t>
            </w:r>
          </w:p>
        </w:tc>
        <w:tc>
          <w:tcPr>
            <w:tcW w:w="80" w:type="dxa"/>
            <w:vAlign w:val="bottom"/>
            <w:shd w:val="clear" w:color="auto" w:fill="CCEEFF"/>
          </w:tcPr>
          <w:p>
            <w:pPr>
              <w:spacing w:after="0"/>
              <w:rPr>
                <w:sz w:val="18"/>
                <w:szCs w:val="18"/>
                <w:color w:val="auto"/>
              </w:rPr>
            </w:pP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1,352,975</w:t>
            </w:r>
          </w:p>
        </w:tc>
        <w:tc>
          <w:tcPr>
            <w:tcW w:w="20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1,126,724</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483,717</w:t>
            </w:r>
          </w:p>
        </w:tc>
        <w:tc>
          <w:tcPr>
            <w:tcW w:w="80" w:type="dxa"/>
            <w:vAlign w:val="bottom"/>
            <w:shd w:val="clear" w:color="auto" w:fill="CCEEFF"/>
          </w:tcPr>
          <w:p>
            <w:pPr>
              <w:spacing w:after="0"/>
              <w:rPr>
                <w:sz w:val="18"/>
                <w:szCs w:val="18"/>
                <w:color w:val="auto"/>
              </w:rPr>
            </w:pPr>
          </w:p>
        </w:tc>
      </w:tr>
      <w:tr>
        <w:trPr>
          <w:trHeight w:val="229"/>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1,665,153</w:t>
            </w:r>
          </w:p>
        </w:tc>
        <w:tc>
          <w:tcPr>
            <w:tcW w:w="20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2,346,703</w:t>
            </w:r>
          </w:p>
        </w:tc>
        <w:tc>
          <w:tcPr>
            <w:tcW w:w="80" w:type="dxa"/>
            <w:vAlign w:val="bottom"/>
          </w:tcPr>
          <w:p>
            <w:pPr>
              <w:spacing w:after="0"/>
              <w:rPr>
                <w:sz w:val="19"/>
                <w:szCs w:val="19"/>
                <w:color w:val="auto"/>
              </w:rPr>
            </w:pPr>
          </w:p>
        </w:tc>
      </w:tr>
      <w:tr>
        <w:trPr>
          <w:trHeight w:val="209"/>
        </w:trPr>
        <w:tc>
          <w:tcPr>
            <w:tcW w:w="74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21,734,830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22,022,860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21,734,830</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22,022,860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7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1,664,647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1,753,954</w:t>
            </w:r>
          </w:p>
        </w:tc>
        <w:tc>
          <w:tcPr>
            <w:tcW w:w="80" w:type="dxa"/>
            <w:vAlign w:val="bottom"/>
          </w:tcPr>
          <w:p>
            <w:pPr>
              <w:spacing w:after="0"/>
              <w:rPr>
                <w:sz w:val="18"/>
                <w:szCs w:val="18"/>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payable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328,315</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1,710,500</w:t>
            </w:r>
          </w:p>
        </w:tc>
        <w:tc>
          <w:tcPr>
            <w:tcW w:w="80" w:type="dxa"/>
            <w:vAlign w:val="bottom"/>
            <w:shd w:val="clear" w:color="auto" w:fill="CCEEFF"/>
          </w:tcPr>
          <w:p>
            <w:pPr>
              <w:spacing w:after="0"/>
              <w:rPr>
                <w:sz w:val="18"/>
                <w:szCs w:val="18"/>
                <w:color w:val="auto"/>
              </w:rPr>
            </w:pPr>
          </w:p>
        </w:tc>
      </w:tr>
      <w:tr>
        <w:trPr>
          <w:trHeight w:val="230"/>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1,352,975</w:t>
            </w:r>
          </w:p>
        </w:tc>
        <w:tc>
          <w:tcPr>
            <w:tcW w:w="200" w:type="dxa"/>
            <w:vAlign w:val="bottom"/>
          </w:tcPr>
          <w:p>
            <w:pPr>
              <w:spacing w:after="0"/>
              <w:rPr>
                <w:sz w:val="19"/>
                <w:szCs w:val="19"/>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4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3,345,937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3,464,454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3,345,937</w:t>
            </w:r>
          </w:p>
        </w:tc>
        <w:tc>
          <w:tcPr>
            <w:tcW w:w="20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3,464,454</w:t>
            </w:r>
          </w:p>
        </w:tc>
        <w:tc>
          <w:tcPr>
            <w:tcW w:w="80" w:type="dxa"/>
            <w:vAlign w:val="bottom"/>
          </w:tcPr>
          <w:p>
            <w:pPr>
              <w:spacing w:after="0"/>
              <w:rPr>
                <w:sz w:val="19"/>
                <w:szCs w:val="19"/>
                <w:color w:val="auto"/>
              </w:rPr>
            </w:pPr>
          </w:p>
        </w:tc>
      </w:tr>
      <w:tr>
        <w:trPr>
          <w:trHeight w:val="210"/>
        </w:trPr>
        <w:tc>
          <w:tcPr>
            <w:tcW w:w="7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74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 million shares authorized, 0 shares issued and outstanding at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September 30, 2025 and December 31, 2024 , respectively</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30 million shares authorized, 16.7 million and 10.7 million shares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and outstanding as of September 30, 2025 and December 31, 2024, respectively (see Note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16,672</w:t>
            </w:r>
          </w:p>
        </w:tc>
        <w:tc>
          <w:tcPr>
            <w:tcW w:w="2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10,708</w:t>
            </w:r>
          </w:p>
        </w:tc>
        <w:tc>
          <w:tcPr>
            <w:tcW w:w="80" w:type="dxa"/>
            <w:vAlign w:val="bottom"/>
          </w:tcPr>
          <w:p>
            <w:pPr>
              <w:spacing w:after="0"/>
              <w:rPr>
                <w:sz w:val="20"/>
                <w:szCs w:val="20"/>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475,849,809</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465,564,876</w:t>
            </w:r>
          </w:p>
        </w:tc>
        <w:tc>
          <w:tcPr>
            <w:tcW w:w="80" w:type="dxa"/>
            <w:vAlign w:val="bottom"/>
            <w:shd w:val="clear" w:color="auto" w:fill="CCEEFF"/>
          </w:tcPr>
          <w:p>
            <w:pPr>
              <w:spacing w:after="0"/>
              <w:rPr>
                <w:sz w:val="18"/>
                <w:szCs w:val="18"/>
                <w:color w:val="auto"/>
              </w:rPr>
            </w:pPr>
          </w:p>
        </w:tc>
      </w:tr>
      <w:tr>
        <w:trPr>
          <w:trHeight w:val="230"/>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(457,477,588)</w:t>
            </w:r>
          </w:p>
        </w:tc>
        <w:tc>
          <w:tcPr>
            <w:tcW w:w="200" w:type="dxa"/>
            <w:vAlign w:val="bottom"/>
          </w:tcPr>
          <w:p>
            <w:pPr>
              <w:spacing w:after="0"/>
              <w:rPr>
                <w:sz w:val="19"/>
                <w:szCs w:val="19"/>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(447,017,178)</w:t>
            </w:r>
          </w:p>
        </w:tc>
      </w:tr>
      <w:tr>
        <w:trPr>
          <w:trHeight w:val="210"/>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18,388,893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18,558,406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21,734,830</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22,022,860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7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697355"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697355" cy="480060"/>
                    </a:xfrm>
                    <a:prstGeom prst="rect">
                      <a:avLst/>
                    </a:prstGeom>
                    <a:noFill/>
                  </pic:spPr>
                </pic:pic>
              </a:graphicData>
            </a:graphic>
          </wp:anchor>
        </w:drawing>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gridSpan w:val="6"/>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00" w:type="dxa"/>
            <w:vAlign w:val="bottom"/>
          </w:tcPr>
          <w:p>
            <w:pPr>
              <w:spacing w:after="0"/>
              <w:rPr>
                <w:sz w:val="19"/>
                <w:szCs w:val="19"/>
                <w:color w:val="auto"/>
              </w:rPr>
            </w:pPr>
          </w:p>
        </w:tc>
        <w:tc>
          <w:tcPr>
            <w:tcW w:w="2680" w:type="dxa"/>
            <w:vAlign w:val="bottom"/>
            <w:gridSpan w:val="7"/>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 income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1,232,938</w:t>
            </w:r>
          </w:p>
        </w:tc>
        <w:tc>
          <w:tcPr>
            <w:tcW w:w="5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1,926,020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2,443,255</w:t>
            </w:r>
          </w:p>
        </w:tc>
        <w:tc>
          <w:tcPr>
            <w:tcW w:w="5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4,339,317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1,232,938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1,926,020</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2,443,255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4,339,317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2,345,843</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3,471,216</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9,658,322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8,381,661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1,023,821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854,677</w:t>
            </w:r>
          </w:p>
        </w:tc>
        <w:tc>
          <w:tcPr>
            <w:tcW w:w="2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3,338,200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3,214,611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early termination of vendor agreement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453,135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3,369,664</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4,325,893</w:t>
            </w:r>
          </w:p>
        </w:tc>
        <w:tc>
          <w:tcPr>
            <w:tcW w:w="3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13,449,657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11,596,272</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(2,136,726)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(2,399,873)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(11,006,432)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(7,256,955)</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138,064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91,681</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428,578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Pr>
          <w:p>
            <w:pPr>
              <w:spacing w:after="0"/>
              <w:rPr>
                <w:sz w:val="19"/>
                <w:szCs w:val="19"/>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117,444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(1,998,662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(2,308,192</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(10,460,410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(6,893,691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per share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(0.12)</w:t>
            </w:r>
          </w:p>
        </w:tc>
        <w:tc>
          <w:tcPr>
            <w:tcW w:w="5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(0.26)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(0.75)</w:t>
            </w:r>
          </w:p>
        </w:tc>
        <w:tc>
          <w:tcPr>
            <w:tcW w:w="5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196"/>
        </w:trPr>
        <w:tc>
          <w:tcPr>
            <w:tcW w:w="5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16,757,678</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8,923,170</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13,960,791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8,914,487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16,757,678</w:t>
            </w:r>
          </w:p>
        </w:tc>
        <w:tc>
          <w:tcPr>
            <w:tcW w:w="2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8,923,170</w:t>
            </w:r>
          </w:p>
        </w:tc>
        <w:tc>
          <w:tcPr>
            <w:tcW w:w="34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13,960,791</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8,914,487</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697355" cy="480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697355" cy="480060"/>
                    </a:xfrm>
                    <a:prstGeom prst="rect">
                      <a:avLst/>
                    </a:prstGeom>
                    <a:noFill/>
                  </pic:spPr>
                </pic:pic>
              </a:graphicData>
            </a:graphic>
          </wp:anchor>
        </w:drawing>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30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6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3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(10,460,410)</w:t>
            </w:r>
          </w:p>
        </w:tc>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(6,893,691)</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Reconciliation of net loss to net cash used in operating activities:</w:t>
            </w: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426,409</w:t>
            </w:r>
          </w:p>
        </w:tc>
        <w:tc>
          <w:tcPr>
            <w:tcW w:w="5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195,320</w:t>
            </w: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(643,007)</w:t>
            </w:r>
          </w:p>
        </w:tc>
        <w:tc>
          <w:tcPr>
            <w:tcW w:w="54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(178,148)</w:t>
            </w:r>
          </w:p>
        </w:tc>
      </w:tr>
      <w:tr>
        <w:trPr>
          <w:trHeight w:val="216"/>
        </w:trPr>
        <w:tc>
          <w:tcPr>
            <w:tcW w:w="6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receivables</w:t>
            </w: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681,550</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283,405</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Related party payable</w:t>
            </w: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(1,382,185)</w:t>
            </w:r>
          </w:p>
        </w:tc>
        <w:tc>
          <w:tcPr>
            <w:tcW w:w="54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(426,217)</w:t>
            </w:r>
          </w:p>
        </w:tc>
      </w:tr>
      <w:tr>
        <w:trPr>
          <w:trHeight w:val="216"/>
        </w:trPr>
        <w:tc>
          <w:tcPr>
            <w:tcW w:w="6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(89,307)</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812,142</w:t>
            </w:r>
          </w:p>
        </w:tc>
        <w:tc>
          <w:tcPr>
            <w:tcW w:w="80" w:type="dxa"/>
            <w:vAlign w:val="bottom"/>
            <w:shd w:val="clear" w:color="auto" w:fill="CCEEFF"/>
          </w:tcPr>
          <w:p>
            <w:pPr>
              <w:spacing w:after="0"/>
              <w:rPr>
                <w:sz w:val="18"/>
                <w:szCs w:val="18"/>
                <w:color w:val="auto"/>
              </w:rPr>
            </w:pPr>
          </w:p>
        </w:tc>
      </w:tr>
      <w:tr>
        <w:trPr>
          <w:trHeight w:val="229"/>
        </w:trPr>
        <w:tc>
          <w:tcPr>
            <w:tcW w:w="6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1,352,975</w:t>
            </w:r>
          </w:p>
        </w:tc>
        <w:tc>
          <w:tcPr>
            <w:tcW w:w="54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32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(10,113,975)</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(6,207,189)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 net</w:t>
            </w: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9,863,883</w:t>
            </w:r>
          </w:p>
        </w:tc>
        <w:tc>
          <w:tcPr>
            <w:tcW w:w="5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36,902</w:t>
            </w:r>
          </w:p>
        </w:tc>
      </w:tr>
      <w:tr>
        <w:trPr>
          <w:trHeight w:val="229"/>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exercise of warrants and stock options</w:t>
            </w: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605</w:t>
            </w:r>
          </w:p>
        </w:tc>
        <w:tc>
          <w:tcPr>
            <w:tcW w:w="54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58,501</w:t>
            </w:r>
          </w:p>
        </w:tc>
      </w:tr>
      <w:tr>
        <w:trPr>
          <w:trHeight w:val="210"/>
        </w:trPr>
        <w:tc>
          <w:tcPr>
            <w:tcW w:w="632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9,864,488</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(249,487)</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(6,111,786)</w:t>
            </w:r>
          </w:p>
        </w:tc>
        <w:tc>
          <w:tcPr>
            <w:tcW w:w="100" w:type="dxa"/>
            <w:vAlign w:val="bottom"/>
            <w:gridSpan w:val="2"/>
          </w:tcPr>
          <w:p>
            <w:pPr>
              <w:spacing w:after="0"/>
              <w:rPr>
                <w:sz w:val="18"/>
                <w:szCs w:val="18"/>
                <w:color w:val="auto"/>
              </w:rPr>
            </w:pPr>
          </w:p>
        </w:tc>
      </w:tr>
      <w:tr>
        <w:trPr>
          <w:trHeight w:val="23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19,192,440</w:t>
            </w:r>
          </w:p>
        </w:tc>
        <w:tc>
          <w:tcPr>
            <w:tcW w:w="5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15,111,450</w:t>
            </w:r>
          </w:p>
        </w:tc>
        <w:tc>
          <w:tcPr>
            <w:tcW w:w="80" w:type="dxa"/>
            <w:vAlign w:val="bottom"/>
            <w:shd w:val="clear" w:color="auto" w:fill="CCEEFF"/>
          </w:tcPr>
          <w:p>
            <w:pPr>
              <w:spacing w:after="0"/>
              <w:rPr>
                <w:sz w:val="19"/>
                <w:szCs w:val="19"/>
                <w:color w:val="auto"/>
              </w:rPr>
            </w:pP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the period</w:t>
            </w:r>
          </w:p>
        </w:tc>
        <w:tc>
          <w:tcPr>
            <w:tcW w:w="1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18,942,953</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8,999,664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and 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Marker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(713) 400-6400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investor.relations@markertherapeutics.com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2025-11-14T06:26:27Z</dcterms:created>
  <dcterms:modified xsi:type="dcterms:W3CDTF">2025-11-14T06:26:27Z</dcterms:modified>
</cp:coreProperties>
</file>