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November 9,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3"/>
          </w:tcPr>
          <w:p>
            <w:pPr>
              <w:jc w:val="center"/>
              <w:ind w:right="1360"/>
              <w:spacing w:after="0"/>
              <w:rPr>
                <w:sz w:val="20"/>
                <w:szCs w:val="20"/>
                <w:color w:val="auto"/>
              </w:rPr>
            </w:pPr>
            <w:r>
              <w:rPr>
                <w:rFonts w:ascii="Arial" w:cs="Arial" w:eastAsia="Arial" w:hAnsi="Arial"/>
                <w:sz w:val="18"/>
                <w:szCs w:val="18"/>
                <w:b w:val="1"/>
                <w:bCs w:val="1"/>
                <w:color w:val="auto"/>
                <w:w w:val="91"/>
              </w:rPr>
              <w:t>Delaware</w:t>
            </w:r>
          </w:p>
        </w:tc>
        <w:tc>
          <w:tcPr>
            <w:tcW w:w="41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001-37939</w:t>
            </w:r>
          </w:p>
        </w:tc>
        <w:tc>
          <w:tcPr>
            <w:tcW w:w="28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00" w:type="dxa"/>
            <w:vAlign w:val="bottom"/>
            <w:gridSpan w:val="5"/>
          </w:tcPr>
          <w:p>
            <w:pPr>
              <w:jc w:val="center"/>
              <w:ind w:right="140"/>
              <w:spacing w:after="0"/>
              <w:rPr>
                <w:sz w:val="20"/>
                <w:szCs w:val="20"/>
                <w:color w:val="auto"/>
              </w:rPr>
            </w:pPr>
            <w:r>
              <w:rPr>
                <w:rFonts w:ascii="Arial" w:cs="Arial" w:eastAsia="Arial" w:hAnsi="Arial"/>
                <w:sz w:val="18"/>
                <w:szCs w:val="18"/>
                <w:color w:val="auto"/>
                <w:w w:val="92"/>
              </w:rPr>
              <w:t>(State or other jurisdiction of incorporation)</w:t>
            </w:r>
          </w:p>
        </w:tc>
        <w:tc>
          <w:tcPr>
            <w:tcW w:w="414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(Commission File Number)</w:t>
            </w:r>
          </w:p>
        </w:tc>
        <w:tc>
          <w:tcPr>
            <w:tcW w:w="2800" w:type="dxa"/>
            <w:vAlign w:val="bottom"/>
            <w:gridSpan w:val="5"/>
          </w:tcPr>
          <w:p>
            <w:pPr>
              <w:jc w:val="center"/>
              <w:ind w:left="23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330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8"/>
              </w:rPr>
              <w:t>3200 Southwest Freeway</w:t>
            </w:r>
          </w:p>
        </w:tc>
        <w:tc>
          <w:tcPr>
            <w:tcW w:w="1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2300" w:type="dxa"/>
            <w:vAlign w:val="bottom"/>
            <w:gridSpan w:val="4"/>
          </w:tcPr>
          <w:p>
            <w:pPr>
              <w:jc w:val="center"/>
              <w:ind w:right="1140"/>
              <w:spacing w:after="0"/>
              <w:rPr>
                <w:sz w:val="20"/>
                <w:szCs w:val="20"/>
                <w:color w:val="auto"/>
              </w:rPr>
            </w:pPr>
            <w:r>
              <w:rPr>
                <w:rFonts w:ascii="Arial" w:cs="Arial" w:eastAsia="Arial" w:hAnsi="Arial"/>
                <w:sz w:val="18"/>
                <w:szCs w:val="18"/>
                <w:b w:val="1"/>
                <w:bCs w:val="1"/>
                <w:color w:val="auto"/>
                <w:w w:val="89"/>
              </w:rPr>
              <w:t>Suite 2240</w:t>
            </w: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1000" w:type="dxa"/>
            <w:vAlign w:val="bottom"/>
          </w:tcPr>
          <w:p>
            <w:pPr>
              <w:spacing w:after="0"/>
              <w:rPr>
                <w:sz w:val="16"/>
                <w:szCs w:val="16"/>
                <w:color w:val="auto"/>
              </w:rPr>
            </w:pPr>
          </w:p>
        </w:tc>
        <w:tc>
          <w:tcPr>
            <w:tcW w:w="116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86"/>
              </w:rPr>
              <w:t>Houston, Texas</w:t>
            </w:r>
          </w:p>
        </w:tc>
        <w:tc>
          <w:tcPr>
            <w:tcW w:w="1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00" w:type="dxa"/>
            <w:vAlign w:val="bottom"/>
            <w:gridSpan w:val="4"/>
          </w:tcPr>
          <w:p>
            <w:pPr>
              <w:jc w:val="right"/>
              <w:ind w:right="220"/>
              <w:spacing w:after="0" w:line="194" w:lineRule="exact"/>
              <w:rPr>
                <w:sz w:val="20"/>
                <w:szCs w:val="20"/>
                <w:color w:val="auto"/>
              </w:rPr>
            </w:pPr>
            <w:r>
              <w:rPr>
                <w:rFonts w:ascii="Arial" w:cs="Arial" w:eastAsia="Arial" w:hAnsi="Arial"/>
                <w:sz w:val="18"/>
                <w:szCs w:val="18"/>
                <w:b w:val="1"/>
                <w:bCs w:val="1"/>
                <w:color w:val="auto"/>
              </w:rPr>
              <w:t>77027</w:t>
            </w:r>
          </w:p>
        </w:tc>
        <w:tc>
          <w:tcPr>
            <w:tcW w:w="800" w:type="dxa"/>
            <w:vAlign w:val="bottom"/>
          </w:tcPr>
          <w:p>
            <w:pPr>
              <w:spacing w:after="0"/>
              <w:rPr>
                <w:sz w:val="16"/>
                <w:szCs w:val="16"/>
                <w:color w:val="auto"/>
              </w:rPr>
            </w:pPr>
          </w:p>
        </w:tc>
      </w:tr>
      <w:tr>
        <w:trPr>
          <w:trHeight w:val="20"/>
        </w:trPr>
        <w:tc>
          <w:tcPr>
            <w:tcW w:w="3300" w:type="dxa"/>
            <w:vAlign w:val="bottom"/>
            <w:gridSpan w:val="5"/>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24"/>
        </w:trPr>
        <w:tc>
          <w:tcPr>
            <w:tcW w:w="3300" w:type="dxa"/>
            <w:vAlign w:val="bottom"/>
            <w:gridSpan w:val="5"/>
          </w:tcPr>
          <w:p>
            <w:pPr>
              <w:jc w:val="center"/>
              <w:ind w:right="140"/>
              <w:spacing w:after="0"/>
              <w:rPr>
                <w:sz w:val="20"/>
                <w:szCs w:val="20"/>
                <w:color w:val="auto"/>
              </w:rPr>
            </w:pPr>
            <w:r>
              <w:rPr>
                <w:rFonts w:ascii="Arial" w:cs="Arial" w:eastAsia="Arial" w:hAnsi="Arial"/>
                <w:sz w:val="18"/>
                <w:szCs w:val="18"/>
                <w:color w:val="auto"/>
                <w:w w:val="92"/>
              </w:rPr>
              <w:t>(Address of principal executive offices)</w:t>
            </w:r>
          </w:p>
        </w:tc>
        <w:tc>
          <w:tcPr>
            <w:tcW w:w="1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r>
      <w:tr>
        <w:trPr>
          <w:trHeight w:val="418"/>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(713) 400-6400</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14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Registrant’s telephone number, including area code</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1140" w:hanging="1132"/>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1140" w:hanging="1132"/>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1140" w:hanging="1132"/>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1140" w:hanging="1132"/>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18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18"/>
        </w:trPr>
        <w:tc>
          <w:tcPr>
            <w:tcW w:w="4700" w:type="dxa"/>
            <w:vAlign w:val="bottom"/>
          </w:tcPr>
          <w:p>
            <w:pPr>
              <w:spacing w:after="0"/>
              <w:rPr>
                <w:sz w:val="24"/>
                <w:szCs w:val="24"/>
                <w:color w:val="auto"/>
              </w:rPr>
            </w:pPr>
          </w:p>
        </w:tc>
        <w:tc>
          <w:tcPr>
            <w:tcW w:w="2180" w:type="dxa"/>
            <w:vAlign w:val="bottom"/>
          </w:tcPr>
          <w:p>
            <w:pPr>
              <w:jc w:val="center"/>
              <w:ind w:right="210"/>
              <w:spacing w:after="0"/>
              <w:rPr>
                <w:sz w:val="20"/>
                <w:szCs w:val="20"/>
                <w:color w:val="auto"/>
              </w:rPr>
            </w:pPr>
            <w:r>
              <w:rPr>
                <w:rFonts w:ascii="Arial" w:cs="Arial" w:eastAsia="Arial" w:hAnsi="Arial"/>
                <w:sz w:val="18"/>
                <w:szCs w:val="18"/>
                <w:color w:val="auto"/>
                <w:w w:val="91"/>
              </w:rPr>
              <w:t>Trading</w:t>
            </w:r>
          </w:p>
        </w:tc>
        <w:tc>
          <w:tcPr>
            <w:tcW w:w="4360" w:type="dxa"/>
            <w:vAlign w:val="bottom"/>
          </w:tcPr>
          <w:p>
            <w:pPr>
              <w:spacing w:after="0"/>
              <w:rPr>
                <w:sz w:val="24"/>
                <w:szCs w:val="24"/>
                <w:color w:val="auto"/>
              </w:rPr>
            </w:pPr>
          </w:p>
        </w:tc>
      </w:tr>
      <w:tr>
        <w:trPr>
          <w:trHeight w:val="230"/>
        </w:trPr>
        <w:tc>
          <w:tcPr>
            <w:tcW w:w="4700" w:type="dxa"/>
            <w:vAlign w:val="bottom"/>
            <w:tcBorders>
              <w:bottom w:val="single" w:sz="8" w:color="auto"/>
            </w:tcBorders>
          </w:tcPr>
          <w:p>
            <w:pPr>
              <w:jc w:val="center"/>
              <w:ind w:right="790"/>
              <w:spacing w:after="0"/>
              <w:rPr>
                <w:sz w:val="20"/>
                <w:szCs w:val="20"/>
                <w:color w:val="auto"/>
              </w:rPr>
            </w:pPr>
            <w:r>
              <w:rPr>
                <w:rFonts w:ascii="Arial" w:cs="Arial" w:eastAsia="Arial" w:hAnsi="Arial"/>
                <w:sz w:val="18"/>
                <w:szCs w:val="18"/>
                <w:color w:val="auto"/>
                <w:w w:val="90"/>
              </w:rPr>
              <w:t>Title of each class</w:t>
            </w:r>
          </w:p>
        </w:tc>
        <w:tc>
          <w:tcPr>
            <w:tcW w:w="21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3"/>
              </w:rPr>
              <w:t>Symbol(s)</w:t>
            </w:r>
          </w:p>
        </w:tc>
        <w:tc>
          <w:tcPr>
            <w:tcW w:w="436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700" w:type="dxa"/>
            <w:vAlign w:val="bottom"/>
          </w:tcPr>
          <w:p>
            <w:pPr>
              <w:jc w:val="center"/>
              <w:ind w:right="770"/>
              <w:spacing w:after="0"/>
              <w:rPr>
                <w:sz w:val="20"/>
                <w:szCs w:val="20"/>
                <w:color w:val="auto"/>
              </w:rPr>
            </w:pPr>
            <w:r>
              <w:rPr>
                <w:rFonts w:ascii="Arial" w:cs="Arial" w:eastAsia="Arial" w:hAnsi="Arial"/>
                <w:sz w:val="18"/>
                <w:szCs w:val="18"/>
                <w:color w:val="auto"/>
                <w:w w:val="89"/>
              </w:rPr>
              <w:t>Common Stock, par value $0.001 per share</w:t>
            </w:r>
          </w:p>
        </w:tc>
        <w:tc>
          <w:tcPr>
            <w:tcW w:w="2180" w:type="dxa"/>
            <w:vAlign w:val="bottom"/>
          </w:tcPr>
          <w:p>
            <w:pPr>
              <w:jc w:val="center"/>
              <w:ind w:right="210"/>
              <w:spacing w:after="0"/>
              <w:rPr>
                <w:sz w:val="20"/>
                <w:szCs w:val="20"/>
                <w:color w:val="auto"/>
              </w:rPr>
            </w:pPr>
            <w:r>
              <w:rPr>
                <w:rFonts w:ascii="Arial" w:cs="Arial" w:eastAsia="Arial" w:hAnsi="Arial"/>
                <w:sz w:val="18"/>
                <w:szCs w:val="18"/>
                <w:color w:val="auto"/>
                <w:w w:val="98"/>
              </w:rPr>
              <w:t>MRKR</w:t>
            </w:r>
          </w:p>
        </w:tc>
        <w:tc>
          <w:tcPr>
            <w:tcW w:w="4360" w:type="dxa"/>
            <w:vAlign w:val="bottom"/>
          </w:tcPr>
          <w:p>
            <w:pPr>
              <w:jc w:val="center"/>
              <w:ind w:left="470"/>
              <w:spacing w:after="0"/>
              <w:rPr>
                <w:sz w:val="20"/>
                <w:szCs w:val="20"/>
                <w:color w:val="auto"/>
              </w:rPr>
            </w:pPr>
            <w:r>
              <w:rPr>
                <w:rFonts w:ascii="Arial" w:cs="Arial" w:eastAsia="Arial" w:hAnsi="Arial"/>
                <w:sz w:val="18"/>
                <w:szCs w:val="18"/>
                <w:color w:val="auto"/>
                <w:w w:val="92"/>
              </w:rPr>
              <w:t>The Nasdaq Stock Market LLC</w:t>
            </w:r>
          </w:p>
        </w:tc>
      </w:tr>
    </w:tbl>
    <w:p>
      <w:pPr>
        <w:spacing w:after="0" w:line="187"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November 9, 2020, Marker Therapeutics, Inc. (the “Company”) reported financial results for the quarter ended September 30, 2020 and other recent corporate updates. A copy of the press release is furnished as Exhibit 99.1 to this report and incorporated by reference.</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information in this Item 2.02 of this Current Report on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940" w:type="dxa"/>
            <w:vAlign w:val="bottom"/>
            <w:gridSpan w:val="2"/>
          </w:tcPr>
          <w:p>
            <w:pPr>
              <w:ind w:left="8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900" w:type="dxa"/>
            <w:vAlign w:val="bottom"/>
          </w:tcPr>
          <w:p>
            <w:pPr>
              <w:spacing w:after="0"/>
              <w:rPr>
                <w:sz w:val="24"/>
                <w:szCs w:val="24"/>
                <w:color w:val="auto"/>
              </w:rPr>
            </w:pPr>
          </w:p>
        </w:tc>
        <w:tc>
          <w:tcPr>
            <w:tcW w:w="9040" w:type="dxa"/>
            <w:vAlign w:val="bottom"/>
          </w:tcPr>
          <w:p>
            <w:pPr>
              <w:spacing w:after="0"/>
              <w:rPr>
                <w:sz w:val="24"/>
                <w:szCs w:val="24"/>
                <w:color w:val="auto"/>
              </w:rPr>
            </w:pPr>
          </w:p>
        </w:tc>
      </w:tr>
      <w:tr>
        <w:trPr>
          <w:trHeight w:val="392"/>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9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r>
      <w:tr>
        <w:trPr>
          <w:trHeight w:val="222"/>
        </w:trPr>
        <w:tc>
          <w:tcPr>
            <w:tcW w:w="88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420" w:type="dxa"/>
            <w:vAlign w:val="bottom"/>
          </w:tcPr>
          <w:p>
            <w:pPr>
              <w:spacing w:after="0"/>
              <w:rPr>
                <w:sz w:val="19"/>
                <w:szCs w:val="19"/>
                <w:color w:val="auto"/>
              </w:rPr>
            </w:pPr>
          </w:p>
        </w:tc>
        <w:tc>
          <w:tcPr>
            <w:tcW w:w="994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issued on November 9, 2020.</w:t>
              </w:r>
            </w:hyperlink>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0"/>
                <w:szCs w:val="20"/>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Inline XBRL for the cover page of this Current Report on Form 8-K</w:t>
            </w:r>
          </w:p>
        </w:tc>
      </w:tr>
      <w:tr>
        <w:trPr>
          <w:trHeight w:val="459"/>
        </w:trPr>
        <w:tc>
          <w:tcPr>
            <w:tcW w:w="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6820" w:type="dxa"/>
            <w:vAlign w:val="bottom"/>
            <w:gridSpan w:val="2"/>
          </w:tcPr>
          <w:p>
            <w:pPr>
              <w:ind w:left="2560"/>
              <w:spacing w:after="0"/>
              <w:rPr>
                <w:sz w:val="20"/>
                <w:szCs w:val="20"/>
                <w:color w:val="auto"/>
              </w:rPr>
            </w:pPr>
            <w:r>
              <w:rPr>
                <w:rFonts w:ascii="Arial" w:cs="Arial" w:eastAsia="Arial" w:hAnsi="Arial"/>
                <w:sz w:val="18"/>
                <w:szCs w:val="18"/>
                <w:b w:val="1"/>
                <w:bCs w:val="1"/>
                <w:color w:val="auto"/>
              </w:rPr>
              <w:t>Marker Therapeutics, Inc.</w:t>
            </w: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rPr>
              <w:t>Dated: November 9, 2020</w:t>
            </w:r>
          </w:p>
        </w:tc>
        <w:tc>
          <w:tcPr>
            <w:tcW w:w="6820" w:type="dxa"/>
            <w:vAlign w:val="bottom"/>
            <w:gridSpan w:val="2"/>
          </w:tcPr>
          <w:p>
            <w:pPr>
              <w:ind w:left="2560"/>
              <w:spacing w:after="0"/>
              <w:rPr>
                <w:sz w:val="20"/>
                <w:szCs w:val="20"/>
                <w:color w:val="auto"/>
              </w:rPr>
            </w:pPr>
            <w:r>
              <w:rPr>
                <w:rFonts w:ascii="Arial" w:cs="Arial" w:eastAsia="Arial" w:hAnsi="Arial"/>
                <w:sz w:val="18"/>
                <w:szCs w:val="18"/>
                <w:color w:val="auto"/>
              </w:rPr>
              <w:t>By: /s/ Anthony Kim</w:t>
            </w:r>
          </w:p>
        </w:tc>
      </w:tr>
      <w:tr>
        <w:trPr>
          <w:trHeight w:val="195"/>
        </w:trPr>
        <w:tc>
          <w:tcPr>
            <w:tcW w:w="44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Anthony Kim</w:t>
            </w:r>
          </w:p>
        </w:tc>
      </w:tr>
      <w:tr>
        <w:trPr>
          <w:trHeight w:val="230"/>
        </w:trPr>
        <w:tc>
          <w:tcPr>
            <w:tcW w:w="44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459"/>
        </w:trPr>
        <w:tc>
          <w:tcPr>
            <w:tcW w:w="44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937385" cy="436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3738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Reports Third Quarter 2020 Operating and Financial Results</w:t>
      </w:r>
    </w:p>
    <w:p>
      <w:pPr>
        <w:spacing w:after="0" w:line="229" w:lineRule="exact"/>
        <w:rPr>
          <w:sz w:val="20"/>
          <w:szCs w:val="20"/>
          <w:color w:val="auto"/>
        </w:rPr>
      </w:pPr>
    </w:p>
    <w:p>
      <w:pPr>
        <w:ind w:left="380" w:hanging="110"/>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Initiated first Marker-sponsored study, a Phase 2 trial of MT-401 for the treatment of post-transplant acute myeloid leukemia, and enrolled the first</w:t>
      </w:r>
    </w:p>
    <w:p>
      <w:pPr>
        <w:spacing w:after="0" w:line="46" w:lineRule="exact"/>
        <w:rPr>
          <w:rFonts w:ascii="Arial" w:cs="Arial" w:eastAsia="Arial" w:hAnsi="Arial"/>
          <w:sz w:val="16"/>
          <w:szCs w:val="16"/>
          <w:color w:val="auto"/>
        </w:rPr>
      </w:pPr>
    </w:p>
    <w:p>
      <w:pPr>
        <w:ind w:left="4300"/>
        <w:spacing w:after="0"/>
        <w:rPr>
          <w:rFonts w:ascii="Arial" w:cs="Arial" w:eastAsia="Arial" w:hAnsi="Arial"/>
          <w:sz w:val="16"/>
          <w:szCs w:val="16"/>
          <w:color w:val="auto"/>
        </w:rPr>
      </w:pPr>
      <w:r>
        <w:rPr>
          <w:rFonts w:ascii="Arial" w:cs="Arial" w:eastAsia="Arial" w:hAnsi="Arial"/>
          <w:sz w:val="18"/>
          <w:szCs w:val="18"/>
          <w:i w:val="1"/>
          <w:iCs w:val="1"/>
          <w:color w:val="auto"/>
        </w:rPr>
        <w:t>patient in the safety lead-in portion -</w:t>
      </w:r>
    </w:p>
    <w:p>
      <w:pPr>
        <w:spacing w:after="0" w:line="210" w:lineRule="exact"/>
        <w:rPr>
          <w:rFonts w:ascii="Arial" w:cs="Arial" w:eastAsia="Arial" w:hAnsi="Arial"/>
          <w:sz w:val="16"/>
          <w:szCs w:val="16"/>
          <w:color w:val="auto"/>
        </w:rPr>
      </w:pPr>
    </w:p>
    <w:p>
      <w:pPr>
        <w:ind w:left="700" w:hanging="103"/>
        <w:spacing w:after="0"/>
        <w:tabs>
          <w:tab w:leader="none" w:pos="700" w:val="left"/>
        </w:tabs>
        <w:numPr>
          <w:ilvl w:val="1"/>
          <w:numId w:val="2"/>
        </w:numPr>
        <w:rPr>
          <w:rFonts w:ascii="Arial" w:cs="Arial" w:eastAsia="Arial" w:hAnsi="Arial"/>
          <w:sz w:val="17"/>
          <w:szCs w:val="17"/>
          <w:color w:val="auto"/>
        </w:rPr>
      </w:pPr>
      <w:r>
        <w:rPr>
          <w:rFonts w:ascii="Arial" w:cs="Arial" w:eastAsia="Arial" w:hAnsi="Arial"/>
          <w:sz w:val="17"/>
          <w:szCs w:val="17"/>
          <w:i w:val="1"/>
          <w:iCs w:val="1"/>
          <w:color w:val="auto"/>
        </w:rPr>
        <w:t>Received alternate reagent and expect to submit required data to enable removal of partial clinical hold for IND for MT-401 by Q1 2021 -</w:t>
      </w:r>
    </w:p>
    <w:p>
      <w:pPr>
        <w:spacing w:after="0" w:line="236" w:lineRule="exact"/>
        <w:rPr>
          <w:rFonts w:ascii="Arial" w:cs="Arial" w:eastAsia="Arial" w:hAnsi="Arial"/>
          <w:sz w:val="17"/>
          <w:szCs w:val="17"/>
          <w:color w:val="auto"/>
        </w:rPr>
      </w:pPr>
    </w:p>
    <w:p>
      <w:pPr>
        <w:ind w:left="3140" w:hanging="99"/>
        <w:spacing w:after="0"/>
        <w:tabs>
          <w:tab w:leader="none" w:pos="3140" w:val="left"/>
        </w:tabs>
        <w:numPr>
          <w:ilvl w:val="2"/>
          <w:numId w:val="2"/>
        </w:numPr>
        <w:rPr>
          <w:rFonts w:ascii="Arial" w:cs="Arial" w:eastAsia="Arial" w:hAnsi="Arial"/>
          <w:sz w:val="18"/>
          <w:szCs w:val="18"/>
          <w:color w:val="auto"/>
        </w:rPr>
      </w:pPr>
      <w:r>
        <w:rPr>
          <w:rFonts w:ascii="Arial" w:cs="Arial" w:eastAsia="Arial" w:hAnsi="Arial"/>
          <w:sz w:val="18"/>
          <w:szCs w:val="18"/>
          <w:i w:val="1"/>
          <w:iCs w:val="1"/>
          <w:color w:val="auto"/>
        </w:rPr>
        <w:t>Company to host conference call and webcast today at 5:00 PM EST -</w:t>
      </w:r>
    </w:p>
    <w:p>
      <w:pPr>
        <w:spacing w:after="0" w:line="22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Houston, TX—November 9, 2020—</w:t>
      </w:r>
      <w:r>
        <w:rPr>
          <w:rFonts w:ascii="Arial" w:cs="Arial" w:eastAsia="Arial" w:hAnsi="Arial"/>
          <w:sz w:val="18"/>
          <w:szCs w:val="18"/>
          <w:color w:val="auto"/>
        </w:rPr>
        <w:t>Marker Therapeutics, Inc. (Nasdaq:MRKR), a clinical-stage immuno-oncology company specializing in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 next-generation T cell-based immunotherapies for the treatment of hematological malignancies and solid tumor indications, today provided a corporate update and reported financial results for the third quarter ended September 30, 2020.</w:t>
      </w:r>
    </w:p>
    <w:p>
      <w:pPr>
        <w:spacing w:after="0" w:line="18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quarter, our Company reached a significant milestone by initiating our first Marker-sponsored study—a Phase 2 trial of zelenoleucel or MT-401, our lead MultiTAA-specific T cell product candidate for the treatment of post-transplant acute myeloid leukemia,” said Peter L. Hoang, President &amp; CEO of Marker Therapeutics. “We have enrolled the first patient in the safety lead-in portion of the trial, and are in the process of scheduling the donor in order to manufacture the product.”</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Continued Mr. Hoang: “During this unprecedented time, we have made significant progress by enrolling additional clinical sites for our AML trial, advancing our manufacturing process, reducing production time by 50% and improving the potency of our MT-401 product, and entering the final phase of the construction of our new in-house cGMP manufacturing facility. I am extremely proud of the dedication and resolve that our team has shown during these challenging months. I want to acknowledge their hard work across the organization that went into achieving these milestones.”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UPDATES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MT-401: Multi-Antigen Targeted (MultiTAA)-Specific T Cell Product Candidate for AML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2 AML Trial</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initiated the safety lead-in portion of its Phase 2 study of zelenoleucel (MT-401) in patients with acute myeloid leukemia (AML) following an allogeneic stem cell transplant in both the adjuvant and active disease settings. The Company anticipates treating the first patient by Q1 2021. The safety lead-in is expected to enroll a total of six patients: three of which will be treated with MT-401 manufactured with a legacy reagent, and the remaining three to be treated with study drug manufactured with a new reagent from an alternate supplier.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jc w:val="both"/>
        <w:ind w:right="120"/>
        <w:spacing w:after="0" w:line="263" w:lineRule="auto"/>
        <w:rPr>
          <w:sz w:val="20"/>
          <w:szCs w:val="20"/>
          <w:color w:val="auto"/>
        </w:rPr>
      </w:pPr>
      <w:r>
        <w:rPr>
          <w:rFonts w:ascii="Arial" w:cs="Arial" w:eastAsia="Arial" w:hAnsi="Arial"/>
          <w:sz w:val="18"/>
          <w:szCs w:val="18"/>
          <w:color w:val="auto"/>
        </w:rPr>
        <w:t>Marker has activated four clinical sites and is in the start-up phase with additional clinical sites to enroll patients for the safety lead-in portion of the AML trial. The Company has also received commitments from additional clinical sites to participate in the Phase 2 AML trial following the safety lead-in phase and anticipates activating a total of approximately 20 sites.</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study remains on partial clinical hold pending the review of final data and subsequent acceptance of certificates of analysis for the new reagent by the U.S. FDA. The Company received the remaining reagent from the alternate supplier in Q3 2020 and is currently conducting the comparability analyses between the previous and new reagents, as required by FDA. Marker intends to submit all required data to FDA by Q1 2021 to enable removal of the partial clinical hold.</w:t>
      </w:r>
    </w:p>
    <w:p>
      <w:pPr>
        <w:spacing w:after="0" w:line="1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Over the past year, the Company has continued to streamline and simplify the MT-401 manufacturing process. The technical improvements include a 50% reduction in manufacturing time, a 95% reduction in the number of required operator interventions, and significant improvement in the consistency and reproducibility of the manufacturing process, while yielding a significant increase in the number of T cells available for patient administration. The Company expects the new process to yield a measurably improved product, with superior T cell phenotype and antigen specificity as compared to the original process. The new process improvements have been updated in the CMC section of the IND and will be used for all patients in the Marker AML clinical trial.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UPDATES</w:t>
      </w:r>
    </w:p>
    <w:p>
      <w:pPr>
        <w:spacing w:after="0" w:line="229" w:lineRule="exact"/>
        <w:rPr>
          <w:sz w:val="20"/>
          <w:szCs w:val="20"/>
          <w:color w:val="auto"/>
        </w:rPr>
      </w:pPr>
    </w:p>
    <w:p>
      <w:pPr>
        <w:ind w:left="340" w:right="60" w:hanging="332"/>
        <w:spacing w:after="0" w:line="25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Construction of the cGMP manufacturing facility has entered its final phase. The facility, located in Houston near the George Bush Intercontinental Airport, will be used to support the manufacture of study drug for Marker’s Phase 2 AML trial and for future hematological and solid tumor trials, in addition to the potential commercialization of any approved products. The construction is expected to be completed by year-end with clinical activities to be initiated in the first half of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2020 FINANCIAL RESULTS</w:t>
      </w:r>
    </w:p>
    <w:p>
      <w:pPr>
        <w:spacing w:after="0" w:line="225"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b w:val="1"/>
          <w:bCs w:val="1"/>
          <w:color w:val="auto"/>
        </w:rPr>
        <w:t xml:space="preserve">Cash Position and Guidance: </w:t>
      </w:r>
      <w:r>
        <w:rPr>
          <w:rFonts w:ascii="Arial" w:cs="Arial" w:eastAsia="Arial" w:hAnsi="Arial"/>
          <w:sz w:val="18"/>
          <w:szCs w:val="18"/>
          <w:color w:val="auto"/>
        </w:rPr>
        <w:t>At September 30, 2020, Marker had cash and cash equivalents of $27.0 million. The Company raised $2.2 million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the previously executed $30 million common stock purchase agreement with Aspire Capital Fund, LLC. The remaining $27.8 million available to Marker from Aspire Capital along with current cash available, funds operations into Q1 2022.</w:t>
      </w:r>
    </w:p>
    <w:p>
      <w:pPr>
        <w:spacing w:after="0" w:line="176"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 xml:space="preserve">R&amp;D Expenses: </w:t>
      </w:r>
      <w:r>
        <w:rPr>
          <w:rFonts w:ascii="Arial" w:cs="Arial" w:eastAsia="Arial" w:hAnsi="Arial"/>
          <w:sz w:val="18"/>
          <w:szCs w:val="18"/>
          <w:color w:val="auto"/>
        </w:rPr>
        <w:t>Research and development expenses were $4.8 million for the quarter ended September 30, 2020, compared to $3.1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ended September 30, 2019.</w:t>
      </w:r>
    </w:p>
    <w:p>
      <w:pPr>
        <w:spacing w:after="0" w:line="162"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 xml:space="preserve">G&amp;A Expenses: </w:t>
      </w:r>
      <w:r>
        <w:rPr>
          <w:rFonts w:ascii="Arial" w:cs="Arial" w:eastAsia="Arial" w:hAnsi="Arial"/>
          <w:sz w:val="18"/>
          <w:szCs w:val="18"/>
          <w:color w:val="auto"/>
        </w:rPr>
        <w:t>General and administrative expenses were $2.6 million for the quarter ended September 30, 2020, compared to $2.5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ended September 30, 2019.</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 w:name="page6"/>
    <w:bookmarkEnd w:id="5"/>
    <w:p>
      <w:pPr>
        <w:ind w:right="40"/>
        <w:spacing w:after="0" w:line="282" w:lineRule="auto"/>
        <w:rPr>
          <w:sz w:val="20"/>
          <w:szCs w:val="20"/>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Marker reported a net loss of $7.4 million for the quarter ended September 30, 2020, compared to a net loss of $5.5 million for the quarter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2019.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27"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The Company will host a webcast and conference call to discuss its third quarter 2020 financial results and provide a corporate update today at 5:00 PM EST.</w:t>
      </w:r>
    </w:p>
    <w:p>
      <w:pPr>
        <w:spacing w:after="0" w:line="18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webcast will be accessible in the Investors section of the Company’s website at markertherapeutics.com. Individuals can participate in the conference call by dialing 877-407-8913 (domestic) or 201-689-8201 (international) and referring to the “Marker Therapeutics Third Quarter 2020 Earnings Call.”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archived webcast will be available for replay on the Marker website following the event.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Marker Therapeutics, Inc</w:t>
      </w:r>
      <w:r>
        <w:rPr>
          <w:rFonts w:ascii="Arial" w:cs="Arial" w:eastAsia="Arial" w:hAnsi="Arial"/>
          <w:sz w:val="18"/>
          <w:szCs w:val="18"/>
          <w:color w:val="auto"/>
        </w:rPr>
        <w:t>.</w:t>
      </w:r>
    </w:p>
    <w:p>
      <w:pPr>
        <w:spacing w:after="0" w:line="2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its T cell therapies,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receive future press releases via email, please visit: </w:t>
      </w:r>
      <w:r>
        <w:rPr>
          <w:rFonts w:ascii="Arial" w:cs="Arial" w:eastAsia="Arial" w:hAnsi="Arial"/>
          <w:sz w:val="18"/>
          <w:szCs w:val="18"/>
          <w:b w:val="1"/>
          <w:bCs w:val="1"/>
          <w:color w:val="auto"/>
        </w:rPr>
        <w:t>https://www.markertherapeutics.com/email-alerts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 Disclaimer</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the impact of the COVID-19 pandemic; the timing, conduct and success of our clinical trials, as well as clinical trials conducted by our collaborators; our manufacturing processes and our ability to use our in-house manufacturing facility to support clinical and commercial demand.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Such risks and uncertainties may be amplified by the COVID-19 pandemic and its impact on our business and the global economy. The Company assumes no obligation to update our forward-looking statements whether as a result of new information, future events or otherwise, after the date of this press release.</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Prepaid expenses and deposits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receivable</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receivable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current assets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Non-current assets: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Property, plant and equipment, net</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Construction in progress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Right-of-use assets, net</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non-current assets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December 31,</w:t>
            </w:r>
          </w:p>
        </w:tc>
      </w:tr>
      <w:tr>
        <w:trPr>
          <w:trHeight w:val="229"/>
        </w:trPr>
        <w:tc>
          <w:tcPr>
            <w:tcW w:w="140" w:type="dxa"/>
            <w:vAlign w:val="bottom"/>
          </w:tcPr>
          <w:p>
            <w:pPr>
              <w:spacing w:after="0"/>
              <w:rPr>
                <w:sz w:val="19"/>
                <w:szCs w:val="19"/>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19"/>
                <w:szCs w:val="19"/>
                <w:color w:val="auto"/>
              </w:rPr>
            </w:pPr>
          </w:p>
        </w:tc>
      </w:tr>
      <w:tr>
        <w:trPr>
          <w:trHeight w:val="234"/>
        </w:trPr>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(Unaudited)</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3"/>
              </w:rPr>
              <w:t>(Audited)</w:t>
            </w:r>
          </w:p>
        </w:tc>
        <w:tc>
          <w:tcPr>
            <w:tcW w:w="20" w:type="dxa"/>
            <w:vAlign w:val="bottom"/>
          </w:tcPr>
          <w:p>
            <w:pPr>
              <w:spacing w:after="0"/>
              <w:rPr>
                <w:sz w:val="20"/>
                <w:szCs w:val="20"/>
                <w:color w:val="auto"/>
              </w:rPr>
            </w:pPr>
          </w:p>
        </w:tc>
      </w:tr>
      <w:tr>
        <w:trPr>
          <w:trHeight w:val="627"/>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26,956,737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43,903,949</w:t>
            </w:r>
          </w:p>
        </w:tc>
      </w:tr>
      <w:tr>
        <w:trPr>
          <w:trHeight w:val="216"/>
        </w:trPr>
        <w:tc>
          <w:tcPr>
            <w:tcW w:w="1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2,367,145</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1,526,442</w:t>
            </w:r>
          </w:p>
        </w:tc>
        <w:tc>
          <w:tcPr>
            <w:tcW w:w="20" w:type="dxa"/>
            <w:vAlign w:val="bottom"/>
          </w:tcPr>
          <w:p>
            <w:pPr>
              <w:spacing w:after="0"/>
              <w:rPr>
                <w:sz w:val="18"/>
                <w:szCs w:val="18"/>
                <w:color w:val="auto"/>
              </w:rPr>
            </w:pPr>
          </w:p>
        </w:tc>
      </w:tr>
      <w:tr>
        <w:trPr>
          <w:trHeight w:val="230"/>
        </w:trPr>
        <w:tc>
          <w:tcPr>
            <w:tcW w:w="14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56,189</w:t>
            </w:r>
          </w:p>
        </w:tc>
      </w:tr>
      <w:tr>
        <w:trPr>
          <w:trHeight w:val="230"/>
        </w:trPr>
        <w:tc>
          <w:tcPr>
            <w:tcW w:w="14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1,000,000</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09"/>
        </w:trPr>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30,324,017</w:t>
            </w:r>
          </w:p>
        </w:tc>
        <w:tc>
          <w:tcPr>
            <w:tcW w:w="3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45,486,580</w:t>
            </w:r>
          </w:p>
        </w:tc>
        <w:tc>
          <w:tcPr>
            <w:tcW w:w="20" w:type="dxa"/>
            <w:vAlign w:val="bottom"/>
          </w:tcPr>
          <w:p>
            <w:pPr>
              <w:spacing w:after="0"/>
              <w:rPr>
                <w:sz w:val="18"/>
                <w:szCs w:val="18"/>
                <w:color w:val="auto"/>
              </w:rPr>
            </w:pPr>
          </w:p>
        </w:tc>
      </w:tr>
      <w:tr>
        <w:trPr>
          <w:trHeight w:val="411"/>
        </w:trPr>
        <w:tc>
          <w:tcPr>
            <w:tcW w:w="140" w:type="dxa"/>
            <w:vAlign w:val="bottom"/>
          </w:tcPr>
          <w:p>
            <w:pPr>
              <w:spacing w:after="0"/>
              <w:rPr>
                <w:sz w:val="24"/>
                <w:szCs w:val="24"/>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2,629,628</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417,528</w:t>
            </w:r>
          </w:p>
        </w:tc>
        <w:tc>
          <w:tcPr>
            <w:tcW w:w="20" w:type="dxa"/>
            <w:vAlign w:val="bottom"/>
          </w:tcPr>
          <w:p>
            <w:pPr>
              <w:spacing w:after="0"/>
              <w:rPr>
                <w:sz w:val="24"/>
                <w:szCs w:val="24"/>
                <w:color w:val="auto"/>
              </w:rPr>
            </w:pPr>
          </w:p>
        </w:tc>
      </w:tr>
      <w:tr>
        <w:trPr>
          <w:trHeight w:val="229"/>
        </w:trPr>
        <w:tc>
          <w:tcPr>
            <w:tcW w:w="14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4,557,581</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14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11,059,962</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455,174</w:t>
            </w:r>
          </w:p>
        </w:tc>
        <w:tc>
          <w:tcPr>
            <w:tcW w:w="20" w:type="dxa"/>
            <w:vAlign w:val="bottom"/>
          </w:tcPr>
          <w:p>
            <w:pPr>
              <w:spacing w:after="0"/>
              <w:rPr>
                <w:sz w:val="20"/>
                <w:szCs w:val="20"/>
                <w:color w:val="auto"/>
              </w:rPr>
            </w:pPr>
          </w:p>
        </w:tc>
      </w:tr>
      <w:tr>
        <w:trPr>
          <w:trHeight w:val="210"/>
        </w:trPr>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18,247,171</w:t>
            </w:r>
          </w:p>
        </w:tc>
        <w:tc>
          <w:tcPr>
            <w:tcW w:w="3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872,702</w:t>
            </w:r>
          </w:p>
        </w:tc>
        <w:tc>
          <w:tcPr>
            <w:tcW w:w="20" w:type="dxa"/>
            <w:vAlign w:val="bottom"/>
          </w:tcPr>
          <w:p>
            <w:pPr>
              <w:spacing w:after="0"/>
              <w:rPr>
                <w:sz w:val="18"/>
                <w:szCs w:val="18"/>
                <w:color w:val="auto"/>
              </w:rPr>
            </w:pPr>
          </w:p>
        </w:tc>
      </w:tr>
      <w:tr>
        <w:trPr>
          <w:trHeight w:val="453"/>
        </w:trPr>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48,571,188</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46,359,282</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-4998085</wp:posOffset>
            </wp:positionH>
            <wp:positionV relativeFrom="paragraph">
              <wp:posOffset>-2022475</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-1739265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-1464945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-1182370</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-890905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-616585</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-325120</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-16510</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60" w:space="720"/>
            <w:col w:w="3360"/>
          </w:cols>
          <w:pgMar w:left="320" w:top="688" w:right="339" w:bottom="1440" w:gutter="0" w:footer="0" w:header="0"/>
        </w:sect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5,746,149</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1,757,680</w:t>
            </w:r>
          </w:p>
        </w:tc>
      </w:tr>
      <w:tr>
        <w:trPr>
          <w:trHeight w:val="216"/>
        </w:trPr>
        <w:tc>
          <w:tcPr>
            <w:tcW w:w="7720" w:type="dxa"/>
            <w:vAlign w:val="bottom"/>
          </w:tcPr>
          <w:p>
            <w:pPr>
              <w:ind w:left="260"/>
              <w:spacing w:after="0"/>
              <w:rPr>
                <w:sz w:val="20"/>
                <w:szCs w:val="20"/>
                <w:color w:val="auto"/>
              </w:rPr>
            </w:pPr>
            <w:r>
              <w:rPr>
                <w:rFonts w:ascii="Arial" w:cs="Arial" w:eastAsia="Arial" w:hAnsi="Arial"/>
                <w:sz w:val="18"/>
                <w:szCs w:val="18"/>
                <w:color w:val="auto"/>
              </w:rPr>
              <w:t>Lease liability</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278,333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204,132</w:t>
            </w:r>
          </w:p>
        </w:tc>
      </w:tr>
      <w:tr>
        <w:trPr>
          <w:trHeight w:val="229"/>
        </w:trPr>
        <w:tc>
          <w:tcPr>
            <w:tcW w:w="7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Warrant liability</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31,000</w:t>
            </w:r>
          </w:p>
        </w:tc>
      </w:tr>
      <w:tr>
        <w:trPr>
          <w:trHeight w:val="210"/>
        </w:trPr>
        <w:tc>
          <w:tcPr>
            <w:tcW w:w="77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6,024,482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1,992,812</w:t>
            </w:r>
          </w:p>
        </w:tc>
        <w:tc>
          <w:tcPr>
            <w:tcW w:w="100" w:type="dxa"/>
            <w:vAlign w:val="bottom"/>
            <w:tcBorders>
              <w:bottom w:val="single" w:sz="8" w:color="CCEEFF"/>
            </w:tcBorders>
          </w:tcPr>
          <w:p>
            <w:pPr>
              <w:spacing w:after="0"/>
              <w:rPr>
                <w:sz w:val="18"/>
                <w:szCs w:val="18"/>
                <w:color w:val="auto"/>
              </w:rPr>
            </w:pPr>
          </w:p>
        </w:tc>
      </w:tr>
      <w:tr>
        <w:trPr>
          <w:trHeight w:val="209"/>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Lease liability, net of current portion</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11,948,781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280,247</w:t>
            </w:r>
          </w:p>
        </w:tc>
      </w:tr>
      <w:tr>
        <w:trPr>
          <w:trHeight w:val="210"/>
        </w:trPr>
        <w:tc>
          <w:tcPr>
            <w:tcW w:w="772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non-current liabilities</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11,948,781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17,973,263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2,273,059</w:t>
            </w:r>
          </w:p>
        </w:tc>
      </w:tr>
      <w:tr>
        <w:trPr>
          <w:trHeight w:val="210"/>
        </w:trPr>
        <w:tc>
          <w:tcPr>
            <w:tcW w:w="7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7720" w:type="dxa"/>
            <w:vAlign w:val="bottom"/>
          </w:tcPr>
          <w:p>
            <w:pPr>
              <w:ind w:left="260"/>
              <w:spacing w:after="0" w:line="201" w:lineRule="exact"/>
              <w:rPr>
                <w:sz w:val="20"/>
                <w:szCs w:val="20"/>
                <w:color w:val="auto"/>
              </w:rPr>
            </w:pPr>
            <w:r>
              <w:rPr>
                <w:rFonts w:ascii="Arial" w:cs="Arial" w:eastAsia="Arial" w:hAnsi="Arial"/>
                <w:sz w:val="18"/>
                <w:szCs w:val="18"/>
                <w:color w:val="auto"/>
                <w:w w:val="91"/>
              </w:rPr>
              <w:t>Preferred stock - $0.001 par value, 5 million shares authorized and 0 shares issued and outstanding at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September 30, 2020 and December 31, 2019, respectively</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72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93"/>
              </w:rPr>
              <w:t>Common stock, $0.001 par value, 150 million shares authorized, 48.0 million and 45.7 million shares</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issued and outstanding as of September 30, 2020 and December 31, 2019, respectively</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48,025</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45,728</w:t>
            </w:r>
          </w:p>
        </w:tc>
      </w:tr>
      <w:tr>
        <w:trPr>
          <w:trHeight w:val="216"/>
        </w:trPr>
        <w:tc>
          <w:tcPr>
            <w:tcW w:w="77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378,282,157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371,573,909</w:t>
            </w:r>
          </w:p>
        </w:tc>
      </w:tr>
      <w:tr>
        <w:trPr>
          <w:trHeight w:val="230"/>
        </w:trPr>
        <w:tc>
          <w:tcPr>
            <w:tcW w:w="7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(347,732,257)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(327,533,414)</w:t>
            </w:r>
          </w:p>
        </w:tc>
      </w:tr>
      <w:tr>
        <w:trPr>
          <w:trHeight w:val="209"/>
        </w:trPr>
        <w:tc>
          <w:tcPr>
            <w:tcW w:w="7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30,597,925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44,086,223</w:t>
            </w:r>
          </w:p>
        </w:tc>
        <w:tc>
          <w:tcPr>
            <w:tcW w:w="100" w:type="dxa"/>
            <w:vAlign w:val="bottom"/>
            <w:tcBorders>
              <w:bottom w:val="single" w:sz="8" w:color="CCEEFF"/>
            </w:tcBorders>
          </w:tcPr>
          <w:p>
            <w:pPr>
              <w:spacing w:after="0"/>
              <w:rPr>
                <w:sz w:val="18"/>
                <w:szCs w:val="18"/>
                <w:color w:val="auto"/>
              </w:rPr>
            </w:pPr>
          </w:p>
        </w:tc>
      </w:tr>
      <w:tr>
        <w:trPr>
          <w:trHeight w:val="210"/>
        </w:trPr>
        <w:tc>
          <w:tcPr>
            <w:tcW w:w="7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772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48,571,188</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46,359,282</w:t>
            </w:r>
          </w:p>
        </w:tc>
      </w:tr>
      <w:tr>
        <w:trPr>
          <w:trHeight w:val="20"/>
        </w:trPr>
        <w:tc>
          <w:tcPr>
            <w:tcW w:w="7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7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240"/>
          </w:cols>
          <w:pgMar w:left="320" w:top="688"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60" w:type="dxa"/>
            <w:vAlign w:val="bottom"/>
            <w:gridSpan w:val="7"/>
          </w:tcPr>
          <w:p>
            <w:pPr>
              <w:jc w:val="right"/>
              <w:ind w:right="281"/>
              <w:spacing w:after="0"/>
              <w:rPr>
                <w:sz w:val="20"/>
                <w:szCs w:val="20"/>
                <w:color w:val="auto"/>
              </w:rPr>
            </w:pPr>
            <w:r>
              <w:rPr>
                <w:rFonts w:ascii="Arial" w:cs="Arial" w:eastAsia="Arial" w:hAnsi="Arial"/>
                <w:sz w:val="18"/>
                <w:szCs w:val="18"/>
                <w:b w:val="1"/>
                <w:bCs w:val="1"/>
                <w:color w:val="auto"/>
                <w:w w:val="93"/>
              </w:rPr>
              <w:t>For the Three Months Ended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gridSpan w:val="7"/>
          </w:tcPr>
          <w:p>
            <w:pPr>
              <w:jc w:val="right"/>
              <w:ind w:right="281"/>
              <w:spacing w:after="0"/>
              <w:rPr>
                <w:sz w:val="20"/>
                <w:szCs w:val="20"/>
                <w:color w:val="auto"/>
              </w:rPr>
            </w:pPr>
            <w:r>
              <w:rPr>
                <w:rFonts w:ascii="Arial" w:cs="Arial" w:eastAsia="Arial" w:hAnsi="Arial"/>
                <w:sz w:val="18"/>
                <w:szCs w:val="18"/>
                <w:b w:val="1"/>
                <w:bCs w:val="1"/>
                <w:color w:val="auto"/>
                <w:w w:val="98"/>
              </w:rPr>
              <w:t>For the Nine Months Ended</w:t>
            </w: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gridSpan w:val="7"/>
          </w:tcPr>
          <w:p>
            <w:pPr>
              <w:jc w:val="right"/>
              <w:ind w:right="841"/>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gridSpan w:val="7"/>
          </w:tcPr>
          <w:p>
            <w:pPr>
              <w:jc w:val="right"/>
              <w:ind w:right="821"/>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60"/>
              <w:spacing w:after="0"/>
              <w:rPr>
                <w:sz w:val="20"/>
                <w:szCs w:val="20"/>
                <w:color w:val="auto"/>
              </w:rPr>
            </w:pPr>
            <w:r>
              <w:rPr>
                <w:rFonts w:ascii="Arial" w:cs="Arial" w:eastAsia="Arial" w:hAnsi="Arial"/>
                <w:sz w:val="18"/>
                <w:szCs w:val="18"/>
                <w:color w:val="auto"/>
              </w:rPr>
              <w:t>Grant income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1"/>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466,785</w:t>
            </w:r>
          </w:p>
        </w:tc>
        <w:tc>
          <w:tcPr>
            <w:tcW w:w="160" w:type="dxa"/>
            <w:vAlign w:val="bottom"/>
          </w:tcPr>
          <w:p>
            <w:pPr>
              <w:spacing w:after="0"/>
              <w:rPr>
                <w:sz w:val="19"/>
                <w:szCs w:val="19"/>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466,785</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4,803,605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3,118,530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12,897,275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9,103,670</w:t>
            </w:r>
          </w:p>
        </w:tc>
        <w:tc>
          <w:tcPr>
            <w:tcW w:w="0" w:type="dxa"/>
            <w:vAlign w:val="bottom"/>
          </w:tcPr>
          <w:p>
            <w:pPr>
              <w:spacing w:after="0"/>
              <w:rPr>
                <w:sz w:val="1"/>
                <w:szCs w:val="1"/>
                <w:color w:val="auto"/>
              </w:rPr>
            </w:pPr>
          </w:p>
        </w:tc>
      </w:tr>
      <w:tr>
        <w:trPr>
          <w:trHeight w:val="229"/>
        </w:trPr>
        <w:tc>
          <w:tcPr>
            <w:tcW w:w="530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2,572,562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jc w:val="right"/>
              <w:ind w:right="41"/>
              <w:spacing w:after="0"/>
              <w:rPr>
                <w:sz w:val="20"/>
                <w:szCs w:val="20"/>
                <w:color w:val="auto"/>
              </w:rPr>
            </w:pPr>
            <w:r>
              <w:rPr>
                <w:rFonts w:ascii="Arial" w:cs="Arial" w:eastAsia="Arial" w:hAnsi="Arial"/>
                <w:sz w:val="18"/>
                <w:szCs w:val="18"/>
                <w:color w:val="auto"/>
              </w:rPr>
              <w:t>2,536,204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7,946,846</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8,063,099</w:t>
            </w: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7,376,167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5,654,734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20,844,121</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17,166,769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(7,376,167)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(5,654,734)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(20,377,336)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(17,166,769)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60"/>
              <w:spacing w:after="0"/>
              <w:rPr>
                <w:sz w:val="20"/>
                <w:szCs w:val="20"/>
                <w:color w:val="auto"/>
              </w:rPr>
            </w:pPr>
            <w:r>
              <w:rPr>
                <w:rFonts w:ascii="Arial" w:cs="Arial" w:eastAsia="Arial" w:hAnsi="Arial"/>
                <w:sz w:val="18"/>
                <w:szCs w:val="18"/>
                <w:color w:val="auto"/>
              </w:rPr>
              <w:t>Change in fair value of warrant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(64,000)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31,000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4,667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259,248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147,493</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897,967</w:t>
            </w:r>
          </w:p>
        </w:tc>
        <w:tc>
          <w:tcPr>
            <w:tcW w:w="0" w:type="dxa"/>
            <w:vAlign w:val="bottom"/>
          </w:tcPr>
          <w:p>
            <w:pPr>
              <w:spacing w:after="0"/>
              <w:rPr>
                <w:sz w:val="1"/>
                <w:szCs w:val="1"/>
                <w:color w:val="auto"/>
              </w:rPr>
            </w:pPr>
          </w:p>
        </w:tc>
      </w:tr>
      <w:tr>
        <w:trPr>
          <w:trHeight w:val="263"/>
        </w:trPr>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(7,371,500</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(5,459,486</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(20,198,843</w:t>
            </w:r>
          </w:p>
        </w:tc>
        <w:tc>
          <w:tcPr>
            <w:tcW w:w="1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(16,348,802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7"/>
        </w:trPr>
        <w:tc>
          <w:tcPr>
            <w:tcW w:w="5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530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
              <w:spacing w:after="0"/>
              <w:rPr>
                <w:sz w:val="20"/>
                <w:szCs w:val="20"/>
                <w:color w:val="auto"/>
              </w:rPr>
            </w:pPr>
            <w:r>
              <w:rPr>
                <w:rFonts w:ascii="Arial" w:cs="Arial" w:eastAsia="Arial" w:hAnsi="Arial"/>
                <w:sz w:val="18"/>
                <w:szCs w:val="18"/>
                <w:color w:val="auto"/>
              </w:rPr>
              <w:t>(0.16)</w:t>
            </w:r>
          </w:p>
        </w:tc>
        <w:tc>
          <w:tcPr>
            <w:tcW w:w="3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(0.12)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0"/>
              <w:spacing w:after="0"/>
              <w:rPr>
                <w:sz w:val="20"/>
                <w:szCs w:val="20"/>
                <w:color w:val="auto"/>
              </w:rPr>
            </w:pPr>
            <w:r>
              <w:rPr>
                <w:rFonts w:ascii="Arial" w:cs="Arial" w:eastAsia="Arial" w:hAnsi="Arial"/>
                <w:sz w:val="18"/>
                <w:szCs w:val="18"/>
                <w:color w:val="auto"/>
              </w:rPr>
              <w:t>(0.43)</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196"/>
        </w:trPr>
        <w:tc>
          <w:tcPr>
            <w:tcW w:w="530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common shares outstanding</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46,867,119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45,655,387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46,509,391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45,541,434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Marker Therapeutics, Inc.</w:t>
            </w: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5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Cash Flows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9"/>
          </w:tcPr>
          <w:p>
            <w:pPr>
              <w:ind w:left="8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20"/>
              <w:spacing w:after="0"/>
              <w:rPr>
                <w:sz w:val="20"/>
                <w:szCs w:val="20"/>
                <w:color w:val="auto"/>
              </w:rPr>
            </w:pPr>
            <w:r>
              <w:rPr>
                <w:rFonts w:ascii="Arial" w:cs="Arial" w:eastAsia="Arial" w:hAnsi="Arial"/>
                <w:sz w:val="18"/>
                <w:szCs w:val="18"/>
                <w:b w:val="1"/>
                <w:bCs w:val="1"/>
                <w:color w:val="auto"/>
              </w:rPr>
              <w:t>Net loss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4"/>
          </w:tcPr>
          <w:p>
            <w:pPr>
              <w:jc w:val="right"/>
              <w:ind w:right="170"/>
              <w:spacing w:after="0"/>
              <w:rPr>
                <w:sz w:val="20"/>
                <w:szCs w:val="20"/>
                <w:color w:val="auto"/>
              </w:rPr>
            </w:pPr>
            <w:r>
              <w:rPr>
                <w:rFonts w:ascii="Arial" w:cs="Arial" w:eastAsia="Arial" w:hAnsi="Arial"/>
                <w:sz w:val="18"/>
                <w:szCs w:val="18"/>
                <w:color w:val="auto"/>
              </w:rPr>
              <w:t>(20,198,843)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(16,348,802)</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91"/>
              </w:rPr>
              <w:t>Reconciliation of net loss to net cash used in operating activities: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30"/>
              <w:spacing w:after="0"/>
              <w:rPr>
                <w:sz w:val="20"/>
                <w:szCs w:val="20"/>
                <w:color w:val="auto"/>
              </w:rPr>
            </w:pPr>
            <w:r>
              <w:rPr>
                <w:rFonts w:ascii="Arial" w:cs="Arial" w:eastAsia="Arial" w:hAnsi="Arial"/>
                <w:sz w:val="18"/>
                <w:szCs w:val="18"/>
                <w:color w:val="auto"/>
              </w:rPr>
              <w:t>272,725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70,908</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Changes in fair value of warrant liabilities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(31,000)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530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30"/>
              <w:spacing w:after="0"/>
              <w:rPr>
                <w:sz w:val="20"/>
                <w:szCs w:val="20"/>
                <w:color w:val="auto"/>
              </w:rPr>
            </w:pPr>
            <w:r>
              <w:rPr>
                <w:rFonts w:ascii="Arial" w:cs="Arial" w:eastAsia="Arial" w:hAnsi="Arial"/>
                <w:sz w:val="18"/>
                <w:szCs w:val="18"/>
                <w:color w:val="auto"/>
                <w:w w:val="97"/>
              </w:rPr>
              <w:t>3,974,536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4,073,505</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Amortization on right-of-use assets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337,530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134,919</w:t>
            </w:r>
          </w:p>
        </w:tc>
        <w:tc>
          <w:tcPr>
            <w:tcW w:w="0" w:type="dxa"/>
            <w:vAlign w:val="bottom"/>
          </w:tcPr>
          <w:p>
            <w:pPr>
              <w:spacing w:after="0"/>
              <w:rPr>
                <w:sz w:val="1"/>
                <w:szCs w:val="1"/>
                <w:color w:val="auto"/>
              </w:rPr>
            </w:pPr>
          </w:p>
        </w:tc>
      </w:tr>
      <w:tr>
        <w:trPr>
          <w:trHeight w:val="216"/>
        </w:trPr>
        <w:tc>
          <w:tcPr>
            <w:tcW w:w="5300" w:type="dxa"/>
            <w:vAlign w:val="bottom"/>
          </w:tcPr>
          <w:p>
            <w:pPr>
              <w:ind w:left="260"/>
              <w:spacing w:after="0"/>
              <w:rPr>
                <w:sz w:val="20"/>
                <w:szCs w:val="20"/>
                <w:color w:val="auto"/>
              </w:rPr>
            </w:pPr>
            <w:r>
              <w:rPr>
                <w:rFonts w:ascii="Arial" w:cs="Arial" w:eastAsia="Arial" w:hAnsi="Arial"/>
                <w:sz w:val="18"/>
                <w:szCs w:val="18"/>
                <w:b w:val="1"/>
                <w:bCs w:val="1"/>
                <w:color w:val="auto"/>
              </w:rPr>
              <w:t>Changes in operating assets and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Prepaid expenses and deposits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(840,703)</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(1,764,345)</w:t>
            </w:r>
          </w:p>
        </w:tc>
        <w:tc>
          <w:tcPr>
            <w:tcW w:w="0" w:type="dxa"/>
            <w:vAlign w:val="bottom"/>
          </w:tcPr>
          <w:p>
            <w:pPr>
              <w:spacing w:after="0"/>
              <w:rPr>
                <w:sz w:val="1"/>
                <w:szCs w:val="1"/>
                <w:color w:val="auto"/>
              </w:rPr>
            </w:pPr>
          </w:p>
        </w:tc>
      </w:tr>
      <w:tr>
        <w:trPr>
          <w:trHeight w:val="216"/>
        </w:trPr>
        <w:tc>
          <w:tcPr>
            <w:tcW w:w="5300" w:type="dxa"/>
            <w:vAlign w:val="bottom"/>
          </w:tcPr>
          <w:p>
            <w:pPr>
              <w:ind w:left="380"/>
              <w:spacing w:after="0"/>
              <w:rPr>
                <w:sz w:val="20"/>
                <w:szCs w:val="20"/>
                <w:color w:val="auto"/>
              </w:rPr>
            </w:pPr>
            <w:r>
              <w:rPr>
                <w:rFonts w:ascii="Arial" w:cs="Arial" w:eastAsia="Arial" w:hAnsi="Arial"/>
                <w:sz w:val="18"/>
                <w:szCs w:val="18"/>
                <w:color w:val="auto"/>
              </w:rPr>
              <w:t>Interest receivable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30"/>
              <w:spacing w:after="0"/>
              <w:rPr>
                <w:sz w:val="20"/>
                <w:szCs w:val="20"/>
                <w:color w:val="auto"/>
              </w:rPr>
            </w:pPr>
            <w:r>
              <w:rPr>
                <w:rFonts w:ascii="Arial" w:cs="Arial" w:eastAsia="Arial" w:hAnsi="Arial"/>
                <w:sz w:val="18"/>
                <w:szCs w:val="18"/>
                <w:color w:val="auto"/>
              </w:rPr>
              <w:t>56,054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30,032</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7"/>
              </w:rPr>
              <w:t>3,955,609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137,161</w:t>
            </w:r>
          </w:p>
        </w:tc>
        <w:tc>
          <w:tcPr>
            <w:tcW w:w="0" w:type="dxa"/>
            <w:vAlign w:val="bottom"/>
          </w:tcPr>
          <w:p>
            <w:pPr>
              <w:spacing w:after="0"/>
              <w:rPr>
                <w:sz w:val="1"/>
                <w:szCs w:val="1"/>
                <w:color w:val="auto"/>
              </w:rPr>
            </w:pPr>
          </w:p>
        </w:tc>
      </w:tr>
      <w:tr>
        <w:trPr>
          <w:trHeight w:val="230"/>
        </w:trPr>
        <w:tc>
          <w:tcPr>
            <w:tcW w:w="5300" w:type="dxa"/>
            <w:vAlign w:val="bottom"/>
          </w:tcPr>
          <w:p>
            <w:pPr>
              <w:ind w:left="380"/>
              <w:spacing w:after="0"/>
              <w:rPr>
                <w:sz w:val="20"/>
                <w:szCs w:val="20"/>
                <w:color w:val="auto"/>
              </w:rPr>
            </w:pPr>
            <w:r>
              <w:rPr>
                <w:rFonts w:ascii="Arial" w:cs="Arial" w:eastAsia="Arial" w:hAnsi="Arial"/>
                <w:sz w:val="18"/>
                <w:szCs w:val="18"/>
                <w:color w:val="auto"/>
              </w:rPr>
              <w:t>Lease liability</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70"/>
              <w:spacing w:after="0"/>
              <w:rPr>
                <w:sz w:val="20"/>
                <w:szCs w:val="20"/>
                <w:color w:val="auto"/>
              </w:rPr>
            </w:pPr>
            <w:r>
              <w:rPr>
                <w:rFonts w:ascii="Arial" w:cs="Arial" w:eastAsia="Arial" w:hAnsi="Arial"/>
                <w:sz w:val="18"/>
                <w:szCs w:val="18"/>
                <w:color w:val="auto"/>
              </w:rPr>
              <w:t>(166,723)</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(136,812)</w:t>
            </w:r>
          </w:p>
        </w:tc>
        <w:tc>
          <w:tcPr>
            <w:tcW w:w="0" w:type="dxa"/>
            <w:vAlign w:val="bottom"/>
          </w:tcPr>
          <w:p>
            <w:pPr>
              <w:spacing w:after="0"/>
              <w:rPr>
                <w:sz w:val="1"/>
                <w:szCs w:val="1"/>
                <w:color w:val="auto"/>
              </w:rPr>
            </w:pPr>
          </w:p>
        </w:tc>
      </w:tr>
      <w:tr>
        <w:trPr>
          <w:trHeight w:val="209"/>
        </w:trPr>
        <w:tc>
          <w:tcPr>
            <w:tcW w:w="530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(12,640,815</w:t>
            </w:r>
          </w:p>
        </w:tc>
        <w:tc>
          <w:tcPr>
            <w:tcW w:w="340" w:type="dxa"/>
            <w:vAlign w:val="bottom"/>
            <w:tcBorders>
              <w:top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(13,723,434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Purchase of property and equipment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1"/>
              </w:rPr>
              <w:t>(2,484,825)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(362,121)</w:t>
            </w:r>
          </w:p>
        </w:tc>
        <w:tc>
          <w:tcPr>
            <w:tcW w:w="0" w:type="dxa"/>
            <w:vAlign w:val="bottom"/>
          </w:tcPr>
          <w:p>
            <w:pPr>
              <w:spacing w:after="0"/>
              <w:rPr>
                <w:sz w:val="1"/>
                <w:szCs w:val="1"/>
                <w:color w:val="auto"/>
              </w:rPr>
            </w:pPr>
          </w:p>
        </w:tc>
      </w:tr>
      <w:tr>
        <w:trPr>
          <w:trHeight w:val="230"/>
        </w:trPr>
        <w:tc>
          <w:tcPr>
            <w:tcW w:w="5300" w:type="dxa"/>
            <w:vAlign w:val="bottom"/>
          </w:tcPr>
          <w:p>
            <w:pPr>
              <w:ind w:left="260"/>
              <w:spacing w:after="0"/>
              <w:rPr>
                <w:sz w:val="20"/>
                <w:szCs w:val="20"/>
                <w:color w:val="auto"/>
              </w:rPr>
            </w:pPr>
            <w:r>
              <w:rPr>
                <w:rFonts w:ascii="Arial" w:cs="Arial" w:eastAsia="Arial" w:hAnsi="Arial"/>
                <w:sz w:val="18"/>
                <w:szCs w:val="18"/>
                <w:color w:val="auto"/>
              </w:rPr>
              <w:t>Purchase of construction in progress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70"/>
              <w:spacing w:after="0"/>
              <w:rPr>
                <w:sz w:val="20"/>
                <w:szCs w:val="20"/>
                <w:color w:val="auto"/>
              </w:rPr>
            </w:pPr>
            <w:r>
              <w:rPr>
                <w:rFonts w:ascii="Arial" w:cs="Arial" w:eastAsia="Arial" w:hAnsi="Arial"/>
                <w:sz w:val="18"/>
                <w:szCs w:val="18"/>
                <w:color w:val="auto"/>
                <w:w w:val="91"/>
              </w:rPr>
              <w:t>(4,557,581)</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(7,042,406</w:t>
            </w:r>
          </w:p>
        </w:tc>
        <w:tc>
          <w:tcPr>
            <w:tcW w:w="340" w:type="dxa"/>
            <w:vAlign w:val="bottom"/>
            <w:tcBorders>
              <w:top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(362,121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53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Proceeds from issuance of common stock</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7"/>
              </w:rPr>
              <w:t>2,186,009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57,744</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Proceeds from exercise of warrants</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550,000</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758,733</w:t>
            </w:r>
          </w:p>
        </w:tc>
        <w:tc>
          <w:tcPr>
            <w:tcW w:w="0" w:type="dxa"/>
            <w:vAlign w:val="bottom"/>
          </w:tcPr>
          <w:p>
            <w:pPr>
              <w:spacing w:after="0"/>
              <w:rPr>
                <w:sz w:val="1"/>
                <w:szCs w:val="1"/>
                <w:color w:val="auto"/>
              </w:rPr>
            </w:pPr>
          </w:p>
        </w:tc>
      </w:tr>
      <w:tr>
        <w:trPr>
          <w:trHeight w:val="210"/>
        </w:trPr>
        <w:tc>
          <w:tcPr>
            <w:tcW w:w="53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2,736,009</w:t>
            </w:r>
          </w:p>
        </w:tc>
        <w:tc>
          <w:tcPr>
            <w:tcW w:w="3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816,477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(16,947,212)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(13,269,078)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230"/>
              <w:spacing w:after="0"/>
              <w:rPr>
                <w:sz w:val="20"/>
                <w:szCs w:val="20"/>
                <w:color w:val="auto"/>
              </w:rPr>
            </w:pPr>
            <w:r>
              <w:rPr>
                <w:rFonts w:ascii="Arial" w:cs="Arial" w:eastAsia="Arial" w:hAnsi="Arial"/>
                <w:sz w:val="18"/>
                <w:szCs w:val="18"/>
                <w:color w:val="auto"/>
              </w:rPr>
              <w:t>43,903,949</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61,746,748</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the period</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26,956,737</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48,477,670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ectPr>
          <w:pgSz w:w="11900" w:h="16838" w:orient="portrait"/>
          <w:cols w:equalWidth="0" w:num="1">
            <w:col w:w="11240"/>
          </w:cols>
          <w:pgMar w:left="320" w:top="71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 Korb</w:t>
      </w:r>
    </w:p>
    <w:p>
      <w:pPr>
        <w:spacing w:after="0" w:line="9" w:lineRule="exact"/>
        <w:rPr>
          <w:sz w:val="20"/>
          <w:szCs w:val="20"/>
          <w:color w:val="auto"/>
        </w:rPr>
      </w:pPr>
    </w:p>
    <w:p>
      <w:pPr>
        <w:ind w:right="9340" w:firstLine="8"/>
        <w:spacing w:after="0" w:line="323" w:lineRule="auto"/>
        <w:tabs>
          <w:tab w:leader="none" w:pos="435" w:val="left"/>
        </w:tabs>
        <w:numPr>
          <w:ilvl w:val="0"/>
          <w:numId w:val="4"/>
        </w:numPr>
        <w:rPr>
          <w:rFonts w:ascii="Arial" w:cs="Arial" w:eastAsia="Arial" w:hAnsi="Arial"/>
          <w:sz w:val="16"/>
          <w:szCs w:val="16"/>
          <w:color w:val="auto"/>
        </w:rPr>
      </w:pPr>
      <w:r>
        <w:rPr>
          <w:rFonts w:ascii="Arial" w:cs="Arial" w:eastAsia="Arial" w:hAnsi="Arial"/>
          <w:sz w:val="16"/>
          <w:szCs w:val="16"/>
          <w:color w:val="auto"/>
        </w:rPr>
        <w:t>378-2923 bkorb@soleburytrout.com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Amy Bonanno</w:t>
      </w:r>
    </w:p>
    <w:p>
      <w:pPr>
        <w:spacing w:after="0" w:line="9" w:lineRule="exact"/>
        <w:rPr>
          <w:sz w:val="20"/>
          <w:szCs w:val="20"/>
          <w:color w:val="auto"/>
        </w:rPr>
      </w:pPr>
    </w:p>
    <w:p>
      <w:pPr>
        <w:ind w:right="9060" w:firstLine="8"/>
        <w:spacing w:after="0" w:line="323" w:lineRule="auto"/>
        <w:tabs>
          <w:tab w:leader="none" w:pos="435" w:val="left"/>
        </w:tabs>
        <w:numPr>
          <w:ilvl w:val="0"/>
          <w:numId w:val="5"/>
        </w:numPr>
        <w:rPr>
          <w:rFonts w:ascii="Arial" w:cs="Arial" w:eastAsia="Arial" w:hAnsi="Arial"/>
          <w:sz w:val="16"/>
          <w:szCs w:val="16"/>
          <w:color w:val="auto"/>
        </w:rPr>
      </w:pPr>
      <w:r>
        <w:rPr>
          <w:rFonts w:ascii="Arial" w:cs="Arial" w:eastAsia="Arial" w:hAnsi="Arial"/>
          <w:sz w:val="16"/>
          <w:szCs w:val="16"/>
          <w:color w:val="auto"/>
        </w:rPr>
        <w:t>450-0349 abonanno@soleburytrout.com</w:t>
      </w:r>
    </w:p>
    <w:p>
      <w:pPr>
        <w:spacing w:after="0" w:line="3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646"/>
    </w:lvl>
  </w:abstractNum>
  <w:abstractNum w:abstractNumId="4">
    <w:nsid w:val="46E87CCD"/>
    <w:multiLevelType w:val="hybridMultilevel"/>
    <w:lvl w:ilvl="0">
      <w:lvlJc w:val="left"/>
      <w:lvlText w:val="(%1)"/>
      <w:numFmt w:val="decimal"/>
      <w:start w:val="91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2020-11-09T15:47:42Z</dcterms:created>
  <dcterms:modified xsi:type="dcterms:W3CDTF">2020-11-09T15:47:42Z</dcterms:modified>
</cp:coreProperties>
</file>