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23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SEC Form 5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65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to Section 16. Form 4 or Form 5</w:t>
            </w: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restart"/>
          </w:tcPr>
          <w:p>
            <w:pPr>
              <w:jc w:val="center"/>
              <w:ind w:right="367"/>
              <w:spacing w:after="0" w:line="2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ANNUAL STATEMENT OF CHANGES IN BENEFICIAL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2"/>
                <w:szCs w:val="12"/>
                <w:i w:val="1"/>
                <w:iCs w:val="1"/>
                <w:color w:val="auto"/>
              </w:rPr>
              <w:t>See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920" w:type="dxa"/>
            <w:vAlign w:val="bottom"/>
            <w:vMerge w:val="restart"/>
          </w:tcPr>
          <w:p>
            <w:pPr>
              <w:jc w:val="center"/>
              <w:ind w:left="6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4 Transactions Reported.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jc w:val="center"/>
              <w:ind w:left="625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or Section 30(h) of the Investment Company Act of 1940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</w:tcPr>
          <w:p>
            <w:pPr>
              <w:spacing w:after="0" w:line="2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6"/>
              </w:rPr>
            </w:pPr>
            <w:hyperlink r:id="rId8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6"/>
                </w:rPr>
                <w:t>Wasserman Frederick Gerald</w:t>
              </w:r>
            </w:hyperlink>
          </w:p>
        </w:tc>
        <w:tc>
          <w:tcPr>
            <w:tcW w:w="4920" w:type="dxa"/>
            <w:vAlign w:val="bottom"/>
          </w:tcPr>
          <w:p>
            <w:pPr>
              <w:ind w:left="112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Marker Therapeutics,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MRKR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6925310</wp:posOffset>
            </wp:positionH>
            <wp:positionV relativeFrom="paragraph">
              <wp:posOffset>-1313180</wp:posOffset>
            </wp:positionV>
            <wp:extent cx="8255" cy="627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5619115</wp:posOffset>
            </wp:positionH>
            <wp:positionV relativeFrom="paragraph">
              <wp:posOffset>-1321435</wp:posOffset>
            </wp:positionV>
            <wp:extent cx="8255" cy="636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6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5644515</wp:posOffset>
            </wp:positionH>
            <wp:positionV relativeFrom="paragraph">
              <wp:posOffset>-1296035</wp:posOffset>
            </wp:positionV>
            <wp:extent cx="1263650" cy="58547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650" cy="585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-1126490</wp:posOffset>
            </wp:positionV>
            <wp:extent cx="6963410" cy="2536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-1126490</wp:posOffset>
            </wp:positionV>
            <wp:extent cx="6963410" cy="25361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2536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</w:sectPr>
      </w:pPr>
    </w:p>
    <w:p>
      <w:pPr>
        <w:spacing w:after="0" w:line="241" w:lineRule="exact"/>
        <w:rPr>
          <w:sz w:val="20"/>
          <w:szCs w:val="20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120" w:right="70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3200 SOUTHWEST FREEWAY SUITE 2240</w:t>
      </w:r>
    </w:p>
    <w:p>
      <w:pPr>
        <w:spacing w:after="0" w:line="18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10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9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77027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6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3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12/31/2020</w:t>
            </w: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5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74930</wp:posOffset>
            </wp:positionV>
            <wp:extent cx="6963410" cy="1128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3410" cy="1128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 Securities Acquired (A) 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60" w:type="dxa"/>
            <w:vAlign w:val="bottom"/>
            <w:gridSpan w:val="5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05/19/2020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17,022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42,565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5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-1752600</wp:posOffset>
            </wp:positionV>
            <wp:extent cx="7031355" cy="17983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8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 w:right="60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the portion of the annual board retainer for each non-employee director payable in immediately vested common stock under the Company's 2014 Omnibus Stock Ownership Plan, as amended and based on the closing price of $2.35 per share, on the day immediately preceding the date of the Company's 2019 annual meeting.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Michael Loiacono,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Attorney-in-Fact</w:t>
            </w: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32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11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8" Type="http://schemas.openxmlformats.org/officeDocument/2006/relationships/hyperlink" Target="http://www.sec.gov/cgi-bin/browse-edgar?action=getcompany&amp;CIK=0001384383" TargetMode="External"/><Relationship Id="rId9" Type="http://schemas.openxmlformats.org/officeDocument/2006/relationships/hyperlink" Target="http://www.sec.gov/cgi-bin/browse-edgar?action=getcompany&amp;CIK=0001094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2021-02-12T16:24:54Z</dcterms:created>
  <dcterms:modified xsi:type="dcterms:W3CDTF">2021-02-12T16:24:54Z</dcterms:modified>
</cp:coreProperties>
</file>