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jc w:val="right"/>
        <w:ind w:right="359"/>
        <w:spacing w:after="0" w:line="219" w:lineRule="auto"/>
        <w:rPr>
          <w:sz w:val="20"/>
          <w:szCs w:val="20"/>
          <w:color w:val="auto"/>
        </w:rPr>
      </w:pPr>
      <w:r>
        <w:rPr>
          <w:rFonts w:ascii="Times New Roman" w:cs="Times New Roman" w:eastAsia="Times New Roman" w:hAnsi="Times New Roman"/>
          <w:sz w:val="18"/>
          <w:szCs w:val="18"/>
          <w:b w:val="1"/>
          <w:bCs w:val="1"/>
          <w:color w:val="auto"/>
        </w:rPr>
        <w:t> Registration No. 333-283512​</w:t>
      </w: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2326005</wp:posOffset>
            </wp:positionH>
            <wp:positionV relativeFrom="paragraph">
              <wp:posOffset>90170</wp:posOffset>
            </wp:positionV>
            <wp:extent cx="216027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Up to $11,431,731</w:t>
      </w:r>
    </w:p>
    <w:p>
      <w:pPr>
        <w:spacing w:after="0" w:line="1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94" w:lineRule="exact"/>
        <w:rPr>
          <w:sz w:val="24"/>
          <w:szCs w:val="24"/>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entered into an At The Market Offering Agreement, or the Sales Agreement, dated November 27, 2024, between us and H.C. Wainwright &amp; Co., LLC, or the Sales Agent relating to the sale of shares of our common stock having an aggregate offering price of up to $11,431,713 from time to time through our Sales Agent pursuant to this prospectus supplement and the accompanying prospectus.</w:t>
      </w:r>
    </w:p>
    <w:p>
      <w:pPr>
        <w:spacing w:after="0" w:line="69" w:lineRule="exact"/>
        <w:rPr>
          <w:sz w:val="24"/>
          <w:szCs w:val="24"/>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As of December 6, 2024, the aggregate market value of our outstanding common stock held by non-affiliates, or the public float, was approximately $34,295,194, which was calculated on 7,554,008 shares of our outstanding common stock held by non-affiliates and at a price of a price of $4.54 per share, the last reported sale price for our common stock on October 22, 2024. Pursuant to General Instruction I.B.6 of Form S-3, in no event will we sell our securities in a public primary offering with a value exceeding one-third of our public float in any 12-month period unless our public float subsequently rises to $75.0 million or more.</w:t>
      </w:r>
    </w:p>
    <w:p>
      <w:pPr>
        <w:spacing w:after="0" w:line="298" w:lineRule="exact"/>
        <w:rPr>
          <w:sz w:val="24"/>
          <w:szCs w:val="24"/>
          <w:color w:val="auto"/>
        </w:rPr>
      </w:pPr>
    </w:p>
    <w:p>
      <w:pPr>
        <w:ind w:left="1260" w:right="131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“MRKR.” On December 5, 2024, the last reported sale price of our common stock was $3.41 per share.</w:t>
      </w:r>
    </w:p>
    <w:p>
      <w:pPr>
        <w:spacing w:after="0" w:line="54" w:lineRule="exact"/>
        <w:rPr>
          <w:sz w:val="24"/>
          <w:szCs w:val="24"/>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Sales of shares of our common stock under this prospectus, if any, may be made by any method deemed to be an “at the market offering” as defined in Rule 415(a)(4) promulgated under the Securities Act of 1933, as amended, or the Securities Act, including, without limitation, sales made directly on The Nasdaq Capital Market or any other existing trading market for our common stock. The Sales Agent is not required to sell any specific number or dollar amount of shares of our common stock. The Sales Agent has agreed to use its commercially reasonable efforts consistent with its normal trading and sales practices to sell on our behalf all of the shares of common stock requested to be sold by us on mutually agreed terms between the Sales Agent and us. There is no arrangement for funds to be received in any escrow, trust or similar arrangement.</w:t>
      </w:r>
    </w:p>
    <w:p>
      <w:pPr>
        <w:spacing w:after="0" w:line="71" w:lineRule="exact"/>
        <w:rPr>
          <w:sz w:val="24"/>
          <w:szCs w:val="24"/>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Sales Agent will be entitled to compensation under the terms of the Sales Agreement at a commission rate equal to 3.0% of the gross sales price per share sold. The net proceeds from any sales under this sales agreement prospectus and the accompanying base prospectus will be used as described under the section entitled “Use of Proceeds.” See “Plan of Distribution” for additional information regarding compensation to be paid to the Sales Agent. The proceeds we receive from sales of our common stock, if any, will depend on the number of shares actually sold and the offering price of such shares.</w:t>
      </w:r>
    </w:p>
    <w:p>
      <w:pPr>
        <w:spacing w:after="0" w:line="72" w:lineRule="exact"/>
        <w:rPr>
          <w:sz w:val="24"/>
          <w:szCs w:val="24"/>
          <w:color w:val="auto"/>
        </w:rPr>
      </w:pPr>
    </w:p>
    <w:p>
      <w:pPr>
        <w:ind w:left="1260" w:right="67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sale of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with respect to certain liabilities, including liabilities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241935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1260" w:right="79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involves a high degree of risk. You should review carefully the risks and uncertainties described under the heading “Risk Factors” beginning on page </w:t>
      </w:r>
      <w:r>
        <w:rPr>
          <w:rFonts w:ascii="Times New Roman" w:cs="Times New Roman" w:eastAsia="Times New Roman" w:hAnsi="Times New Roman"/>
          <w:sz w:val="18"/>
          <w:szCs w:val="18"/>
          <w:b w:val="1"/>
          <w:bCs w:val="1"/>
          <w:i w:val="1"/>
          <w:iCs w:val="1"/>
          <w:u w:val="single" w:color="auto"/>
          <w:color w:val="0000EE"/>
        </w:rPr>
        <w:t>S-5</w:t>
      </w:r>
      <w:r>
        <w:rPr>
          <w:rFonts w:ascii="Times New Roman" w:cs="Times New Roman" w:eastAsia="Times New Roman" w:hAnsi="Times New Roman"/>
          <w:sz w:val="18"/>
          <w:szCs w:val="18"/>
          <w:b w:val="1"/>
          <w:bCs w:val="1"/>
          <w:i w:val="1"/>
          <w:iCs w:val="1"/>
          <w:color w:val="auto"/>
        </w:rPr>
        <w:t xml:space="preserve"> of this prospectus, and under similar headings in the other documents that are incorporated by reference into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101600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3" w:lineRule="exact"/>
        <w:rPr>
          <w:sz w:val="24"/>
          <w:szCs w:val="24"/>
          <w:color w:val="auto"/>
        </w:rPr>
      </w:pPr>
    </w:p>
    <w:p>
      <w:pPr>
        <w:jc w:val="both"/>
        <w:ind w:left="1260" w:right="5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198120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4"/>
          <w:szCs w:val="24"/>
          <w:color w:val="auto"/>
        </w:rPr>
      </w:pPr>
    </w:p>
    <w:p>
      <w:pPr>
        <w:spacing w:after="0" w:line="36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color w:val="auto"/>
        </w:rPr>
        <w:t>The date of this prospectus is December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THE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right="146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99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20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right="146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99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9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part of a registration statement on Form S-3 that we have filed with the Securities and Exchange Commission, or SEC, utilizing a “shelf” registration process. Under this shelf registration process, we may sell any combination of the securities described in our base prospectus included in the shelf registration statement in one or more offerings up to a total aggregate offering price of $300,000,000. The $11,431,731 of common stock that may be offered, issued and sold under this prospectus is included in the $300,000,000 of securities that may be offered, issued and sold by us pursuant to our shelf registration statement. In connection with such offers and when accompanied by the base prospectus included in the registration statement of which this prospectus forms a part, this prospectus will be deemed a prospectus supplement to such base prospectus.</w:t>
      </w:r>
    </w:p>
    <w:p>
      <w:pPr>
        <w:spacing w:after="0" w:line="34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in any free writing prospectus that we have authorized for use in connection with this offering. We have not, and the Sales Agent has not, authorized anyone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spacing w:after="0" w:line="34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This following summary highlights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under the heading “Risk Factors” in this prospectus on page S-5 and in the documents incorporated by reference into this prospectus.</w:t>
      </w:r>
    </w:p>
    <w:p>
      <w:pPr>
        <w:spacing w:after="0" w:line="340" w:lineRule="exact"/>
        <w:rPr>
          <w:sz w:val="20"/>
          <w:szCs w:val="20"/>
          <w:color w:val="auto"/>
        </w:rPr>
      </w:pPr>
    </w:p>
    <w:p>
      <w:pPr>
        <w:ind w:left="1280" w:right="479" w:firstLine="360"/>
        <w:spacing w:after="0"/>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spacing w:after="0" w:line="120" w:lineRule="exact"/>
        <w:rPr>
          <w:sz w:val="20"/>
          <w:szCs w:val="20"/>
          <w:color w:val="auto"/>
        </w:rPr>
      </w:pPr>
    </w:p>
    <w:p>
      <w:pPr>
        <w:ind w:left="1280" w:right="65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multiTAA-specific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 cell program for:</w:t>
      </w:r>
    </w:p>
    <w:p>
      <w:pPr>
        <w:spacing w:after="0" w:line="99" w:lineRule="exact"/>
        <w:rPr>
          <w:sz w:val="20"/>
          <w:szCs w:val="20"/>
          <w:color w:val="auto"/>
        </w:rPr>
      </w:pPr>
    </w:p>
    <w:p>
      <w:pPr>
        <w:ind w:left="1820" w:hanging="182"/>
        <w:spacing w:after="0"/>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multiTAA product for the treatment of lymphoma and pancreatic cancer (MT-601)</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158" w:lineRule="exact"/>
        <w:rPr>
          <w:sz w:val="20"/>
          <w:szCs w:val="20"/>
          <w:color w:val="auto"/>
        </w:rPr>
      </w:pPr>
    </w:p>
    <w:p>
      <w:pPr>
        <w:jc w:val="both"/>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We do not genetically engineer our multiTAA-specific T cell therapies and we believe that our product candidates are superior to T cells engineered with chimeric antigen receptors, or CAR-T, for several reasons including:</w:t>
      </w:r>
    </w:p>
    <w:p>
      <w:pPr>
        <w:spacing w:after="0" w:line="68" w:lineRule="exact"/>
        <w:rPr>
          <w:sz w:val="20"/>
          <w:szCs w:val="20"/>
          <w:color w:val="auto"/>
        </w:rPr>
      </w:pPr>
    </w:p>
    <w:p>
      <w:pPr>
        <w:ind w:left="1820" w:hanging="182"/>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 minimized tumor immune escape</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multiTAA-specific T cell therapies to date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9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95"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 specific T cell recognition of cancer targets. For example, we are assessing the potential of combining multiTAA-specific T cell products with other products.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61" w:lineRule="auto"/>
        <w:rPr>
          <w:sz w:val="20"/>
          <w:szCs w:val="20"/>
          <w:color w:val="auto"/>
        </w:rPr>
      </w:pPr>
      <w:r>
        <w:rPr>
          <w:rFonts w:ascii="Times New Roman" w:cs="Times New Roman" w:eastAsia="Times New Roman" w:hAnsi="Times New Roman"/>
          <w:sz w:val="18"/>
          <w:szCs w:val="18"/>
          <w:color w:val="auto"/>
        </w:rPr>
        <w:t xml:space="preserve">Suite BCM-A, MS: BCM251, Houston, Texas 77021,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9" w:lineRule="exact"/>
        <w:rPr>
          <w:sz w:val="20"/>
          <w:szCs w:val="20"/>
          <w:color w:val="auto"/>
        </w:rPr>
      </w:pPr>
    </w:p>
    <w:p>
      <w:pPr>
        <w:jc w:val="both"/>
        <w:ind w:left="1820" w:right="399" w:hanging="182"/>
        <w:spacing w:after="0" w:line="26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345"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0" w:right="779"/>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$11,431,731.</w:t>
      </w:r>
    </w:p>
    <w:p>
      <w:pPr>
        <w:spacing w:after="0" w:line="270" w:lineRule="exact"/>
        <w:rPr>
          <w:sz w:val="20"/>
          <w:szCs w:val="20"/>
          <w:color w:val="auto"/>
        </w:rPr>
      </w:pPr>
    </w:p>
    <w:p>
      <w:pPr>
        <w:ind w:left="20" w:right="419"/>
        <w:spacing w:after="0" w:line="256" w:lineRule="auto"/>
        <w:rPr>
          <w:sz w:val="20"/>
          <w:szCs w:val="20"/>
          <w:color w:val="auto"/>
        </w:rPr>
      </w:pPr>
      <w:r>
        <w:rPr>
          <w:rFonts w:ascii="Times New Roman" w:cs="Times New Roman" w:eastAsia="Times New Roman" w:hAnsi="Times New Roman"/>
          <w:sz w:val="18"/>
          <w:szCs w:val="18"/>
          <w:color w:val="auto"/>
        </w:rPr>
        <w:t>Up to 12,275,904 shares, assuming sales of $11,431,731 shares of our common stock in this offering at an assumed offering price of $3.41 per share, the last reported sale price of our common stock on The Nasdaq Capital Market on December 5, 2024. The actual number of shares issued will vary depending on the sales price under this offering.</w:t>
      </w:r>
    </w:p>
    <w:p>
      <w:pPr>
        <w:spacing w:after="0" w:line="79" w:lineRule="exact"/>
        <w:rPr>
          <w:sz w:val="20"/>
          <w:szCs w:val="20"/>
          <w:color w:val="auto"/>
        </w:rPr>
      </w:pPr>
    </w:p>
    <w:p>
      <w:pPr>
        <w:ind w:left="20" w:right="539"/>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See “Plan of Distribution” on page S-16.</w:t>
      </w:r>
    </w:p>
    <w:p>
      <w:pPr>
        <w:spacing w:after="0" w:line="68" w:lineRule="exact"/>
        <w:rPr>
          <w:sz w:val="20"/>
          <w:szCs w:val="20"/>
          <w:color w:val="auto"/>
        </w:rPr>
      </w:pPr>
    </w:p>
    <w:p>
      <w:pPr>
        <w:ind w:left="20" w:right="399"/>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See “Use of Proceeds.”</w:t>
      </w:r>
    </w:p>
    <w:p>
      <w:pPr>
        <w:spacing w:after="0" w:line="80" w:lineRule="exact"/>
        <w:rPr>
          <w:sz w:val="20"/>
          <w:szCs w:val="20"/>
          <w:color w:val="auto"/>
        </w:rPr>
      </w:pPr>
    </w:p>
    <w:p>
      <w:pPr>
        <w:ind w:left="20" w:right="519"/>
        <w:spacing w:after="0" w:line="261"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and in the documents incorporated by reference herein for a discussion of factors to consider carefully before deciding to invest in shares of our common stock.</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“MRKR”</w:t>
      </w:r>
    </w:p>
    <w:p>
      <w:pPr>
        <w:spacing w:after="0" w:line="158" w:lineRule="exact"/>
        <w:rPr>
          <w:sz w:val="20"/>
          <w:szCs w:val="20"/>
          <w:color w:val="auto"/>
        </w:rPr>
      </w:pPr>
    </w:p>
    <w:p>
      <w:pPr>
        <w:sectPr>
          <w:pgSz w:w="11900" w:h="16838" w:orient="portrait"/>
          <w:cols w:equalWidth="0" w:num="2">
            <w:col w:w="4100" w:space="620"/>
            <w:col w:w="5159"/>
          </w:cols>
          <w:pgMar w:left="580" w:top="97" w:right="1440" w:bottom="1440" w:gutter="0" w:footer="0" w:header="0"/>
          <w:type w:val="continuous"/>
        </w:sectPr>
      </w:pPr>
    </w:p>
    <w:p>
      <w:pPr>
        <w:ind w:left="1280" w:right="85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8,923,490 shares of our common stock outstanding as of September 30, 2024, and excludes:</w:t>
      </w:r>
    </w:p>
    <w:p>
      <w:pPr>
        <w:spacing w:after="0" w:line="54" w:lineRule="exact"/>
        <w:rPr>
          <w:sz w:val="20"/>
          <w:szCs w:val="20"/>
          <w:color w:val="auto"/>
        </w:rPr>
      </w:pPr>
    </w:p>
    <w:p>
      <w:pPr>
        <w:ind w:left="1820" w:right="65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596,333 shares of our common stock issuable upon the exercise of stock options outstanding as of September 30, 2024, at a weighted-average exercise price of $ 22.80 per share;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1,227,421 shares of our common stock reserved for future issuance under our 2020 Equity Incentive Plan.</w:t>
      </w:r>
    </w:p>
    <w:p>
      <w:pPr>
        <w:spacing w:after="0" w:line="94" w:lineRule="exact"/>
        <w:rPr>
          <w:sz w:val="20"/>
          <w:szCs w:val="20"/>
          <w:color w:val="auto"/>
        </w:rPr>
      </w:pPr>
    </w:p>
    <w:p>
      <w:pPr>
        <w:jc w:val="both"/>
        <w:ind w:left="1280" w:right="53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and warrants described above, and reflects an assumed public offering price of $3.41 per share, the last reported sale price of our common stock on The Nasdaq Capital Market on December 5, 2024.</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and in our filings with the SEC that we have incorporated by reference into this prospectus. See the sections of this prospectus entitled “Where You Can Find More Information” and “Incorporation of Certain Information by Reference.”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32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and in our most recent Annual Report on Form 10-K, as revised or supplemented by our subsequent Quarterly Reports on Form 10-Q, are not the only risks and uncertainties we face. Additional risks and uncertainties not presently known to us or that we currently deem immaterial may also impair our business operations. If any of the risks described below or in our most recent Annual Report on Form 10-K, as revised or supplemented by our subsequent Quarterly Reports on Form 10-Q, actually occur, our business, financial condition and results of operations could suffer. As a result, the trading price of our stock could decline, perhaps significantly, and you could lose all or part of your investment. The risks discussed below and in most recent Annual Report on Form 10-K, as revised or supplemented by our subsequent Quarterly Reports on Form 10-Q, also include forward-looking statements and our actual results may differ substantially from those discussed in these forward-looking statements. See the section entitled “Special Note Regarding Forward-Looking Statements.”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Risks Related to This Offering</w:t>
      </w:r>
    </w:p>
    <w:p>
      <w:pPr>
        <w:spacing w:after="0" w:line="22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9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“Use of Proceeds.”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If you purchase shares of our common stock in this offering, you may suffer immediate dilution of your investment.</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of 3,352,414 shares of our common stock are sold at a price of $3.41 per share, the last reported sale price of our common stock on The Nasdaq Capital Market on December 5, 2024, for aggregate gross proceeds of $11,431,731, and after deducting commissions and estimated aggregate offering expenses payable by us, you would experience immediate dilution of $1.92 per share, representing the difference between our as adjusted net tangible book value per share as of September 30, 2024 after giving effect to this offering and the assumed offering price. See the section titled “Dilution” below for a more detailed illustration of the dilution you would incur if you participate in this offering. Because the sales of the shares offered hereby will be made in an at the market offering,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experience future dilution.</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w:t>
      </w: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shares of our common stock or related securities in future transactions is less than the price per share in this offering, investors who purchase our common stock in this offering will suffer dilution in their investment.</w:t>
      </w:r>
    </w:p>
    <w:p>
      <w:pPr>
        <w:spacing w:after="0" w:line="8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warrants exercisable for shares of our common stock outstanding. To the extent that outstanding stock options or warrants have been or may be exercised, investors purchasing our common stock in this offering may experience further dilution in the future. Furthermore, a significant portion of our total outstanding shares are eligible to be sold into the market, which could cause the market price of our common stock to drop significantly, even if our business is doing well.</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following this offering.</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76"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7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7"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6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 at any time throughout the term of the sales agreement. The number of shares that are sold through the sales agent after delivering a placement notice will fluctuate based on a number of factors, including the market price of the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w:t>
      </w:r>
    </w:p>
    <w:p>
      <w:pPr>
        <w:spacing w:after="0" w:line="175" w:lineRule="exact"/>
        <w:rPr>
          <w:sz w:val="20"/>
          <w:szCs w:val="20"/>
          <w:color w:val="auto"/>
        </w:rPr>
      </w:pPr>
    </w:p>
    <w:p>
      <w:pPr>
        <w:ind w:left="1260" w:right="7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 development stage company with a history of operating losses, and we expect losses to continue for the indefinite future. These factors raise substantial doubt regarding our ability to continue as a going concern.</w:t>
      </w:r>
    </w:p>
    <w:p>
      <w:pPr>
        <w:spacing w:after="0" w:line="6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10"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including from the COVID-19 pandemic. Weakness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volatility in the capital markets and the economy in general could also increase our costs of borrowing.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additional financing may not be available on favorable terms, or at all.</w:t>
      </w:r>
    </w:p>
    <w:p>
      <w:pPr>
        <w:spacing w:after="0" w:line="1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have sustained losses from operations in each fiscal year since our inception, and we expect losses to continue for the indefinite future due to the substantial investment in research and development. Based on the Company’s clinical and research and development plans and its timing expectations related to the progress of its programs, the Company anticipates that its cash and cash equivalents as of September 30, 2024, including drawdowns of available grant funds, will enable the Company to fund its operating expenses and capital expenditure requirements into October 2025.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These and other factors raise substantial doubt regarding our ability to continue as a going concern, which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 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1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69"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BCM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MultiTAA-specific T cell platform to develop future product candidates;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(including grant revenues),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some cases, you can identify forward -looking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 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contained in this prospectus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 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$11,431,731 from time to time. Because there is no minimum offering amount required as a condition of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offering, the actual total public offering amount, commissions and proceeds to us, if any, are not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determinable at this time. There can be no assurance that we will sell any shares under or fully utilize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Agreement as a source of financing.</w:t>
      </w:r>
    </w:p>
    <w:p>
      <w:pPr>
        <w:spacing w:after="0" w:line="13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to fund the research and development of our product candidates,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2024 was $7.5 million, or $0.83 per share of common stock. Historical net tangible book value per share represents the amount of our total tangible assets less total liabilities, divided by the 8,923,490 shares of our common stock outstanding on September 30, 2024.</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After giving effect to the issuance and sale of our common stock in the aggregate amount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$11,431,731 in this offering at an assumed offering price of $3.41 per share, the last reported sale price of</w:t>
      </w:r>
    </w:p>
    <w:p>
      <w:pPr>
        <w:ind w:left="1260"/>
        <w:spacing w:after="0"/>
        <w:rPr>
          <w:sz w:val="20"/>
          <w:szCs w:val="20"/>
          <w:color w:val="auto"/>
        </w:rPr>
      </w:pPr>
      <w:r>
        <w:rPr>
          <w:rFonts w:ascii="Times New Roman" w:cs="Times New Roman" w:eastAsia="Times New Roman" w:hAnsi="Times New Roman"/>
          <w:sz w:val="18"/>
          <w:szCs w:val="18"/>
          <w:color w:val="auto"/>
        </w:rPr>
        <w:t>our common stock on The Nasdaq Capital Market on December 5, 2024, and after deducting commissions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estimated aggregate offering expenses payable by us, our as adjusted net tangible book value as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September 30, 2024 would have been approximately $18.2 million, or $1.49 per share. This represents an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 increase of $0.65 in the as adjusted net tangible book value per share to existing stockholders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immediate dilution of $1.92 in the as adjusted net tangible book value per share to new investors purchasing</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common stock in this offering. Dilution per share to new investors is determined by subtracting as adjusted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tangible book value per share after this offering from the assumed public offering price of $3.41 per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 The following table illustrates this per share dilution to the new investors purchasing shares of our</w:t>
      </w:r>
    </w:p>
    <w:p>
      <w:pPr>
        <w:ind w:left="1260"/>
        <w:spacing w:after="0"/>
        <w:rPr>
          <w:sz w:val="20"/>
          <w:szCs w:val="20"/>
          <w:color w:val="auto"/>
        </w:rPr>
      </w:pPr>
      <w:r>
        <w:rPr>
          <w:rFonts w:ascii="Times New Roman" w:cs="Times New Roman" w:eastAsia="Times New Roman" w:hAnsi="Times New Roman"/>
          <w:sz w:val="18"/>
          <w:szCs w:val="18"/>
          <w:color w:val="auto"/>
        </w:rPr>
        <w:t>common stock in this offering: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​​$0.83​​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in as adjusted net tangible book value per share attributable to this offering</w:t>
            </w:r>
          </w:p>
        </w:tc>
        <w:tc>
          <w:tcPr>
            <w:tcW w:w="14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​0.65​​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680" w:type="dxa"/>
            <w:vAlign w:val="bottom"/>
            <w:tcBorders>
              <w:top w:val="single" w:sz="8" w:color="CCEEFF"/>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1.92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66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3"/>
                <w:szCs w:val="3"/>
                <w:b w:val="1"/>
                <w:bCs w:val="1"/>
                <w:color w:val="auto"/>
              </w:rPr>
              <w:t>​</w:t>
            </w:r>
            <w:r>
              <w:rPr>
                <w:rFonts w:ascii="Times New Roman" w:cs="Times New Roman" w:eastAsia="Times New Roman" w:hAnsi="Times New Roman"/>
                <w:sz w:val="3"/>
                <w:szCs w:val="3"/>
                <w:color w:val="auto"/>
              </w:rPr>
              <w:t>​ ​​</w:t>
            </w:r>
          </w:p>
        </w:tc>
        <w:tc>
          <w:tcPr>
            <w:tcW w:w="34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946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information discussed above is based on 8,923,490 shares of our common stock outstanding as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30, 2024, and excludes:</w:t>
      </w:r>
    </w:p>
    <w:p>
      <w:pPr>
        <w:spacing w:after="0" w:line="84" w:lineRule="exact"/>
        <w:rPr>
          <w:sz w:val="20"/>
          <w:szCs w:val="20"/>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596,333 shares of our common stock issuable upon the exercise of stock options outstanding as of September 30, 2024, at a weighted-average exercise price of $ 22.80 per share;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1,227,421 shares of our common stock reserved for future issuance under our 2020 Equity Incentive Plan.</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3,352,414 shares of our common stock are sold during the term of the Sales Agreement at a price of $3.41 per share, the last reported sale price of our common stock on The Nasdaq Capital Market on December 5, 2024, for aggregate gross proceeds of approximately $11.4 million. The shares subject to the Sales Agreement are being sold from time to time at various prices. An increase of $1.00 per share in the price at which the shares are sold from the assumed offering price of $3.41 per share shown in the table above, assuming all of our common stock in the aggregate amount of $11.4 million during the term of the Sales Agreement is sold at that price, would increase our adjusted net tangible book value per share after the offering to $1.59 per share and would increase the dilution in net tangible book value per share to new investors in this offering to $2.82 per share, after deducting commissions and estimated aggregate offering expenses payable by us. A decrease of $1.00 per share in the price at which the shares are sold from the assumed offering price of $3.41 per share shown in the table above, assuming all of our common stock in the aggregate amount of $11.4 million during the term of the Sales Agreement is sold at that price, would decrease our adjusted net tangible book value per share after the offering to $1.34 per share and would decrease the dilution in net tangible book value per share to new investors in this offering to $1.07 per share, after deducting commissions and estimated offering expenses payable by us. This information is supplied for illustrative purposes only.</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we issue additional options, warrants or shares of our common stock in the future, there will be further dilution to investors purchasing common stock in this offering. In addition, we may choose to raise additional capital due to market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66" w:lineRule="auto"/>
        <w:rPr>
          <w:sz w:val="20"/>
          <w:szCs w:val="20"/>
          <w:color w:val="auto"/>
        </w:rPr>
      </w:pPr>
      <w:r>
        <w:rPr>
          <w:rFonts w:ascii="Times New Roman" w:cs="Times New Roman" w:eastAsia="Times New Roman" w:hAnsi="Times New Roman"/>
          <w:sz w:val="18"/>
          <w:szCs w:val="18"/>
          <w:color w:val="auto"/>
        </w:rPr>
        <w:t>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Offering Agreement, or the sales agreement, with the Sales Agent, under which we may offer and sell up to $11,431,731 of shares of our common stock from time to time through the Sales Agent, acting as agent. Sales of the shares of common stock, if any, may be made at market prices by any method deemed to be an “at the market” offering as defined in Rule 415(a)(4) under the Securities Act, including, without limitation, sales made directly on The Nasdaq Capital Market or any other existing trading market for our common stock.</w:t>
      </w:r>
    </w:p>
    <w:p>
      <w:pPr>
        <w:spacing w:after="0" w:line="120"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may instruct the Sales Agent not to sell our common stock if the sales cannot be effected at or above the price designated by us from time to time. We or the Sales Agent may suspend or terminate the offering of our common stock upon notice and subject to other conditions.</w:t>
      </w:r>
    </w:p>
    <w:p>
      <w:pPr>
        <w:spacing w:after="0" w:line="95"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will pay the Sales Agent commissions, in cash, for its services for acting as Sales Agent in the sale of our common stock. The aggregate compensation payable to the Sales Agent will be 3.0% of the gross sales price of shares sold pursuant to the Sales Agreement. We will also reimburse the Sales Agent up to $75,000 for their fees and expenses incurred in connection with the establishment of this offering program and $2,500 on each “Representation Date” as set forth in the Sales Agreement. We estimate that the total expenses for the offering, excluding commissions and expense reimbursement payable to the Sales Agent under the terms of the sales agreement, will be approximately $250,000. Because there is no minimum offering amount required as a condition to this offering, the actual total public offering amount, commissions and proceeds to us, if any, are not determinable at this time.</w:t>
      </w:r>
    </w:p>
    <w:p>
      <w:pPr>
        <w:spacing w:after="0" w:line="12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Settlement for sales of shares of our common stock will occur on the first trading day following the date on which any sales are made (or such shorter settlement cycle as may be in effect under Exchange Act Rule 15c6-1 from time to time), in return for payment of the net proceeds to us. Sales of our common stock as contemplated in this prospectus will be settled through the facilities of The Depository Trust Company or by such other means as we and the Sales Agent may agree upon. There is no arrangement for funds to be received in an escrow, trust or similar arrangement.</w:t>
      </w:r>
    </w:p>
    <w:p>
      <w:pPr>
        <w:spacing w:after="0" w:line="120"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Sales Agent will use its commercially reasonable efforts, consistent with their sales and trading practices, to solicit offers to purchase shares of our common stock under the terms and subject to the conditions set forth in the sales agreement. In connection with the sale of shares of our common stock on our behalf, the Sales Agent will be deemed to be an “underwriter” within the meaning of the Securities Act and the compensation of the Sales Agent may be deemed to be underwriting commissions or discounts. We have agreed to provide indemnification and contribution to the Sales Agent against certain civil liabilities, including liabilities under the Securities Act.</w:t>
      </w:r>
    </w:p>
    <w:p>
      <w:pPr>
        <w:spacing w:after="0" w:line="108"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offering pursuant to the sales agreement will terminate upon the earlier of (1) the sale of all shares of our common stock subject to the sales agreement or (2) the termination of the sales agreement as permitted therein. We and the Sales Agent may each terminate the sales agreement at any time upon ten days’ prior notice.</w:t>
      </w:r>
    </w:p>
    <w:p>
      <w:pPr>
        <w:spacing w:after="0" w:line="33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Sales Agent and its affiliates may in the future provide various investment banking, commercial banking and other financial services for us and our affiliates, for which services they may in the future receive customary fees. To the extent required by Regulation M, the Sales Agent will not engage in any market making activities involving our common stock while the offering is ongoing under this prospectus.</w:t>
      </w:r>
    </w:p>
    <w:p>
      <w:pPr>
        <w:spacing w:after="0" w:line="11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the accompanying base prospectus in electronic format may be made available on a website maintained by the Sales Agent and the Sales Agent may distribute this prospectus and the accompanying base prospectus electronically.</w:t>
      </w:r>
    </w:p>
    <w:p>
      <w:pPr>
        <w:spacing w:after="0" w:line="95" w:lineRule="exact"/>
        <w:rPr>
          <w:sz w:val="20"/>
          <w:szCs w:val="20"/>
          <w:color w:val="auto"/>
        </w:rPr>
      </w:pPr>
    </w:p>
    <w:p>
      <w:pPr>
        <w:ind w:left="1620" w:right="839"/>
        <w:spacing w:after="0" w:line="454"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trades under the symbol “MRKR.” The transfer agent of our common stock is Equiniti Trust Company, LLC.</w:t>
      </w:r>
    </w:p>
    <w:p>
      <w:pPr>
        <w:spacing w:after="0" w:line="2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Shumaker, Loop &amp; Kendrick, LLP, Tampa, Florida. Ellenoff Grossman &amp; Schole LLP, New York, New York is counsel to H.C. Wainwright &amp; Co., LLC in connection with this offering.</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99" w:firstLine="360"/>
        <w:spacing w:after="0" w:line="259"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Marcum LLP, independent registered public accounting firm, has audited our consolidated financial statements as of and for the years ended December 31, 2023 and 2022, as set forth in its report included in </w:t>
      </w:r>
      <w:hyperlink r:id="rId48">
        <w:r>
          <w:rPr>
            <w:rFonts w:ascii="Times New Roman" w:cs="Times New Roman" w:eastAsia="Times New Roman" w:hAnsi="Times New Roman"/>
            <w:sz w:val="18"/>
            <w:szCs w:val="18"/>
            <w:u w:val="single" w:color="auto"/>
            <w:color w:val="0000EE"/>
          </w:rPr>
          <w:t>our 2023 Annual Report on 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2023 and 2022 financial statements are incorporated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in reliance on Marcum LLP’s report, given on their authority as experts in accounting and auditing.</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3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such as us, that file electronically with the SEC.</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Information contained in or accessible through our website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our Annual Report on Form 10-K for the fiscal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March 26, 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59" w:hanging="180"/>
        <w:spacing w:after="0" w:line="266" w:lineRule="auto"/>
        <w:tabs>
          <w:tab w:leader="none" w:pos="1800" w:val="left"/>
        </w:tabs>
        <w:numPr>
          <w:ilvl w:val="0"/>
          <w:numId w:val="8"/>
        </w:numPr>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color w:val="auto"/>
          </w:rPr>
          <w:t xml:space="preserve">the information specifically incorporated by reference into our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 with the</w:t>
        </w:r>
      </w:hyperlink>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SEC on April 26, 2024;</w:t>
        </w:r>
      </w:hyperlink>
    </w:p>
    <w:p>
      <w:pPr>
        <w:spacing w:after="0" w:line="67" w:lineRule="exact"/>
        <w:rPr>
          <w:rFonts w:ascii="Times New Roman" w:cs="Times New Roman" w:eastAsia="Times New Roman" w:hAnsi="Times New Roman"/>
          <w:sz w:val="18"/>
          <w:szCs w:val="18"/>
          <w:u w:val="single" w:color="auto"/>
          <w:color w:val="0000EE"/>
        </w:rPr>
      </w:pPr>
    </w:p>
    <w:p>
      <w:pPr>
        <w:ind w:left="1800" w:right="599" w:hanging="180"/>
        <w:spacing w:after="0" w:line="266" w:lineRule="auto"/>
        <w:tabs>
          <w:tab w:leader="none" w:pos="180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2024, June 30, 2024, </w:t>
      </w:r>
      <w:hyperlink r:id="rId51">
        <w:r>
          <w:rPr>
            <w:rFonts w:ascii="Times New Roman" w:cs="Times New Roman" w:eastAsia="Times New Roman" w:hAnsi="Times New Roman"/>
            <w:sz w:val="18"/>
            <w:szCs w:val="18"/>
            <w:color w:val="auto"/>
          </w:rPr>
          <w:t xml:space="preserve">and September 30, 2024, filed with the SEC 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800" w:right="899" w:hanging="180"/>
        <w:spacing w:after="0" w:line="266" w:lineRule="auto"/>
        <w:tabs>
          <w:tab w:leader="none" w:pos="180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January 8, 2024</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February 26, 2024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April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August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5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amendment to the registration statement on Form 8-A12B registering our common stock under Section 12 of the Exchange Act, which was filed with the SEC on </w:t>
      </w:r>
      <w:hyperlink r:id="rId62">
        <w:r>
          <w:rPr>
            <w:rFonts w:ascii="Times New Roman" w:cs="Times New Roman" w:eastAsia="Times New Roman" w:hAnsi="Times New Roman"/>
            <w:sz w:val="18"/>
            <w:szCs w:val="18"/>
            <w:u w:val="single" w:color="auto"/>
            <w:color w:val="0000EE"/>
          </w:rPr>
          <w:t>October 17, 2018</w:t>
        </w:r>
      </w:hyperlink>
      <w:r>
        <w:rPr>
          <w:rFonts w:ascii="Times New Roman" w:cs="Times New Roman" w:eastAsia="Times New Roman" w:hAnsi="Times New Roman"/>
          <w:sz w:val="18"/>
          <w:szCs w:val="18"/>
          <w:color w:val="auto"/>
        </w:rPr>
        <w:t>, including any amendments or reports filed for purposes of updating such description.</w:t>
      </w:r>
    </w:p>
    <w:p>
      <w:pPr>
        <w:spacing w:after="0" w:line="99" w:lineRule="exact"/>
        <w:rPr>
          <w:rFonts w:ascii="Times New Roman" w:cs="Times New Roman" w:eastAsia="Times New Roman" w:hAnsi="Times New Roman"/>
          <w:sz w:val="18"/>
          <w:szCs w:val="18"/>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color w:val="0000EE"/>
        </w:rPr>
      </w:pPr>
    </w:p>
    <w:p>
      <w:pPr>
        <w:ind w:left="1260" w:right="499"/>
        <w:spacing w:after="0" w:line="253" w:lineRule="auto"/>
        <w:tabs>
          <w:tab w:leader="none" w:pos="14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21" w:lineRule="exact"/>
        <w:rPr>
          <w:rFonts w:ascii="Times New Roman" w:cs="Times New Roman" w:eastAsia="Times New Roman" w:hAnsi="Times New Roman"/>
          <w:sz w:val="18"/>
          <w:szCs w:val="18"/>
          <w:color w:val="0000EE"/>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20" w:lineRule="exact"/>
        <w:rPr>
          <w:rFonts w:ascii="Times New Roman" w:cs="Times New Roman" w:eastAsia="Times New Roman" w:hAnsi="Times New Roman"/>
          <w:sz w:val="18"/>
          <w:szCs w:val="18"/>
          <w:color w:val="0000EE"/>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04"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105410</wp:posOffset>
            </wp:positionV>
            <wp:extent cx="216027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21602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9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5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From time to time, we may offer and sell up to $300,000,000 of any combination of the securities</w:t>
      </w:r>
    </w:p>
    <w:p>
      <w:pPr>
        <w:spacing w:after="0" w:line="16" w:lineRule="exact"/>
        <w:rPr>
          <w:sz w:val="20"/>
          <w:szCs w:val="20"/>
          <w:color w:val="auto"/>
        </w:rPr>
      </w:pPr>
    </w:p>
    <w:p>
      <w:pPr>
        <w:jc w:val="both"/>
        <w:ind w:left="1260" w:right="519"/>
        <w:spacing w:after="0" w:line="234" w:lineRule="auto"/>
        <w:rPr>
          <w:sz w:val="20"/>
          <w:szCs w:val="20"/>
          <w:color w:val="auto"/>
        </w:rPr>
      </w:pPr>
      <w:r>
        <w:rPr>
          <w:rFonts w:ascii="Times New Roman" w:cs="Times New Roman" w:eastAsia="Times New Roman" w:hAnsi="Times New Roman"/>
          <w:sz w:val="18"/>
          <w:szCs w:val="18"/>
          <w:color w:val="auto"/>
        </w:rPr>
        <w:t>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50" w:lineRule="exact"/>
        <w:rPr>
          <w:sz w:val="20"/>
          <w:szCs w:val="20"/>
          <w:color w:val="auto"/>
        </w:rPr>
      </w:pPr>
    </w:p>
    <w:p>
      <w:pPr>
        <w:ind w:left="1260" w:right="619" w:firstLine="360"/>
        <w:spacing w:after="0" w:line="23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62" w:lineRule="exact"/>
        <w:rPr>
          <w:sz w:val="20"/>
          <w:szCs w:val="20"/>
          <w:color w:val="auto"/>
        </w:rPr>
      </w:pPr>
    </w:p>
    <w:p>
      <w:pPr>
        <w:ind w:left="1260" w:right="11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50" w:lineRule="exact"/>
        <w:rPr>
          <w:sz w:val="20"/>
          <w:szCs w:val="20"/>
          <w:color w:val="auto"/>
        </w:rPr>
      </w:pPr>
    </w:p>
    <w:p>
      <w:pPr>
        <w:ind w:left="1260" w:right="539" w:firstLine="360"/>
        <w:spacing w:after="0" w:line="233" w:lineRule="auto"/>
        <w:rPr>
          <w:sz w:val="20"/>
          <w:szCs w:val="20"/>
          <w:color w:val="auto"/>
        </w:rPr>
      </w:pPr>
      <w:r>
        <w:rPr>
          <w:rFonts w:ascii="Times New Roman" w:cs="Times New Roman" w:eastAsia="Times New Roman" w:hAnsi="Times New Roman"/>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66"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As of November 26, 2024, the aggregate market value of our outstanding common stock held by non-affiliates, or the public float, was approximately $34,295,194, which was calculated on 7,554,008 shares of our outstanding common stock held by non-affiliates and at a price of a price of $4.54 per share, the last reported sale price for our common stock on October 22, 2024. Pursuant to General Instruction I.B.6 of Form S-3, in no event will we sell our securities in a public primary offering with a value exceeding one-third of our public float in any 12-month period unless our public float subsequently rises to $75.0 million or more.</w:t>
      </w:r>
    </w:p>
    <w:p>
      <w:pPr>
        <w:spacing w:after="0" w:line="230" w:lineRule="exact"/>
        <w:rPr>
          <w:sz w:val="20"/>
          <w:szCs w:val="20"/>
          <w:color w:val="auto"/>
        </w:rPr>
      </w:pPr>
    </w:p>
    <w:p>
      <w:pPr>
        <w:ind w:left="1260" w:right="639" w:firstLine="36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“MRKR.” On November 25, 2024, the last reported sale price of our common stock was $3.33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180340</wp:posOffset>
            </wp:positionV>
            <wp:extent cx="1234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0"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w:t>
      </w:r>
      <w:r>
        <w:rPr>
          <w:rFonts w:ascii="Times New Roman" w:cs="Times New Roman" w:eastAsia="Times New Roman" w:hAnsi="Times New Roman"/>
          <w:sz w:val="18"/>
          <w:szCs w:val="18"/>
          <w:b w:val="1"/>
          <w:bCs w:val="1"/>
          <w:i w:val="1"/>
          <w:iCs w:val="1"/>
          <w:u w:val="single" w:color="auto"/>
          <w:color w:val="0000EE"/>
        </w:rPr>
        <w:t>6</w:t>
      </w:r>
      <w:r>
        <w:rPr>
          <w:rFonts w:ascii="Times New Roman" w:cs="Times New Roman" w:eastAsia="Times New Roman" w:hAnsi="Times New Roman"/>
          <w:sz w:val="18"/>
          <w:szCs w:val="18"/>
          <w:b w:val="1"/>
          <w:bCs w:val="1"/>
          <w:i w:val="1"/>
          <w:iCs w:val="1"/>
          <w:color w:val="0000EE"/>
        </w:rPr>
        <w:t xml:space="preserve"> </w:t>
      </w:r>
      <w:r>
        <w:rPr>
          <w:rFonts w:ascii="Times New Roman" w:cs="Times New Roman" w:eastAsia="Times New Roman" w:hAnsi="Times New Roman"/>
          <w:sz w:val="18"/>
          <w:szCs w:val="18"/>
          <w:b w:val="1"/>
          <w:bCs w:val="1"/>
          <w:i w:val="1"/>
          <w:iCs w:val="1"/>
          <w:color w:val="000000"/>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80010</wp:posOffset>
            </wp:positionV>
            <wp:extent cx="123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5" w:lineRule="exact"/>
        <w:rPr>
          <w:sz w:val="20"/>
          <w:szCs w:val="20"/>
          <w:color w:val="auto"/>
        </w:rPr>
      </w:pPr>
    </w:p>
    <w:p>
      <w:pPr>
        <w:jc w:val="both"/>
        <w:ind w:left="1260" w:right="5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71120</wp:posOffset>
            </wp:positionV>
            <wp:extent cx="123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The date of this prospectus is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right="1640"/>
        <w:spacing w:after="0" w:line="313" w:lineRule="auto"/>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 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-219075</wp:posOffset>
            </wp:positionV>
            <wp:extent cx="521208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OF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399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3399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$300,000,000. This prospectus provides you with a general description of the securities we may offer.</w:t>
      </w:r>
    </w:p>
    <w:p>
      <w:pPr>
        <w:spacing w:after="0" w:line="11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03"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9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34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32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ind w:left="1280" w:right="459" w:firstLine="360"/>
        <w:spacing w:after="0" w:line="254"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340" w:lineRule="exact"/>
        <w:rPr>
          <w:sz w:val="20"/>
          <w:szCs w:val="20"/>
          <w:color w:val="auto"/>
        </w:rPr>
      </w:pPr>
    </w:p>
    <w:p>
      <w:pPr>
        <w:ind w:left="1280" w:right="479" w:firstLine="360"/>
        <w:spacing w:after="0"/>
        <w:rPr>
          <w:sz w:val="20"/>
          <w:szCs w:val="20"/>
          <w:color w:val="auto"/>
        </w:rPr>
      </w:pPr>
      <w:r>
        <w:rPr>
          <w:rFonts w:ascii="Times New Roman" w:cs="Times New Roman" w:eastAsia="Times New Roman" w:hAnsi="Times New Roman"/>
          <w:sz w:val="18"/>
          <w:szCs w:val="18"/>
          <w:color w:val="auto"/>
        </w:rPr>
        <w:t xml:space="preserve">Unless the context indicates otherwise, as used in this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tumor associated antigen (“multiTAA”)-specific 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multiTAA-specific 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multiTAA-specific T cells are designed to kill cancer cells expressing the TAA and potentially recruit the patient’s immune system to participate in the cancer killing process.</w:t>
      </w:r>
    </w:p>
    <w:p>
      <w:pPr>
        <w:spacing w:after="0" w:line="120" w:lineRule="exact"/>
        <w:rPr>
          <w:sz w:val="20"/>
          <w:szCs w:val="20"/>
          <w:color w:val="auto"/>
        </w:rPr>
      </w:pPr>
    </w:p>
    <w:p>
      <w:pPr>
        <w:ind w:left="1280" w:right="659" w:firstLine="360"/>
        <w:spacing w:after="0" w:line="256" w:lineRule="auto"/>
        <w:rPr>
          <w:sz w:val="20"/>
          <w:szCs w:val="20"/>
          <w:color w:val="auto"/>
        </w:rPr>
      </w:pPr>
      <w:r>
        <w:rPr>
          <w:rFonts w:ascii="Times New Roman" w:cs="Times New Roman" w:eastAsia="Times New Roman" w:hAnsi="Times New Roman"/>
          <w:sz w:val="18"/>
          <w:szCs w:val="18"/>
          <w:color w:val="auto"/>
        </w:rPr>
        <w:t>We licensed the underlying technology for multiTAA-specific 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advancing two product candidates for 3 clinical indications as part of our multiTAA-specific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 cell program for:</w:t>
      </w:r>
    </w:p>
    <w:p>
      <w:pPr>
        <w:spacing w:after="0" w:line="99" w:lineRule="exact"/>
        <w:rPr>
          <w:sz w:val="20"/>
          <w:szCs w:val="20"/>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Autologous multiTAA product for the treatment of lymphoma and pancreatic cancer (MT-601)</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(OTS) product in various indications (e.g., MT-401-OTS)</w:t>
      </w:r>
    </w:p>
    <w:p>
      <w:pPr>
        <w:spacing w:after="0" w:line="158" w:lineRule="exact"/>
        <w:rPr>
          <w:sz w:val="20"/>
          <w:szCs w:val="20"/>
          <w:color w:val="auto"/>
        </w:rPr>
      </w:pPr>
    </w:p>
    <w:p>
      <w:pPr>
        <w:jc w:val="both"/>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We do not genetically engineer our multiTAA-specific T cell therapies and we believe that our product candidates are superior to T cells engineered with chimeric antigen receptors, or CAR-T, for several reasons including:</w:t>
      </w:r>
    </w:p>
    <w:p>
      <w:pPr>
        <w:spacing w:after="0" w:line="68" w:lineRule="exact"/>
        <w:rPr>
          <w:sz w:val="20"/>
          <w:szCs w:val="20"/>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targets → enhanced tumoricidal effect → minimized tumor immune escape</w:t>
      </w:r>
    </w:p>
    <w:p>
      <w:pPr>
        <w:spacing w:after="0" w:line="117"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safety → no treatment-related side effects, including immune effector cell-associated neurotoxicity syndrome (ICANS) or other severe adverse effects (SAEs), were attributed to the use of multiTAA-specific T cell therapies to date</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9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For these reasons, we believe our endogenous T cell receptor-based therapies may provide meaningful clinical benefit and safety to patients with both hematological and solid tumors.</w:t>
      </w:r>
    </w:p>
    <w:p>
      <w:pPr>
        <w:spacing w:after="0" w:line="95"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simplicity of our manufacturing process allows additional modifications to expand multiTAA- specific T cell recognition of cancer targets. For example, we are assessing the potential of combining multiTAA-specific T cell products with other products.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Our clinical-stage pipeline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2450 Holcombe Blvd,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50" w:lineRule="auto"/>
        <w:rPr>
          <w:sz w:val="20"/>
          <w:szCs w:val="20"/>
          <w:color w:val="auto"/>
        </w:rPr>
      </w:pPr>
      <w:r>
        <w:rPr>
          <w:rFonts w:ascii="Times New Roman" w:cs="Times New Roman" w:eastAsia="Times New Roman" w:hAnsi="Times New Roman"/>
          <w:sz w:val="18"/>
          <w:szCs w:val="18"/>
          <w:color w:val="auto"/>
        </w:rPr>
        <w:t xml:space="preserve">Suite BCM-A, MS: BCM251, Houston, Texas 77021, and our telephone number is (713) 400-6400. Our website is located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We do not incorporate by reference into this prospectus the information on, or accessible through, our website, and you should not consider it as part of this prospectus. We have included our website address as an inactive textual reference only.</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48" w:lineRule="exact"/>
        <w:rPr>
          <w:sz w:val="20"/>
          <w:szCs w:val="20"/>
          <w:color w:val="auto"/>
        </w:rPr>
      </w:pPr>
    </w:p>
    <w:p>
      <w:pPr>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A smaller reporting company may take advantage of relief from some of the reporting requirements and other burdens that are otherwise applicable generally to public companies. These provisions include:</w:t>
      </w:r>
    </w:p>
    <w:p>
      <w:pPr>
        <w:spacing w:after="0" w:line="72" w:lineRule="exact"/>
        <w:rPr>
          <w:sz w:val="20"/>
          <w:szCs w:val="20"/>
          <w:color w:val="auto"/>
        </w:rPr>
      </w:pPr>
    </w:p>
    <w:p>
      <w:pPr>
        <w:jc w:val="both"/>
        <w:ind w:left="1820" w:right="3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w:t>
      </w:r>
    </w:p>
    <w:p>
      <w:pPr>
        <w:spacing w:after="0" w:line="15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48"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to purchase any of such securities, either individually or in combination, up to a total aggregate offering price of $300,000,000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2" w:lineRule="exact"/>
        <w:rPr>
          <w:sz w:val="20"/>
          <w:szCs w:val="20"/>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117" w:lineRule="exact"/>
        <w:rPr>
          <w:rFonts w:ascii="Times New Roman" w:cs="Times New Roman" w:eastAsia="Times New Roman" w:hAnsi="Times New Roman"/>
          <w:sz w:val="18"/>
          <w:szCs w:val="18"/>
          <w:color w:val="auto"/>
        </w:rPr>
      </w:pPr>
    </w:p>
    <w:p>
      <w:pPr>
        <w:ind w:left="1820" w:right="719" w:hanging="182"/>
        <w:spacing w:after="0" w:line="266"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144" w:lineRule="exact"/>
        <w:rPr>
          <w:sz w:val="20"/>
          <w:szCs w:val="20"/>
          <w:color w:val="auto"/>
        </w:rPr>
      </w:pPr>
    </w:p>
    <w:p>
      <w:pPr>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right="11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78" w:lineRule="exact"/>
        <w:rPr>
          <w:sz w:val="20"/>
          <w:szCs w:val="20"/>
          <w:color w:val="auto"/>
        </w:rPr>
      </w:pPr>
    </w:p>
    <w:p>
      <w:pPr>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282" w:lineRule="exact"/>
        <w:rPr>
          <w:sz w:val="20"/>
          <w:szCs w:val="20"/>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140" w:lineRule="exact"/>
        <w:rPr>
          <w:sz w:val="20"/>
          <w:szCs w:val="20"/>
          <w:color w:val="auto"/>
        </w:rPr>
      </w:pPr>
    </w:p>
    <w:p>
      <w:pPr>
        <w:ind w:left="1280" w:right="47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We may issue shares of our common stock from time to time. Holders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11"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10"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We may issue shares of our preferred stock from time to time, in one or more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certificate of incorporation, our board of directors has the authority, without further action by the stockholders, to issue up to 5,000,000 shares of preferred stock, par value $0.001 per share. You should refer to our certificate of incorporation and our bylaws, both of which are included as exhibits to documents incorporated by reference in the registration statement of which this prospectus is a part.</w:t>
      </w:r>
    </w:p>
    <w:p>
      <w:pPr>
        <w:spacing w:after="0" w:line="113"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22" w:lineRule="exact"/>
        <w:rPr>
          <w:sz w:val="20"/>
          <w:szCs w:val="20"/>
          <w:color w:val="auto"/>
        </w:rPr>
      </w:pPr>
    </w:p>
    <w:p>
      <w:pPr>
        <w:ind w:left="1280" w:right="579" w:firstLine="360"/>
        <w:spacing w:after="0" w:line="25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02" w:lineRule="exact"/>
        <w:rPr>
          <w:sz w:val="20"/>
          <w:szCs w:val="20"/>
          <w:color w:val="auto"/>
        </w:rPr>
      </w:pPr>
    </w:p>
    <w:p>
      <w:pPr>
        <w:ind w:left="1280" w:right="4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We may issue debt securities from time to time, in one or more series, as either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subordinated debt or as senior or subordinated convertible debt. The senior debt securities will rank equally with any other unsecured and unsubordinated debt. The subordinated debt securities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39"/>
        <w:spacing w:after="0" w:line="261" w:lineRule="auto"/>
        <w:rPr>
          <w:sz w:val="20"/>
          <w:szCs w:val="20"/>
          <w:color w:val="auto"/>
        </w:rPr>
      </w:pPr>
      <w:r>
        <w:rPr>
          <w:rFonts w:ascii="Times New Roman" w:cs="Times New Roman" w:eastAsia="Times New Roman" w:hAnsi="Times New Roman"/>
          <w:sz w:val="18"/>
          <w:szCs w:val="18"/>
          <w:color w:val="auto"/>
        </w:rPr>
        <w:t>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1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333"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stock, preferred stock and/or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331" w:lineRule="exact"/>
        <w:rPr>
          <w:sz w:val="20"/>
          <w:szCs w:val="20"/>
          <w:color w:val="auto"/>
        </w:rPr>
      </w:pPr>
    </w:p>
    <w:p>
      <w:pPr>
        <w:jc w:val="both"/>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Investing in our securities involves a high degree of risk. You should carefully review the risks and uncertainties described under the heading “Risk Factors” contained in the applicable prospectus supplement </w:t>
      </w:r>
      <w:hyperlink r:id="rId48">
        <w:r>
          <w:rPr>
            <w:rFonts w:ascii="Times New Roman" w:cs="Times New Roman" w:eastAsia="Times New Roman" w:hAnsi="Times New Roman"/>
            <w:sz w:val="18"/>
            <w:szCs w:val="18"/>
            <w:color w:val="auto"/>
          </w:rPr>
          <w:t xml:space="preserve">and any related free writing prospectus, and under similar headings in our </w:t>
        </w:r>
        <w:r>
          <w:rPr>
            <w:rFonts w:ascii="Times New Roman" w:cs="Times New Roman" w:eastAsia="Times New Roman" w:hAnsi="Times New Roman"/>
            <w:sz w:val="18"/>
            <w:szCs w:val="18"/>
            <w:u w:val="single" w:color="auto"/>
            <w:color w:val="0000EE"/>
          </w:rPr>
          <w:t>Annual Report on Form 10-K for</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00"/>
          </w:rPr>
          <w:t>, as updated by any subsequently filed periodic reports and 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2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72"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product candidates and our ability to obtain and maintain regulatory approvals for product candidates for any indication;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product candidates;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ease, scalability and commercial viability of our manufacturing methods and processes;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indications for product candidates;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our ability to maintain our relationships and collaborations with BCM and other potential collaboration or strategic relationships;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the MultiTAA-specific T cell platform to develop future product candidates;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(including grant revenues), capital requirements and our needs for or ability to obtain additional funding;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 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 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jc w:val="both"/>
        <w:ind w:left="1260" w:right="6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certificate of incorporation authorizes us to issue up to 150,000,000 shares of common stock,</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$0.001 par value per share, and 5,000,000 shares of preferred stock, $0.001 par value per share. Our board</w:t>
      </w:r>
    </w:p>
    <w:p>
      <w:pPr>
        <w:ind w:left="1260"/>
        <w:spacing w:after="0"/>
        <w:rPr>
          <w:sz w:val="20"/>
          <w:szCs w:val="20"/>
          <w:color w:val="auto"/>
        </w:rPr>
      </w:pPr>
      <w:r>
        <w:rPr>
          <w:rFonts w:ascii="Times New Roman" w:cs="Times New Roman" w:eastAsia="Times New Roman" w:hAnsi="Times New Roman"/>
          <w:sz w:val="18"/>
          <w:szCs w:val="18"/>
          <w:color w:val="auto"/>
        </w:rPr>
        <w:t>of directors may establish the rights and preferences of the preferred stock from time to time. As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7, 2024, we had 8,923,490 shares of common stock outstanding and no shares of preferred stock</w:t>
      </w:r>
    </w:p>
    <w:p>
      <w:pPr>
        <w:ind w:left="1260"/>
        <w:spacing w:after="0"/>
        <w:rPr>
          <w:sz w:val="20"/>
          <w:szCs w:val="20"/>
          <w:color w:val="auto"/>
        </w:rPr>
      </w:pPr>
      <w:r>
        <w:rPr>
          <w:rFonts w:ascii="Times New Roman" w:cs="Times New Roman" w:eastAsia="Times New Roman" w:hAnsi="Times New Roman"/>
          <w:sz w:val="18"/>
          <w:szCs w:val="18"/>
          <w:color w:val="auto"/>
        </w:rPr>
        <w:t>outstanding.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 All other matters to be voted on by our stockholders must be approved by a majority of the votes cast on the matter unless otherwise provided by law, our certificate of incorporation or our bylaws.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Holders of common stock are entitled to receive ratably any dividends as may be declared by our board of directors, subject to any preferential dividend rights of any series of preferred stock that our board of directors may designate and issue in the future.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4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our board of directors may designate and issue in the future.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directors, without stockholder approval, we may issue shares of preferred stock with voting and conversion rights which could adversely affect the holders of shares of our common stock.</w:t>
      </w:r>
    </w:p>
    <w:p>
      <w:pPr>
        <w:spacing w:after="0" w:line="8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3"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0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0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period, the exchange price, or how it will be calculated, and under what circumstances it may be adjusted;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4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9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w:t>
      </w: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Section 203 of the DGCL</w:t>
      </w:r>
    </w:p>
    <w:p>
      <w:pPr>
        <w:spacing w:after="0" w:line="16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8" w:lineRule="exact"/>
        <w:rPr>
          <w:sz w:val="20"/>
          <w:szCs w:val="20"/>
          <w:color w:val="auto"/>
        </w:rPr>
      </w:pPr>
    </w:p>
    <w:p>
      <w:pPr>
        <w:ind w:left="1800" w:right="5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0"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17"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40"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81"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1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with offices at 48 Wall Street, 23rd floor. New York NY 10043. The transfer agent for any series of preferred stock that we may offer under this prospectus will be named and described in the prospectus supplement for that series.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on Nasdaq</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99" w:firstLine="360"/>
        <w:spacing w:after="0" w:line="24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1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68"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security or securities;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82"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40"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40"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4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8" w:lineRule="exact"/>
        <w:rPr>
          <w:sz w:val="20"/>
          <w:szCs w:val="20"/>
          <w:color w:val="auto"/>
        </w:rPr>
      </w:pPr>
    </w:p>
    <w:p>
      <w:pPr>
        <w:ind w:left="1800" w:right="599" w:hanging="180"/>
        <w:spacing w:after="0" w:line="259"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9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events of default regarding payment of principal, premium, if any, or interest, unless we have cured the default or event of default in accordance with the indenture. Any waiver shall cure the default or event of default.</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3"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0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800" w:right="5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9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40"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800" w:right="13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 —  Consolidation, Merger or Sale”;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268"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3"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4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8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77"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81"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3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04" w:lineRule="exact"/>
        <w:rPr>
          <w:sz w:val="20"/>
          <w:szCs w:val="20"/>
          <w:color w:val="auto"/>
        </w:rPr>
      </w:pPr>
    </w:p>
    <w:p>
      <w:pPr>
        <w:ind w:left="1800" w:right="43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91"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22"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a series of warrants being offered, including, to the extent applicable:</w:t>
      </w:r>
    </w:p>
    <w:p>
      <w:pPr>
        <w:spacing w:after="0" w:line="67"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305"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consequences of holding or exercising the warrants;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4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40" w:lineRule="exact"/>
        <w:rPr>
          <w:sz w:val="20"/>
          <w:szCs w:val="20"/>
          <w:color w:val="auto"/>
        </w:rPr>
      </w:pPr>
    </w:p>
    <w:p>
      <w:pPr>
        <w:ind w:left="1800" w:right="4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w:t>
      </w:r>
    </w:p>
    <w:p>
      <w:pPr>
        <w:spacing w:after="0" w:line="16"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94" w:lineRule="exact"/>
        <w:rPr>
          <w:sz w:val="20"/>
          <w:szCs w:val="20"/>
          <w:color w:val="auto"/>
        </w:rPr>
      </w:pPr>
    </w:p>
    <w:p>
      <w:pPr>
        <w:jc w:val="both"/>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0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 entry system. These participating institutions, which are referred to as participants, in turn, hold beneficial interests in the securities on behalf of themselves or their customers.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8" w:lineRule="auto"/>
        <w:rPr>
          <w:sz w:val="20"/>
          <w:szCs w:val="20"/>
          <w:color w:val="auto"/>
        </w:rPr>
      </w:pPr>
      <w:r>
        <w:rPr>
          <w:rFonts w:ascii="Times New Roman" w:cs="Times New Roman" w:eastAsia="Times New Roman" w:hAnsi="Times New Roman"/>
          <w:sz w:val="18"/>
          <w:szCs w:val="18"/>
          <w:color w:val="auto"/>
        </w:rPr>
        <w:t>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 -entry form because the securities are represented by one or more global securities or in street name, you should check with your own institution to find out:</w:t>
      </w:r>
    </w:p>
    <w:p>
      <w:pPr>
        <w:spacing w:after="0" w:line="48"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9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1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17" w:lineRule="exact"/>
        <w:rPr>
          <w:sz w:val="20"/>
          <w:szCs w:val="20"/>
          <w:color w:val="auto"/>
        </w:rPr>
      </w:pPr>
    </w:p>
    <w:p>
      <w:pPr>
        <w:ind w:left="1800" w:right="499" w:hanging="180"/>
        <w:spacing w:after="0" w:line="275"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0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0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54" w:lineRule="exact"/>
        <w:rPr>
          <w:sz w:val="20"/>
          <w:szCs w:val="20"/>
          <w:color w:val="auto"/>
        </w:rPr>
      </w:pPr>
    </w:p>
    <w:p>
      <w:pPr>
        <w:ind w:left="1800" w:right="85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9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72"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2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8"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4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2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9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describe the conditions to these contracts and the commissions we must pay for solicitation of these contracts in the prospectus supplement.</w:t>
      </w:r>
    </w:p>
    <w:p>
      <w:pPr>
        <w:spacing w:after="0" w:line="94"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in connection with the offering and the validity of the securities offered by this prospectus, and any supplement thereto, will be passed upon by Shumaker, Loop &amp; Kendrick, LLP, Tampa, Florida.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99" w:firstLine="360"/>
        <w:spacing w:after="0" w:line="259"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Marcum LLP, independent registered public accounting firm, has audited our consolidated financial statements as of and for the years ended December 31, 2023 and 2022, as set forth in its report included in </w:t>
      </w:r>
      <w:hyperlink r:id="rId48">
        <w:r>
          <w:rPr>
            <w:rFonts w:ascii="Times New Roman" w:cs="Times New Roman" w:eastAsia="Times New Roman" w:hAnsi="Times New Roman"/>
            <w:sz w:val="18"/>
            <w:szCs w:val="18"/>
            <w:u w:val="single" w:color="auto"/>
            <w:color w:val="0000EE"/>
          </w:rPr>
          <w:t>our 2023 Annual Report on 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2023 and 2022 financial statements are incorporated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in reliance on Marcum LLP’s report, given on their authority as experts in accounting and auditing.</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33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issuers, such as us, that file electronically with the SEC.</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Copies of certain information filed by us with the SEC are also available on our website at </w:t>
      </w:r>
      <w:r>
        <w:rPr>
          <w:rFonts w:ascii="Times New Roman" w:cs="Times New Roman" w:eastAsia="Times New Roman" w:hAnsi="Times New Roman"/>
          <w:sz w:val="18"/>
          <w:szCs w:val="18"/>
          <w:i w:val="1"/>
          <w:iCs w:val="1"/>
          <w:color w:val="auto"/>
        </w:rPr>
        <w:t>http://www.markertherapeutics.com</w:t>
      </w:r>
      <w:r>
        <w:rPr>
          <w:rFonts w:ascii="Times New Roman" w:cs="Times New Roman" w:eastAsia="Times New Roman" w:hAnsi="Times New Roman"/>
          <w:sz w:val="18"/>
          <w:szCs w:val="18"/>
          <w:color w:val="auto"/>
        </w:rPr>
        <w:t>. Information contained in or accessible through our website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17" w:lineRule="exact"/>
        <w:rPr>
          <w:sz w:val="20"/>
          <w:szCs w:val="20"/>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our Annual Report on Form 10-K for the fiscal year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March 26, 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59" w:hanging="180"/>
        <w:spacing w:after="0" w:line="266" w:lineRule="auto"/>
        <w:tabs>
          <w:tab w:leader="none" w:pos="1800" w:val="left"/>
        </w:tabs>
        <w:numPr>
          <w:ilvl w:val="0"/>
          <w:numId w:val="40"/>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auto"/>
          </w:rPr>
          <w:t xml:space="preserve">the information specifically incorporated by reference into </w:t>
        </w:r>
        <w:r>
          <w:rPr>
            <w:rFonts w:ascii="Times New Roman" w:cs="Times New Roman" w:eastAsia="Times New Roman" w:hAnsi="Times New Roman"/>
            <w:sz w:val="18"/>
            <w:szCs w:val="18"/>
            <w:u w:val="single" w:color="auto"/>
            <w:color w:val="0000EE"/>
          </w:rPr>
          <w:t>our Annual Report on Form 10-K for the</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 filed with the</w:t>
        </w:r>
      </w:hyperlink>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SEC on April 26, 2024</w:t>
        </w:r>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EE"/>
        </w:rPr>
      </w:pPr>
    </w:p>
    <w:p>
      <w:pPr>
        <w:ind w:left="1800" w:right="599" w:hanging="180"/>
        <w:spacing w:after="0" w:line="266" w:lineRule="auto"/>
        <w:tabs>
          <w:tab w:leader="none" w:pos="1800" w:val="left"/>
        </w:tabs>
        <w:numPr>
          <w:ilvl w:val="0"/>
          <w:numId w:val="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2024, June 30, 2024, </w:t>
      </w:r>
      <w:hyperlink r:id="rId51">
        <w:r>
          <w:rPr>
            <w:rFonts w:ascii="Times New Roman" w:cs="Times New Roman" w:eastAsia="Times New Roman" w:hAnsi="Times New Roman"/>
            <w:sz w:val="18"/>
            <w:szCs w:val="18"/>
            <w:color w:val="auto"/>
          </w:rPr>
          <w:t xml:space="preserve">and September 30, 2024, filed with the SEC on </w:t>
        </w:r>
        <w:r>
          <w:rPr>
            <w:rFonts w:ascii="Times New Roman" w:cs="Times New Roman" w:eastAsia="Times New Roman" w:hAnsi="Times New Roman"/>
            <w:sz w:val="18"/>
            <w:szCs w:val="18"/>
            <w:u w:val="single" w:color="auto"/>
            <w:color w:val="0000EE"/>
          </w:rPr>
          <w:t>May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800" w:right="899" w:hanging="180"/>
        <w:spacing w:after="0" w:line="266" w:lineRule="auto"/>
        <w:tabs>
          <w:tab w:leader="none" w:pos="1800" w:val="left"/>
        </w:tabs>
        <w:numPr>
          <w:ilvl w:val="0"/>
          <w:numId w:val="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January 8, 2024</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February 26, 2024</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March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April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June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August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August 14,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1">
        <w:r>
          <w:rPr>
            <w:rFonts w:ascii="Times New Roman" w:cs="Times New Roman" w:eastAsia="Times New Roman" w:hAnsi="Times New Roman"/>
            <w:sz w:val="18"/>
            <w:szCs w:val="18"/>
            <w:u w:val="single" w:color="auto"/>
            <w:color w:val="0000EE"/>
          </w:rPr>
          <w:t>November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51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the amendment to the registration statement on Form 8-A12B registering our common stock under Section 12 of the Exchange Act, which was filed with the SEC on </w:t>
      </w:r>
      <w:hyperlink r:id="rId62">
        <w:r>
          <w:rPr>
            <w:rFonts w:ascii="Times New Roman" w:cs="Times New Roman" w:eastAsia="Times New Roman" w:hAnsi="Times New Roman"/>
            <w:sz w:val="18"/>
            <w:szCs w:val="18"/>
            <w:u w:val="single" w:color="auto"/>
            <w:color w:val="0000EE"/>
          </w:rPr>
          <w:t>October 17, 2018</w:t>
        </w:r>
      </w:hyperlink>
      <w:r>
        <w:rPr>
          <w:rFonts w:ascii="Times New Roman" w:cs="Times New Roman" w:eastAsia="Times New Roman" w:hAnsi="Times New Roman"/>
          <w:sz w:val="18"/>
          <w:szCs w:val="18"/>
          <w:color w:val="auto"/>
        </w:rPr>
        <w:t>, including any amendments or reports filed for purposes of updating such description.</w:t>
      </w:r>
    </w:p>
    <w:p>
      <w:pPr>
        <w:spacing w:after="0" w:line="99" w:lineRule="exact"/>
        <w:rPr>
          <w:rFonts w:ascii="Times New Roman" w:cs="Times New Roman" w:eastAsia="Times New Roman" w:hAnsi="Times New Roman"/>
          <w:sz w:val="18"/>
          <w:szCs w:val="18"/>
          <w:color w:val="0000EE"/>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spacing w:after="0" w:line="1" w:lineRule="exact"/>
        <w:rPr>
          <w:rFonts w:ascii="Times New Roman" w:cs="Times New Roman" w:eastAsia="Times New Roman" w:hAnsi="Times New Roman"/>
          <w:sz w:val="18"/>
          <w:szCs w:val="18"/>
          <w:color w:val="0000EE"/>
        </w:rPr>
      </w:pPr>
    </w:p>
    <w:p>
      <w:pPr>
        <w:ind w:left="1260" w:right="499"/>
        <w:spacing w:after="0" w:line="253" w:lineRule="auto"/>
        <w:tabs>
          <w:tab w:leader="none" w:pos="14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21" w:lineRule="exact"/>
        <w:rPr>
          <w:rFonts w:ascii="Times New Roman" w:cs="Times New Roman" w:eastAsia="Times New Roman" w:hAnsi="Times New Roman"/>
          <w:sz w:val="18"/>
          <w:szCs w:val="18"/>
          <w:color w:val="0000EE"/>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2450 Holcombe Blvd, Suite BCM-A, MS: BCM251, Houston, Texas 77021, and our telephone number is (713) 400-6400.</w:t>
      </w:r>
    </w:p>
    <w:p>
      <w:pPr>
        <w:spacing w:after="0" w:line="120" w:lineRule="exact"/>
        <w:rPr>
          <w:rFonts w:ascii="Times New Roman" w:cs="Times New Roman" w:eastAsia="Times New Roman" w:hAnsi="Times New Roman"/>
          <w:sz w:val="18"/>
          <w:szCs w:val="18"/>
          <w:color w:val="0000EE"/>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04"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53340</wp:posOffset>
            </wp:positionV>
            <wp:extent cx="5212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$11,431,731</w:t>
      </w:r>
    </w:p>
    <w:p>
      <w:pPr>
        <w:spacing w:after="0" w:line="22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727075</wp:posOffset>
            </wp:positionV>
            <wp:extent cx="216027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21602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32"/>
          <w:szCs w:val="32"/>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1425575</wp:posOffset>
            </wp:positionV>
            <wp:extent cx="5212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lowerRoman"/>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jpe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jpe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48" Type="http://schemas.openxmlformats.org/officeDocument/2006/relationships/hyperlink" Target="http://www.sec.gov/ix?doc=/Archives/edgar/data/1094038/000141057824000297/mrkr-20231231x10k.htm" TargetMode="External"/><Relationship Id="rId50" Type="http://schemas.openxmlformats.org/officeDocument/2006/relationships/hyperlink" Target="http://www.sec.gov/Archives/edgar/data/1094038/000110465924052914/tm242848-1_def14a.htm" TargetMode="External"/><Relationship Id="rId51" Type="http://schemas.openxmlformats.org/officeDocument/2006/relationships/hyperlink" Target="http://www.sec.gov/ix?doc=/Archives/edgar/data/1094038/000141057824001978/mrkr-20240930x10q.htm" TargetMode="External"/><Relationship Id="rId52" Type="http://schemas.openxmlformats.org/officeDocument/2006/relationships/hyperlink" Target="http://www.sec.gov/ix?doc=/Archives/edgar/data/1094038/000110465924002086/tm242285d1_8k.htm" TargetMode="External"/><Relationship Id="rId53" Type="http://schemas.openxmlformats.org/officeDocument/2006/relationships/hyperlink" Target="http://www.sec.gov/ix?doc=/Archives/edgar/data/1094038/000110465924027293/tm247177d1_8k.htm" TargetMode="External"/><Relationship Id="rId54" Type="http://schemas.openxmlformats.org/officeDocument/2006/relationships/hyperlink" Target="http://www.sec.gov/ix?doc=/Archives/edgar/data/1094038/000110465924029638/tm247674d1_8k.htm" TargetMode="External"/><Relationship Id="rId55" Type="http://schemas.openxmlformats.org/officeDocument/2006/relationships/hyperlink" Target="http://www.sec.gov/ix?doc=/Archives/edgar/data/1094038/000110465924038533/tm249709d1_8k.htm" TargetMode="External"/><Relationship Id="rId56" Type="http://schemas.openxmlformats.org/officeDocument/2006/relationships/hyperlink" Target="http://www.sec.gov/ix?doc=/Archives/edgar/data/1094038/000110465924044496/tm2411143d1_8k.htm" TargetMode="External"/><Relationship Id="rId57" Type="http://schemas.openxmlformats.org/officeDocument/2006/relationships/hyperlink" Target="http://www.sec.gov/ix?doc=/Archives/edgar/data/1094038/000110465924062001/tm2414438d1_8k.htm" TargetMode="External"/><Relationship Id="rId58" Type="http://schemas.openxmlformats.org/officeDocument/2006/relationships/hyperlink" Target="http://www.sec.gov/ix?doc=/Archives/edgar/data/1094038/000110465924070830/tm2416968d1_8k.htm" TargetMode="External"/><Relationship Id="rId59" Type="http://schemas.openxmlformats.org/officeDocument/2006/relationships/hyperlink" Target="http://www.sec.gov/ix?doc=/Archives/edgar/data/1094038/000110465924088054/tm2421372d1_8k.htm" TargetMode="External"/><Relationship Id="rId60" Type="http://schemas.openxmlformats.org/officeDocument/2006/relationships/hyperlink" Target="http://www.sec.gov/ix?doc=/Archives/edgar/data/1094038/000110465924089704/tm2421372d1_8k.htm" TargetMode="External"/><Relationship Id="rId61" Type="http://schemas.openxmlformats.org/officeDocument/2006/relationships/hyperlink" Target="http://www.sec.gov/ix?doc=/Archives/edgar/data/1094038/000110465924119077/tm2421372d1_8k.htm" TargetMode="External"/><Relationship Id="rId62" Type="http://schemas.openxmlformats.org/officeDocument/2006/relationships/hyperlink" Target="http://www.sec.gov/Archives/edgar/data/1094038/000114420418054210/tv504949_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2024-12-06T15:41:20Z</dcterms:created>
  <dcterms:modified xsi:type="dcterms:W3CDTF">2024-12-06T15:41:20Z</dcterms:modified>
</cp:coreProperties>
</file>