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August 26, 2025</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u w:val="single" w:color="auto"/>
          <w:color w:val="auto"/>
        </w:rPr>
        <w:t>MARKER THERAPEUTICS, INC.</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28" w:lineRule="exact"/>
        <w:rPr>
          <w:sz w:val="24"/>
          <w:szCs w:val="24"/>
          <w:color w:val="auto"/>
        </w:rPr>
      </w:pPr>
    </w:p>
    <w:tbl>
      <w:tblPr>
        <w:tblLayout w:type="fixed"/>
        <w:tblInd w:w="1228"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8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6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w w:val="99"/>
              </w:rPr>
              <w:t>001-37939</w:t>
            </w:r>
          </w:p>
        </w:tc>
        <w:tc>
          <w:tcPr>
            <w:tcW w:w="232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45-4497941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4860" w:type="dxa"/>
            <w:vAlign w:val="bottom"/>
            <w:gridSpan w:val="3"/>
          </w:tcPr>
          <w:p>
            <w:pPr>
              <w:jc w:val="center"/>
              <w:ind w:left="420"/>
              <w:spacing w:after="0"/>
              <w:rPr>
                <w:sz w:val="20"/>
                <w:szCs w:val="20"/>
                <w:color w:val="auto"/>
              </w:rPr>
            </w:pPr>
            <w:r>
              <w:rPr>
                <w:rFonts w:ascii="Times New Roman" w:cs="Times New Roman" w:eastAsia="Times New Roman" w:hAnsi="Times New Roman"/>
                <w:sz w:val="12"/>
                <w:szCs w:val="12"/>
                <w:color w:val="auto"/>
              </w:rPr>
              <w:t>(Commission File Number)</w:t>
            </w:r>
          </w:p>
        </w:tc>
        <w:tc>
          <w:tcPr>
            <w:tcW w:w="2740" w:type="dxa"/>
            <w:vAlign w:val="bottom"/>
            <w:gridSpan w:val="5"/>
          </w:tcPr>
          <w:p>
            <w:pPr>
              <w:jc w:val="center"/>
              <w:ind w:left="2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color w:val="auto"/>
                <w:w w:val="98"/>
              </w:rPr>
              <w:t>incorporation)</w:t>
            </w:r>
          </w:p>
        </w:tc>
        <w:tc>
          <w:tcPr>
            <w:tcW w:w="2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60" w:type="dxa"/>
            <w:vAlign w:val="bottom"/>
            <w:gridSpan w:val="3"/>
          </w:tcPr>
          <w:p>
            <w:pPr>
              <w:jc w:val="center"/>
              <w:ind w:right="1620"/>
              <w:spacing w:after="0"/>
              <w:rPr>
                <w:sz w:val="20"/>
                <w:szCs w:val="20"/>
                <w:color w:val="auto"/>
              </w:rPr>
            </w:pPr>
            <w:r>
              <w:rPr>
                <w:rFonts w:ascii="Times New Roman" w:cs="Times New Roman" w:eastAsia="Times New Roman" w:hAnsi="Times New Roman"/>
                <w:sz w:val="12"/>
                <w:szCs w:val="12"/>
                <w:b w:val="1"/>
                <w:bCs w:val="1"/>
                <w:color w:val="auto"/>
                <w:w w:val="99"/>
              </w:rPr>
              <w:t>2450 Holcombe Blvd, TMC Partners Office 1.311</w:t>
            </w:r>
          </w:p>
        </w:tc>
        <w:tc>
          <w:tcPr>
            <w:tcW w:w="1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1"/>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tcPr>
          <w:p>
            <w:pPr>
              <w:jc w:val="center"/>
              <w:ind w:left="800"/>
              <w:spacing w:after="0" w:line="112" w:lineRule="exact"/>
              <w:rPr>
                <w:sz w:val="20"/>
                <w:szCs w:val="20"/>
                <w:color w:val="auto"/>
              </w:rPr>
            </w:pPr>
            <w:r>
              <w:rPr>
                <w:rFonts w:ascii="Times New Roman" w:cs="Times New Roman" w:eastAsia="Times New Roman" w:hAnsi="Times New Roman"/>
                <w:sz w:val="12"/>
                <w:szCs w:val="12"/>
                <w:b w:val="1"/>
                <w:bCs w:val="1"/>
                <w:color w:val="auto"/>
                <w:w w:val="98"/>
              </w:rPr>
              <w:t>Houston, Texas</w:t>
            </w:r>
          </w:p>
        </w:tc>
        <w:tc>
          <w:tcPr>
            <w:tcW w:w="2460" w:type="dxa"/>
            <w:vAlign w:val="bottom"/>
            <w:gridSpan w:val="2"/>
          </w:tcPr>
          <w:p>
            <w:pPr>
              <w:spacing w:after="0"/>
              <w:rPr>
                <w:sz w:val="12"/>
                <w:szCs w:val="12"/>
                <w:color w:val="auto"/>
              </w:rPr>
            </w:pPr>
          </w:p>
        </w:tc>
        <w:tc>
          <w:tcPr>
            <w:tcW w:w="2320" w:type="dxa"/>
            <w:vAlign w:val="bottom"/>
            <w:gridSpan w:val="3"/>
          </w:tcPr>
          <w:p>
            <w:pPr>
              <w:spacing w:after="0"/>
              <w:rPr>
                <w:sz w:val="12"/>
                <w:szCs w:val="12"/>
                <w:color w:val="auto"/>
              </w:rPr>
            </w:pPr>
          </w:p>
        </w:tc>
        <w:tc>
          <w:tcPr>
            <w:tcW w:w="3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3"/>
              </w:rPr>
              <w:t>77021</w:t>
            </w:r>
          </w:p>
        </w:tc>
        <w:tc>
          <w:tcPr>
            <w:tcW w:w="120" w:type="dxa"/>
            <w:vAlign w:val="bottom"/>
          </w:tcPr>
          <w:p>
            <w:pPr>
              <w:spacing w:after="0"/>
              <w:rPr>
                <w:sz w:val="12"/>
                <w:szCs w:val="12"/>
                <w:color w:val="auto"/>
              </w:rPr>
            </w:pP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60" w:type="dxa"/>
            <w:vAlign w:val="bottom"/>
            <w:gridSpan w:val="3"/>
          </w:tcPr>
          <w:p>
            <w:pPr>
              <w:jc w:val="center"/>
              <w:ind w:right="16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277"/>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60" w:type="dxa"/>
            <w:vAlign w:val="bottom"/>
            <w:gridSpan w:val="3"/>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rPr>
              <w:t>(713) 400-6400</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60" w:type="dxa"/>
            <w:vAlign w:val="bottom"/>
            <w:gridSpan w:val="3"/>
          </w:tcPr>
          <w:p>
            <w:pPr>
              <w:jc w:val="center"/>
              <w:ind w:left="42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60" w:type="dxa"/>
            <w:vAlign w:val="bottom"/>
            <w:gridSpan w:val="3"/>
          </w:tcPr>
          <w:p>
            <w:pPr>
              <w:jc w:val="center"/>
              <w:ind w:left="40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is intended to simultaneously satisfy the filing obligation of the registrant under any of the following provisions:</w:t>
      </w:r>
    </w:p>
    <w:p>
      <w:pPr>
        <w:spacing w:after="0" w:line="150"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060" w:type="dxa"/>
            <w:vAlign w:val="bottom"/>
          </w:tcPr>
          <w:p>
            <w:pPr>
              <w:spacing w:after="0"/>
              <w:rPr>
                <w:sz w:val="13"/>
                <w:szCs w:val="13"/>
                <w:color w:val="auto"/>
              </w:rPr>
            </w:pPr>
          </w:p>
        </w:tc>
        <w:tc>
          <w:tcPr>
            <w:tcW w:w="3980" w:type="dxa"/>
            <w:vAlign w:val="bottom"/>
          </w:tcPr>
          <w:p>
            <w:pPr>
              <w:spacing w:after="0"/>
              <w:rPr>
                <w:sz w:val="13"/>
                <w:szCs w:val="13"/>
                <w:color w:val="auto"/>
              </w:rPr>
            </w:pPr>
          </w:p>
        </w:tc>
      </w:tr>
      <w:tr>
        <w:trPr>
          <w:trHeight w:val="277"/>
        </w:trPr>
        <w:tc>
          <w:tcPr>
            <w:tcW w:w="426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Trading</w:t>
            </w:r>
          </w:p>
        </w:tc>
        <w:tc>
          <w:tcPr>
            <w:tcW w:w="398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55"/>
        </w:trPr>
        <w:tc>
          <w:tcPr>
            <w:tcW w:w="426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Symbol(s)</w:t>
            </w:r>
          </w:p>
        </w:tc>
        <w:tc>
          <w:tcPr>
            <w:tcW w:w="398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2"/>
                <w:szCs w:val="12"/>
                <w:color w:val="auto"/>
                <w:w w:val="97"/>
              </w:rPr>
              <w:t>registered</w:t>
            </w:r>
          </w:p>
        </w:tc>
      </w:tr>
      <w:tr>
        <w:trPr>
          <w:trHeight w:val="144"/>
        </w:trPr>
        <w:tc>
          <w:tcPr>
            <w:tcW w:w="426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3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MRKR</w:t>
            </w:r>
          </w:p>
        </w:tc>
        <w:tc>
          <w:tcPr>
            <w:tcW w:w="398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22"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42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0" w:lineRule="exact"/>
        <w:rPr>
          <w:sz w:val="20"/>
          <w:szCs w:val="20"/>
          <w:color w:val="auto"/>
        </w:rPr>
      </w:pPr>
    </w:p>
    <w:p>
      <w:pPr>
        <w:ind w:right="140" w:firstLine="432"/>
        <w:spacing w:after="0" w:line="286" w:lineRule="auto"/>
        <w:rPr>
          <w:sz w:val="20"/>
          <w:szCs w:val="20"/>
          <w:color w:val="auto"/>
        </w:rPr>
      </w:pPr>
      <w:r>
        <w:rPr>
          <w:rFonts w:ascii="Times New Roman" w:cs="Times New Roman" w:eastAsia="Times New Roman" w:hAnsi="Times New Roman"/>
          <w:sz w:val="12"/>
          <w:szCs w:val="12"/>
          <w:color w:val="auto"/>
        </w:rPr>
        <w:t>On August 26, 2025, Marker Therapeutics,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announcing the progress and clinical observations from the Company’s Phase 1 APOLLO study. A copy of the press release is attached hereto as Exhibit 99.1 to this Current Report on Form 8-K and is incorporated herein by reference.</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on August 26, 2025, the Company updated its corporate presentation, which is available through the Company’s website and a copy of which is attached hereto as Exhibit 99.2 to this Current Report on Form 8-K.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also host a webcast discussing the results from the Company’s APOLLO study. The webcast presentation is attached hereto as Exhibit 99.3.</w:t>
      </w:r>
    </w:p>
    <w:p>
      <w:pPr>
        <w:spacing w:after="0" w:line="1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(including Exhibit 99.1, 99.2 and 99.3) is being furnished and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subject to the liabilities of that section or Sections 11 and 12(a)(2) of the Securities Act of 1933, as amended. The information shall not be deemed incorporated by reference into any filing under the Securities Act of 1933, as amended, or the Exchange Act, except as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 Exhibits.</w:t>
            </w: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900" w:type="dxa"/>
            <w:vAlign w:val="bottom"/>
          </w:tcPr>
          <w:p>
            <w:pPr>
              <w:spacing w:after="0"/>
              <w:rPr>
                <w:sz w:val="13"/>
                <w:szCs w:val="13"/>
                <w:color w:val="auto"/>
              </w:rPr>
            </w:pPr>
          </w:p>
        </w:tc>
      </w:tr>
      <w:tr>
        <w:trPr>
          <w:trHeight w:val="261"/>
        </w:trPr>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540" w:type="dxa"/>
            <w:vAlign w:val="bottom"/>
          </w:tcPr>
          <w:p>
            <w:pPr>
              <w:spacing w:after="0"/>
              <w:rPr>
                <w:sz w:val="22"/>
                <w:szCs w:val="2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9560" w:type="dxa"/>
            <w:vAlign w:val="bottom"/>
            <w:gridSpan w:val="4"/>
          </w:tcPr>
          <w:p>
            <w:pPr>
              <w:spacing w:after="0"/>
              <w:rPr>
                <w:sz w:val="22"/>
                <w:szCs w:val="22"/>
                <w:color w:val="auto"/>
              </w:rPr>
            </w:pPr>
          </w:p>
        </w:tc>
      </w:tr>
      <w:tr>
        <w:trPr>
          <w:trHeight w:val="268"/>
        </w:trPr>
        <w:tc>
          <w:tcPr>
            <w:tcW w:w="340" w:type="dxa"/>
            <w:vAlign w:val="bottom"/>
          </w:tcPr>
          <w:p>
            <w:pPr>
              <w:spacing w:after="0"/>
              <w:rPr>
                <w:sz w:val="23"/>
                <w:szCs w:val="23"/>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Press release, dated August 26, 2025.</w:t>
            </w:r>
          </w:p>
        </w:tc>
        <w:tc>
          <w:tcPr>
            <w:tcW w:w="8380" w:type="dxa"/>
            <w:vAlign w:val="bottom"/>
            <w:gridSpan w:val="3"/>
          </w:tcPr>
          <w:p>
            <w:pPr>
              <w:spacing w:after="0"/>
              <w:rPr>
                <w:sz w:val="23"/>
                <w:szCs w:val="23"/>
                <w:color w:val="auto"/>
              </w:rPr>
            </w:pPr>
          </w:p>
        </w:tc>
      </w:tr>
      <w:tr>
        <w:trPr>
          <w:trHeight w:val="142"/>
        </w:trPr>
        <w:tc>
          <w:tcPr>
            <w:tcW w:w="340" w:type="dxa"/>
            <w:vAlign w:val="bottom"/>
          </w:tcPr>
          <w:p>
            <w:pPr>
              <w:spacing w:after="0"/>
              <w:rPr>
                <w:sz w:val="12"/>
                <w:szCs w:val="1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Corporate Presentation, dated August 26, 2025.</w:t>
            </w:r>
          </w:p>
        </w:tc>
      </w:tr>
      <w:tr>
        <w:trPr>
          <w:trHeight w:val="142"/>
        </w:trPr>
        <w:tc>
          <w:tcPr>
            <w:tcW w:w="340" w:type="dxa"/>
            <w:vAlign w:val="bottom"/>
          </w:tcPr>
          <w:p>
            <w:pPr>
              <w:spacing w:after="0"/>
              <w:rPr>
                <w:sz w:val="12"/>
                <w:szCs w:val="12"/>
                <w:color w:val="auto"/>
              </w:rPr>
            </w:pPr>
          </w:p>
        </w:tc>
        <w:tc>
          <w:tcPr>
            <w:tcW w:w="2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rPr>
              <w:t>Webcast Presentation, dated August 26, 2025.</w:t>
            </w:r>
          </w:p>
        </w:tc>
        <w:tc>
          <w:tcPr>
            <w:tcW w:w="790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r>
      <w:tr>
        <w:trPr>
          <w:trHeight w:val="151"/>
        </w:trPr>
        <w:tc>
          <w:tcPr>
            <w:tcW w:w="34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Marker Therapeutics, Inc.</w:t>
            </w:r>
          </w:p>
        </w:tc>
      </w:tr>
      <w:tr>
        <w:trPr>
          <w:trHeight w:val="288"/>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Dated: August 26, 2025</w:t>
            </w: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color w:val="auto"/>
              </w:rPr>
              <w:t>By:   /s/ Juan Vera</w:t>
            </w:r>
          </w:p>
        </w:tc>
      </w:tr>
      <w:tr>
        <w:trPr>
          <w:trHeight w:val="120"/>
        </w:trPr>
        <w:tc>
          <w:tcPr>
            <w:tcW w:w="3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32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Juan Vera</w:t>
            </w:r>
          </w:p>
        </w:tc>
      </w:tr>
      <w:tr>
        <w:trPr>
          <w:trHeight w:val="157"/>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r>
        <w:trPr>
          <w:trHeight w:val="450"/>
        </w:trPr>
        <w:tc>
          <w:tcPr>
            <w:tcW w:w="3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4871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Marker Therapeutics Provides Update on Phase 1 APOLLO Study Highlighting Encouraging Overall Response Rates in Relapsed Lymphoma</w:t>
      </w:r>
    </w:p>
    <w:p>
      <w:pPr>
        <w:spacing w:after="0" w:line="152"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2"/>
          <w:szCs w:val="12"/>
          <w:i w:val="1"/>
          <w:iCs w:val="1"/>
          <w:color w:val="auto"/>
        </w:rPr>
        <w:t>Ongoing Phase 1 APOLLO study investigating MT-601 in patients with relapsed B cell lymphoma showed 66% of Non-Hodgkin Lymphoma (NHL) patients achieving objective response rates, with 50% demonstrating complete response (CR)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Favorable safety profile observed in study participants with no dose limiting toxicities (DLTs) or immune-effector cell associated neurotoxicity syndrome (ICANS) in the dose escalation cohort</w:t>
      </w:r>
    </w:p>
    <w:p>
      <w:pPr>
        <w:spacing w:after="0" w:line="150"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Dose expansion phase of study will investigate MT-601 at pre-specified maximum dose in patients with Diffuse Large B Cell Lymphoma (DLBCL) who have relapsed after or are ineligible for chimeric antigen receptor (CAR)-T cell therapy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Live Webcast to be held today to discuss results at 8:30 a.m. ET</w:t>
      </w:r>
    </w:p>
    <w:p>
      <w:pPr>
        <w:spacing w:after="0" w:line="1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Houston, TX – August 26, 2025 </w:t>
      </w:r>
      <w:r>
        <w:rPr>
          <w:rFonts w:ascii="Times New Roman" w:cs="Times New Roman" w:eastAsia="Times New Roman" w:hAnsi="Times New Roman"/>
          <w:sz w:val="12"/>
          <w:szCs w:val="12"/>
          <w:color w:val="auto"/>
        </w:rPr>
        <w:t>– Marker Therapeutics, Inc. (Nasdaq: MRKR), a clinical-stage immuno-oncology company focusing on developing next-generation T cell-based immunotherapies for the treatment of hematological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malignancies and solid tumor indications, today provided an update on the progress and clinical observations from the Phase 1 APOLLO study.</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Company’s Phase 1 APOLLO study (clinicaltrials.gov identifier: NCT05798897) is a multicenter, open-label clinical study investigating MT-601, a Multi-Antigen Recognizing (MAR)-T cell product, in patients with lymphoma who have relapsed after anti-CD19 CAR-T cell therapy or for whom anti-CD19 CAR-T cell therapy is not an option. Today, Marker is reporting an update on the safety and efficacy data from the dose escalation portion of the study showing a favorable safety profile across all evaluated doses (dose range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and a 66% objective response rate in patients with NHL, with 50% demonstrating complete response.</w:t>
      </w:r>
    </w:p>
    <w:p>
      <w:pPr>
        <w:spacing w:after="0" w:line="2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A total of 24 B-cell lymphoma patients have been treated with MT-601 across 7 U.S. clinical sites, including 15 patients with Non-Hodgkin Lymphoma (NHL) and 9 patients with Hodgkin Lymphoma (HL). At the time of the data cutoff (June 2025), 12 NHL and 9 HL patients have been assessed. Patients with NHL and HL received doses ranging from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and showed objective responses and a favorable safety profile.</w:t>
      </w:r>
    </w:p>
    <w:p>
      <w:pPr>
        <w:spacing w:after="0" w:line="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very excited and encouraged by the progress of the study,” said Juan Vera, M.D., President and CEO of Marker Therapeutics. “The safety and preliminary efficacy data from our Phase 1 APOLLO study underscore the potential of MT-601 in heavily pre-treated patients with lymphoma, who have relapsed after multiple lines of therapy, including CAR-T cells and bispecific antibodies. While CAR-T cells have gained acceptance in the treatment of lymphoma, with approximately 8,000 patients treated globally in 2024, 40-60% of such patients have disease progression within the first year of treatment. We believe that MT-601 could address this critical unmet need and offer new hope to patients who have exhausted multiple lines of treatment, including CAR-T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8715"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t>Efficacy and Duration of Response</w:t>
      </w:r>
    </w:p>
    <w:p>
      <w:pPr>
        <w:spacing w:after="0" w:line="15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The 12 NHL patients received doses ranging from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-200x10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and had undergone multiple lines of therapy (median of 5 prior lines of therapy), including anti-CD19 CAR-T cells (n=9) and bispecific antibodies (n=4); dual exposed patients (n=4). 8 out of 12 NHL patients had objective responses (66%), with 6 patients demonstrating complete response (CR) as best response (50%). Durable responses were observed (range 3-24 months) with 5 patients showing continued response ≥6 months, including 3 patients with ≥12 months durability.</w:t>
      </w:r>
    </w:p>
    <w:p>
      <w:pPr>
        <w:spacing w:after="0" w:line="13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HL patients received doses ranging from 200x10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and had undergone a median of 8 prior lines of therapy. Seven out of 9 HL patients had objective responses (78%), with 1 patient demonstrating CR (11%) highlighting the versatility of MT-601 across multiple histologies.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Safety Profile</w:t>
      </w:r>
    </w:p>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The dose escalation portion of the study tested doses ranging from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in patients with B-cell lymphoma. To date, no DLTs have been reported at the highest dose (400x10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Infusion of MT-601 was well tolerated in all study participants, with no observation of ICANS and two reported Grade 1 cytokine release syndrome (CRS) events (fever; no treatment was required). Patients were treated with or without lymphodepleting chemotherapy prior to receiving infusions of MT-601. No change in DLTs or ICANS was observed between patients treated with and without lymphodepletion. Data collected from the 24 patients treated demonstrated a robust safety profile with no reported serious adverse events reinforcing the benefit of MT-601.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Study Design and Dose Expansion</w:t>
      </w:r>
    </w:p>
    <w:p>
      <w:pPr>
        <w:spacing w:after="0" w:line="156"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2"/>
          <w:szCs w:val="12"/>
          <w:color w:val="auto"/>
        </w:rPr>
        <w:t>The Phase 1 APOLLO study is composed of a dose escalation phase, followed by a dose expansion phase. The dose escalation cohort evaluated the safety and optimum dose level of MT-601 with doses ranging from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On June 17, the Safety Review Committee (SRC) cleared the pre-specified maximum dose (400x10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for the dose expansion portion of the trial. The dose expansion will enroll patients with DLBCL who have relapsed after anti-CD19 CAR-T cells or who are ineligible for CAR-T therapy.</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observed outcomes in NHL demonstrate that certain patients can achieve clinically meaningful responses with MT-601 even at lower doses of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or 200x10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commented Dr. Vera. “We look forward to advancing the study to the dose expansion phase, where we will investigate MT-601 at the maximum dose of 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in patients with relapsed DLBCL to potentially build upon these promising results.”</w:t>
      </w:r>
    </w:p>
    <w:p>
      <w:pPr>
        <w:spacing w:after="0" w:line="5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Dr. Vera continued, “The encouraging efficacy in patients with NHL was achieved at doses ranging from 100x10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-200x10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We believe that investigating MT-601 at the maximum dose of 400x10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cells in the dose expansion cohort could have the potential to further improve the clinical efficacy and durability we are currently observing in patients with NHL. It is particularly encouraging that even at the highest dose level no DLTs were reported in the dose escalation phase. We will continue to closely monitor the safety and efficacy of MT-601 in treated patients and anticipate to provide another data update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40"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871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t>Webcast Details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Marker will host a live, online-only webcast today at 8:30 am E.D.T. to discuss the clinical results and provide a corporate update. To attend the live event, please use </w:t>
      </w:r>
      <w:r>
        <w:rPr>
          <w:rFonts w:ascii="Times New Roman" w:cs="Times New Roman" w:eastAsia="Times New Roman" w:hAnsi="Times New Roman"/>
          <w:sz w:val="12"/>
          <w:szCs w:val="12"/>
          <w:u w:val="single" w:color="auto"/>
          <w:color w:val="auto"/>
        </w:rPr>
        <w:t>this link</w:t>
      </w:r>
      <w:r>
        <w:rPr>
          <w:rFonts w:ascii="Times New Roman" w:cs="Times New Roman" w:eastAsia="Times New Roman" w:hAnsi="Times New Roman"/>
          <w:sz w:val="12"/>
          <w:szCs w:val="12"/>
          <w:color w:val="auto"/>
        </w:rPr>
        <w:t xml:space="preserve"> to register. During the event, attendees will have the opportunity to submit written questions via the webcast platform’s Q&amp;A feature. After the event, a recording will be made available for replay on the Company’s IR website under </w:t>
      </w:r>
      <w:r>
        <w:rPr>
          <w:rFonts w:ascii="Times New Roman" w:cs="Times New Roman" w:eastAsia="Times New Roman" w:hAnsi="Times New Roman"/>
          <w:sz w:val="12"/>
          <w:szCs w:val="12"/>
          <w:u w:val="single" w:color="auto"/>
          <w:color w:val="auto"/>
        </w:rPr>
        <w:t>Events &amp; Presentations</w:t>
      </w:r>
      <w:r>
        <w:rPr>
          <w:rFonts w:ascii="Times New Roman" w:cs="Times New Roman" w:eastAsia="Times New Roman" w:hAnsi="Times New Roman"/>
          <w:sz w:val="12"/>
          <w:szCs w:val="12"/>
          <w:color w:val="auto"/>
        </w:rPr>
        <w:t xml:space="preserve"> for approximately 30 days.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MT-601</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Company’s lead product, MT-601, is a multi-antigen recognizing (MAR) T cell product that utilizes a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patients with lymphoma who have relapsed after or are not candidates for anti-CD19 CAR-T cell therapies.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APOLLO</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APOLLO trial (clinicaltrials.gov Identifier: NCT05798897) is a Phase 1, multicenter, open-label study designed to evaluate the safety and efficacy of MT-601 in participants with relapsed or refractory lymphoma who have either failed anti-CD19 chimeric antigen receptor (CAR) T cell therapy or are not candidates for anti-CD19 CAR-T cell therapy. The primary objective of this exploratory Phase 1 clinical trial is to evaluate the optimum dose, safety, and preliminary efficacy of MT-601 in participants with various lymphoma subtypes. The APOLLO study is supported by the National Cancer Institute of the National Institutes of Health under Award Number R44CA291521.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MAR-T cells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Marker Therapeutics, Inc.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 receive future press releases via email, please visit: </w:t>
      </w:r>
      <w:r>
        <w:rPr>
          <w:rFonts w:ascii="Times New Roman" w:cs="Times New Roman" w:eastAsia="Times New Roman" w:hAnsi="Times New Roman"/>
          <w:sz w:val="12"/>
          <w:szCs w:val="12"/>
          <w:u w:val="single" w:color="auto"/>
          <w:color w:val="auto"/>
        </w:rPr>
        <w:t>https://www.markertherapeutics.com/email-alerts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4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4871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t>Forward-Looking Statements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 Company assumes no obligation to update its forward-looking statements whether as a result of new information, future events or otherwise, after the date of this press release except as may be required by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and Investor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Marker Therapeutics,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(713) 400-6400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40" w:right="299" w:bottom="1440" w:gutter="0" w:footer="0" w:header="0"/>
        </w:sectPr>
      </w:pPr>
    </w:p>
    <w:bookmarkStart w:id="7" w:name="page8"/>
    <w:bookmarkEnd w:id="7"/>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123190</wp:posOffset>
            </wp:positionV>
            <wp:extent cx="7218680" cy="438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7"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7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417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411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2025-08-26T06:24:14Z</dcterms:created>
  <dcterms:modified xsi:type="dcterms:W3CDTF">2025-08-26T06:24:14Z</dcterms:modified>
</cp:coreProperties>
</file>