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11,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3"/>
          </w:tcPr>
          <w:p>
            <w:pPr>
              <w:jc w:val="right"/>
              <w:ind w:right="174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2300" w:type="dxa"/>
            <w:vAlign w:val="bottom"/>
            <w:gridSpan w:val="4"/>
          </w:tcPr>
          <w:p>
            <w:pPr>
              <w:jc w:val="center"/>
              <w:ind w:right="1140"/>
              <w:spacing w:after="0" w:line="194" w:lineRule="exact"/>
              <w:rPr>
                <w:sz w:val="20"/>
                <w:szCs w:val="20"/>
                <w:color w:val="auto"/>
              </w:rPr>
            </w:pPr>
            <w:r>
              <w:rPr>
                <w:rFonts w:ascii="Arial" w:cs="Arial" w:eastAsia="Arial" w:hAnsi="Arial"/>
                <w:sz w:val="18"/>
                <w:szCs w:val="18"/>
                <w:b w:val="1"/>
                <w:bCs w:val="1"/>
                <w:color w:val="auto"/>
                <w:w w:val="86"/>
              </w:rPr>
              <w:t>Houston, Texas</w:t>
            </w: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8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18"/>
        </w:trPr>
        <w:tc>
          <w:tcPr>
            <w:tcW w:w="4660" w:type="dxa"/>
            <w:vAlign w:val="bottom"/>
          </w:tcPr>
          <w:p>
            <w:pPr>
              <w:spacing w:after="0"/>
              <w:rPr>
                <w:sz w:val="24"/>
                <w:szCs w:val="24"/>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color w:val="auto"/>
                <w:w w:val="94"/>
              </w:rPr>
              <w:t>Trading</w:t>
            </w:r>
          </w:p>
        </w:tc>
        <w:tc>
          <w:tcPr>
            <w:tcW w:w="4700" w:type="dxa"/>
            <w:vAlign w:val="bottom"/>
          </w:tcPr>
          <w:p>
            <w:pPr>
              <w:spacing w:after="0"/>
              <w:rPr>
                <w:sz w:val="24"/>
                <w:szCs w:val="24"/>
                <w:color w:val="auto"/>
              </w:rPr>
            </w:pPr>
          </w:p>
        </w:tc>
      </w:tr>
      <w:tr>
        <w:trPr>
          <w:trHeight w:val="230"/>
        </w:trPr>
        <w:tc>
          <w:tcPr>
            <w:tcW w:w="4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Title of each class</w:t>
            </w:r>
          </w:p>
        </w:tc>
        <w:tc>
          <w:tcPr>
            <w:tcW w:w="1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Symbol(s)</w:t>
            </w:r>
          </w:p>
        </w:tc>
        <w:tc>
          <w:tcPr>
            <w:tcW w:w="47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660" w:type="dxa"/>
            <w:vAlign w:val="bottom"/>
          </w:tcPr>
          <w:p>
            <w:pPr>
              <w:jc w:val="center"/>
              <w:ind w:left="130"/>
              <w:spacing w:after="0"/>
              <w:rPr>
                <w:sz w:val="20"/>
                <w:szCs w:val="20"/>
                <w:color w:val="auto"/>
              </w:rPr>
            </w:pPr>
            <w:r>
              <w:rPr>
                <w:rFonts w:ascii="Arial" w:cs="Arial" w:eastAsia="Arial" w:hAnsi="Arial"/>
                <w:sz w:val="18"/>
                <w:szCs w:val="18"/>
                <w:color w:val="auto"/>
                <w:w w:val="89"/>
              </w:rPr>
              <w:t>Common Stock, par value $0.001 per share</w:t>
            </w:r>
          </w:p>
        </w:tc>
        <w:tc>
          <w:tcPr>
            <w:tcW w:w="1880" w:type="dxa"/>
            <w:vAlign w:val="bottom"/>
          </w:tcPr>
          <w:p>
            <w:pPr>
              <w:jc w:val="center"/>
              <w:ind w:right="10"/>
              <w:spacing w:after="0"/>
              <w:rPr>
                <w:sz w:val="20"/>
                <w:szCs w:val="20"/>
                <w:color w:val="auto"/>
              </w:rPr>
            </w:pPr>
            <w:r>
              <w:rPr>
                <w:rFonts w:ascii="Arial" w:cs="Arial" w:eastAsia="Arial" w:hAnsi="Arial"/>
                <w:sz w:val="18"/>
                <w:szCs w:val="18"/>
                <w:color w:val="auto"/>
              </w:rPr>
              <w:t>MRKR</w:t>
            </w:r>
          </w:p>
        </w:tc>
        <w:tc>
          <w:tcPr>
            <w:tcW w:w="4700" w:type="dxa"/>
            <w:vAlign w:val="bottom"/>
          </w:tcPr>
          <w:p>
            <w:pPr>
              <w:jc w:val="center"/>
              <w:ind w:right="230"/>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May 11, 2020, Marker Therapeutics, Inc. (the “Company”) reported financial results for the quarter ended March 31, 2020 and other recent corporate updates. A copy of the press release is furnished as Exhibit 99.1 to this report and incorporated by reference.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420" w:type="dxa"/>
            <w:vAlign w:val="bottom"/>
          </w:tcPr>
          <w:p>
            <w:pPr>
              <w:spacing w:after="0"/>
              <w:rPr>
                <w:sz w:val="20"/>
                <w:szCs w:val="20"/>
                <w:color w:val="auto"/>
              </w:rPr>
            </w:pPr>
          </w:p>
        </w:tc>
        <w:tc>
          <w:tcPr>
            <w:tcW w:w="99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issued on May 11, 2020</w:t>
              </w:r>
              <w:r>
                <w:rPr>
                  <w:rFonts w:ascii="Arial" w:cs="Arial" w:eastAsia="Arial" w:hAnsi="Arial"/>
                  <w:sz w:val="18"/>
                  <w:szCs w:val="18"/>
                  <w:color w:val="0000EE"/>
                </w:rPr>
                <w:t>.</w:t>
              </w:r>
            </w:hyperlink>
          </w:p>
        </w:tc>
      </w:tr>
      <w:tr>
        <w:trPr>
          <w:trHeight w:val="459"/>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Dated: May 11, 2020</w:t>
            </w:r>
          </w:p>
        </w:tc>
        <w:tc>
          <w:tcPr>
            <w:tcW w:w="6980" w:type="dxa"/>
            <w:vAlign w:val="bottom"/>
            <w:gridSpan w:val="2"/>
          </w:tcPr>
          <w:p>
            <w:pPr>
              <w:ind w:left="2720"/>
              <w:spacing w:after="0"/>
              <w:rPr>
                <w:sz w:val="20"/>
                <w:szCs w:val="20"/>
                <w:color w:val="auto"/>
              </w:rPr>
            </w:pPr>
            <w:r>
              <w:rPr>
                <w:rFonts w:ascii="Arial" w:cs="Arial" w:eastAsia="Arial" w:hAnsi="Arial"/>
                <w:sz w:val="18"/>
                <w:szCs w:val="18"/>
                <w:color w:val="auto"/>
              </w:rPr>
              <w:t>By: /s/ Anthony Kim</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459"/>
        </w:trPr>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3738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First Quarter 2020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and webcast today at 5:00pm EDT</w:t>
      </w:r>
    </w:p>
    <w:p>
      <w:pPr>
        <w:spacing w:after="0" w:line="2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Houston, TX—May 11, 2020—</w:t>
      </w:r>
      <w:r>
        <w:rPr>
          <w:rFonts w:ascii="Arial" w:cs="Arial" w:eastAsia="Arial" w:hAnsi="Arial"/>
          <w:sz w:val="18"/>
          <w:szCs w:val="18"/>
          <w:color w:val="auto"/>
        </w:rPr>
        <w:t>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provided a corporate update and reported financial results for the first quarter ended March 31, 2020.</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“While we are eager to initiate our planned Phase 2 trial with our novel MultiTAA-specific T cell therapy in patients with acute myeloid leukemia (AML), we anticipate that the initiation of our trial will be delayed by the impacts the COVID-19 pandemic has had on our clinical trial partners and throughout our supply chain. As a result of the uncertainty, we believe it is prudent to withdraw our prior guidance on the timing of this trial until the outlook clarifies,” said Peter L. Hoang, President &amp; CEO of Marker Therapeutics. “Despite these pandemic-related effects, we remain optimistic that when the study opens, there will be significant patient interest. We are moving expediently in the interim to secure clinical trial sites and are monitoring the situation closely to prioritize the health and wellness of our employees and the patients we serve.”</w:t>
      </w:r>
    </w:p>
    <w:p>
      <w:pPr>
        <w:spacing w:after="0" w:line="17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Continued Mr. Hoang: “We continue to be encouraged by the potential of our MultiTAA-specific T cell therapy to change the treatment paradigm for patients with both liquid and solid tumors. Recently, we received Orphan Drug designation from the U.S. FDA for MT-401, our MultiTAA-specific T cell product candidate to treat patients with AML post-stem cell transplant, our lead indication. Additionally, we are looking forward to soon reporting an update from an ongoing academic-sponsored trial in pancreatic adenocarcinoma, which will be presented during the upcoming ASCO annual meeting.”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Multi-Antigen Targeted (MultiTAA) T 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AML Trial Update</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Due to the COVID-19 pandemic, Marker expects to be delayed in initiating its planned Phase 2 trial in post-transplant AML patients per previously communicated timelines. Under an amended trial protocol announced in February 2020, the U.S. FDA cleared the Company to initiate the trial, beginning with a safety lead-in. Marker has paused opening the study for enrollment of the first three patients, as the manufacturing facility it utilizes to supply study drug remains closed during the pandemic. The Company continues to identify potential trial sites in the interim, in addition to establishing its own manufacturing facility. The latter portion of the safety lead-in, which involves use of a new reagent, remains on hold until the FDA reviews and accepts the final data and certificate of analysis. The alternate supplier providing these has informed the Company that it will be delayed in providing the reagent.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Orphan Drug Designation Granted for MultiTAA T Cell Therapy in AML</w:t>
      </w:r>
    </w:p>
    <w:p>
      <w:pPr>
        <w:spacing w:after="0" w:line="27" w:lineRule="exact"/>
        <w:rPr>
          <w:sz w:val="20"/>
          <w:szCs w:val="20"/>
          <w:color w:val="auto"/>
        </w:rPr>
      </w:pPr>
    </w:p>
    <w:p>
      <w:pPr>
        <w:jc w:val="both"/>
        <w:ind w:right="300"/>
        <w:spacing w:after="0" w:line="277" w:lineRule="auto"/>
        <w:rPr>
          <w:sz w:val="20"/>
          <w:szCs w:val="20"/>
          <w:color w:val="auto"/>
        </w:rPr>
      </w:pPr>
      <w:r>
        <w:rPr>
          <w:rFonts w:ascii="Arial" w:cs="Arial" w:eastAsia="Arial" w:hAnsi="Arial"/>
          <w:sz w:val="17"/>
          <w:szCs w:val="17"/>
          <w:color w:val="auto"/>
        </w:rPr>
        <w:t>In April, the FDA’s Office of Orphan Products Development granted Orphan Drug designation to MT-401, Marker’s MultiTAA-specific T cell product candidate for the treatment of patients with post-transplant AML. Orphan designation is granted to advance the evaluation and development of safe and effective therapies for the treatment of rare diseases or conditions affecting fewer than 200,000 people in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 Data Update During ASCO</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Updated data from an ongoing Phase 1/2 clinical trial being conducted with Marker’s MultiTAA-specific T cell product at the Baylor College of Medicine (BCM) in patients with pancreatic adenocarcinoma will be presented during the Annual Meeting of the American Society of Clinical Oncology (ASCO)— which due to the COVID-19 pandemic, will be held virtually. As previously reported, in the front-line treatment arm in combination with standard-of-care chemotherapy, clinical benefit was observed in correlation with the post-infusion detection of tumor-reactive T cells in patients’ peripheral blood. These T cells exhibited activity against both targeted antigens and non-targeted TAAs, indicating induction of antigen spreading. To date, there has not been any cytokine release syndrome or neurotoxicity observed in this trial.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Cell-Based Vaccines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Triple Negative Breast Cancer Trial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Marker’s T cell-based vaccine program in triple negative breast cancer has delivered the following results as of September 30, 2019:</w:t>
      </w:r>
    </w:p>
    <w:p>
      <w:pPr>
        <w:spacing w:after="0" w:line="211" w:lineRule="exact"/>
        <w:rPr>
          <w:sz w:val="20"/>
          <w:szCs w:val="20"/>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a preliminary analysis of 34 patients enrolled in the triple negative breast cancer trial, 31 patients showed meaningful immune response to vaccine treatment;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80 patients treated at 11 clinical sites, 16 have shown disease progression following treatment with TPIV200.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9" w:lineRule="exact"/>
        <w:rPr>
          <w:sz w:val="20"/>
          <w:szCs w:val="20"/>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 2020, Marker announced that the Company entered into a Common Stock Purchase Agreement of up to $30 million with Aspire Capital Fund, LLC, a Chicago-based institutional investor and long-term Marker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25" w:lineRule="exact"/>
        <w:rPr>
          <w:sz w:val="20"/>
          <w:szCs w:val="20"/>
          <w:color w:val="auto"/>
        </w:rPr>
      </w:pPr>
    </w:p>
    <w:p>
      <w:pPr>
        <w:ind w:left="340" w:right="320"/>
        <w:spacing w:after="0" w:line="312" w:lineRule="auto"/>
        <w:rPr>
          <w:sz w:val="20"/>
          <w:szCs w:val="20"/>
          <w:color w:val="auto"/>
        </w:rPr>
      </w:pPr>
      <w:r>
        <w:rPr>
          <w:rFonts w:ascii="Arial" w:cs="Arial" w:eastAsia="Arial" w:hAnsi="Arial"/>
          <w:sz w:val="17"/>
          <w:szCs w:val="17"/>
          <w:b w:val="1"/>
          <w:bCs w:val="1"/>
          <w:color w:val="auto"/>
        </w:rPr>
        <w:t xml:space="preserve">Cash Position and Guidance: </w:t>
      </w:r>
      <w:r>
        <w:rPr>
          <w:rFonts w:ascii="Arial" w:cs="Arial" w:eastAsia="Arial" w:hAnsi="Arial"/>
          <w:sz w:val="17"/>
          <w:szCs w:val="17"/>
          <w:color w:val="auto"/>
        </w:rPr>
        <w:t>At March 31, 2020, Marker had cash and cash equivalents of $40.3 million. The Company believes that its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 will fund its operating expenses and capital expenditure requirements into the second quarter of 2021.</w:t>
      </w:r>
    </w:p>
    <w:p>
      <w:pPr>
        <w:spacing w:after="0" w:line="140"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$3.8 million for the quarter ended March 31, 2020 compared to $2.8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2019. The increase was primarily attributable to headcount-related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$2.8 million for the quarter ended March 31, 2020 and March 31, 2019.</w:t>
      </w:r>
    </w:p>
    <w:p>
      <w:pPr>
        <w:spacing w:after="0" w:line="225"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$6.5 million for the quarter ended March 31, 2020, compared to a net loss of $5.3 million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webcast and conference call to discuss its first quarter 2020 financial results and provide a corporate update today at 5:00 p.m.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EDT.</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webcast will be accessible in the Investors section of the Company’s website at markertherapeutics.com. Individuals can participate in the conference call by dialing 877-407-8913 (domestic) or 201-689-8201 (international) and referring to the “Marker Therapeutics First Quarter 2020 Earnings Call.”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archived webcast will be available for replay on the Marker website following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color w:val="auto"/>
        </w:rPr>
        <w:t>https://www.markertherapeutics.com/email-alerts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and our TPIV200 program; the effectiveness of these programs or the possible range of application and potential curative effects and safety in the treatment of diseases; the potential benefits of orphan drug designation; the impact of the COVID-19 pandemic;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627"/>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40,255,062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43,903,949</w:t>
            </w:r>
          </w:p>
        </w:tc>
      </w:tr>
      <w:tr>
        <w:trPr>
          <w:trHeight w:val="229"/>
        </w:trPr>
        <w:tc>
          <w:tcPr>
            <w:tcW w:w="2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1,716,092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1,526,442</w:t>
            </w:r>
          </w:p>
        </w:tc>
      </w:tr>
      <w:tr>
        <w:trPr>
          <w:trHeight w:val="230"/>
        </w:trPr>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24,605</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56,189</w:t>
            </w: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41,995,759</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r>
      <w:tr>
        <w:trPr>
          <w:trHeight w:val="425"/>
        </w:trPr>
        <w:tc>
          <w:tcPr>
            <w:tcW w:w="260" w:type="dxa"/>
            <w:vAlign w:val="bottom"/>
          </w:tcPr>
          <w:p>
            <w:pPr>
              <w:spacing w:after="0"/>
              <w:rPr>
                <w:sz w:val="24"/>
                <w:szCs w:val="2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482,084</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417,528</w:t>
            </w:r>
          </w:p>
        </w:tc>
      </w:tr>
      <w:tr>
        <w:trPr>
          <w:trHeight w:val="230"/>
        </w:trPr>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407,813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455,174</w:t>
            </w:r>
          </w:p>
        </w:tc>
      </w:t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889,897</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r>
      <w:tr>
        <w:trPr>
          <w:trHeight w:val="453"/>
        </w:trPr>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42,885,656</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46,359,282</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-1748155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-1464945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-1191260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-899795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-616585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-325120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-16510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688"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2,955,293</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1,757,680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209,081</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204,132</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3,164,374</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4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226,111</w:t>
            </w:r>
          </w:p>
        </w:tc>
        <w:tc>
          <w:tcPr>
            <w:tcW w:w="4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280,247</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226,111</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3,390,485</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2,273,059</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44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outstanding at March 31, 2020 and December 31, 2019, respectively</w:t>
            </w:r>
          </w:p>
        </w:tc>
        <w:tc>
          <w:tcPr>
            <w:tcW w:w="40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74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6"/>
              </w:rPr>
              <w:t>Common stock, $0.001 par value, 150 million shares authorized, 46.5 million and 45.7 million</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shares issued and outstanding as of March 31, 2020 and December 31, 2019, respectively</w:t>
            </w:r>
          </w:p>
        </w:tc>
        <w:tc>
          <w:tcPr>
            <w:tcW w:w="4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46,532</w:t>
            </w:r>
          </w:p>
        </w:tc>
        <w:tc>
          <w:tcPr>
            <w:tcW w:w="4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45,728</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373,467,697</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371,573,909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(334,019,058)</w:t>
            </w: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(327,533,414)</w:t>
            </w: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39,495,171</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42,885,656</w:t>
            </w:r>
          </w:p>
        </w:tc>
        <w:tc>
          <w:tcPr>
            <w:tcW w:w="400" w:type="dxa"/>
            <w:vAlign w:val="bottom"/>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46,359,282</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7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3,816,618</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2,832,695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2,826,995</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2,805,775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6,643,613</w:t>
            </w:r>
          </w:p>
        </w:tc>
        <w:tc>
          <w:tcPr>
            <w:tcW w:w="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5,638,470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(6,643,613)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(5,638,470)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31,000</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126,969</w:t>
            </w: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328,545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(6,485,644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(5,318,925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(0.14)</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46,084,383</w:t>
            </w:r>
          </w:p>
        </w:tc>
        <w:tc>
          <w:tcPr>
            <w:tcW w:w="320" w:type="dxa"/>
            <w:vAlign w:val="bottom"/>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45,465,754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(6,485,644)</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(5,318,925)</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35,265</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10,514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(31,000)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1,344,592</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1,525,976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47,361</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(189,650)</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(74,716)</w:t>
            </w: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31,584</w:t>
            </w:r>
          </w:p>
        </w:tc>
        <w:tc>
          <w:tcPr>
            <w:tcW w:w="4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(4,023)</w:t>
            </w:r>
          </w:p>
        </w:tc>
      </w:tr>
      <w:tr>
        <w:trPr>
          <w:trHeight w:val="216"/>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1,197,613</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(27,628)</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(49,187)</w:t>
            </w:r>
          </w:p>
        </w:tc>
        <w:tc>
          <w:tcPr>
            <w:tcW w:w="4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(44,575)</w:t>
            </w:r>
          </w:p>
        </w:tc>
      </w:tr>
      <w:tr>
        <w:trPr>
          <w:trHeight w:val="210"/>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(4,099,066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(3,880,166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(99,821)</w:t>
            </w:r>
          </w:p>
        </w:tc>
        <w:tc>
          <w:tcPr>
            <w:tcW w:w="4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(223,126)</w:t>
            </w:r>
          </w:p>
        </w:tc>
      </w:tr>
      <w:tr>
        <w:trPr>
          <w:trHeight w:val="210"/>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57,744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550,000</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(3,648,887)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(4,040,169)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43,903,949</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40,255,062</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57,706,579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221-9197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crusso@soleburytrout.com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2020-05-11T15:29:17Z</dcterms:created>
  <dcterms:modified xsi:type="dcterms:W3CDTF">2020-05-11T15:29:17Z</dcterms:modified>
</cp:coreProperties>
</file>