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June 26, 2017</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0"/>
              </w:rPr>
              <w:t>Nevada</w:t>
            </w:r>
          </w:p>
        </w:tc>
        <w:tc>
          <w:tcPr>
            <w:tcW w:w="25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001-37939</w:t>
            </w:r>
          </w:p>
        </w:tc>
        <w:tc>
          <w:tcPr>
            <w:tcW w:w="1660" w:type="dxa"/>
            <w:vAlign w:val="bottom"/>
          </w:tcPr>
          <w:p>
            <w:pPr>
              <w:spacing w:after="0"/>
              <w:rPr>
                <w:sz w:val="17"/>
                <w:szCs w:val="17"/>
                <w:color w:val="auto"/>
              </w:rPr>
            </w:pPr>
          </w:p>
        </w:tc>
        <w:tc>
          <w:tcPr>
            <w:tcW w:w="28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332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50 N. Laura Street, Suite 2500</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2380" w:type="dxa"/>
            <w:vAlign w:val="bottom"/>
            <w:gridSpan w:val="4"/>
          </w:tcPr>
          <w:p>
            <w:pPr>
              <w:jc w:val="center"/>
              <w:ind w:right="1120"/>
              <w:spacing w:after="0" w:line="194" w:lineRule="exact"/>
              <w:rPr>
                <w:sz w:val="20"/>
                <w:szCs w:val="20"/>
                <w:color w:val="auto"/>
              </w:rPr>
            </w:pPr>
            <w:r>
              <w:rPr>
                <w:rFonts w:ascii="Arial" w:cs="Arial" w:eastAsia="Arial" w:hAnsi="Arial"/>
                <w:sz w:val="18"/>
                <w:szCs w:val="18"/>
                <w:b w:val="1"/>
                <w:bCs w:val="1"/>
                <w:color w:val="auto"/>
                <w:w w:val="90"/>
              </w:rPr>
              <w:t>Jacksonville, FL</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80" w:type="dxa"/>
            <w:vAlign w:val="bottom"/>
            <w:gridSpan w:val="4"/>
          </w:tcPr>
          <w:p>
            <w:pPr>
              <w:jc w:val="center"/>
              <w:ind w:left="1030"/>
              <w:spacing w:after="0" w:line="194" w:lineRule="exact"/>
              <w:rPr>
                <w:sz w:val="20"/>
                <w:szCs w:val="20"/>
                <w:color w:val="auto"/>
              </w:rPr>
            </w:pPr>
            <w:r>
              <w:rPr>
                <w:rFonts w:ascii="Arial" w:cs="Arial" w:eastAsia="Arial" w:hAnsi="Arial"/>
                <w:sz w:val="18"/>
                <w:szCs w:val="18"/>
                <w:b w:val="1"/>
                <w:bCs w:val="1"/>
                <w:color w:val="auto"/>
                <w:w w:val="87"/>
              </w:rPr>
              <w:t>32202</w:t>
            </w:r>
          </w:p>
        </w:tc>
        <w:tc>
          <w:tcPr>
            <w:tcW w:w="76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2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gridSpan w:val="4"/>
          </w:tcPr>
          <w:p>
            <w:pPr>
              <w:jc w:val="center"/>
              <w:ind w:right="760"/>
              <w:spacing w:after="0"/>
              <w:rPr>
                <w:sz w:val="20"/>
                <w:szCs w:val="20"/>
                <w:color w:val="auto"/>
              </w:rPr>
            </w:pPr>
            <w:r>
              <w:rPr>
                <w:rFonts w:ascii="Arial" w:cs="Arial" w:eastAsia="Arial" w:hAnsi="Arial"/>
                <w:sz w:val="18"/>
                <w:szCs w:val="18"/>
                <w:color w:val="auto"/>
                <w:w w:val="94"/>
              </w:rPr>
              <w:t>(Zip Code)</w:t>
            </w: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Arial" w:cs="Arial" w:eastAsia="Arial" w:hAnsi="Arial"/>
                <w:sz w:val="18"/>
                <w:szCs w:val="18"/>
                <w:b w:val="1"/>
                <w:bCs w:val="1"/>
                <w:color w:val="auto"/>
              </w:rPr>
              <w:t>(904) 516-5436</w:t>
            </w: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2017, TapImmune Inc. (the “Company”) closed on the previously announced sale of 1,503,567 shares of common stock for $3.97 per share (the consolidated closing bid price for the common stock on June 21, 2017) and five-year warrants to purchase an equal number of shares of common stock, at an exercise price of $3.97 per share (the “PIPE Warrants”), for $0.125 per PIPE Warrant, with one common share and one PIPE Warrant being sold together as a unit (a “Unit”) for a total of $4.095 per Unit. The sales were made pursuant to subscription agreements (the “Subscription Agreements”) with certain accredited investors in a private placement of the Units under Rule 506 of Regulation D (the “Offering”). Aggregate gross proceeds were approximately $6.16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entered into in connection with the Offering, promptly, but no later than 90 calendar days after the closing of the Offering,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for the Offering (as described below). The Company is required to use its commercially reasonable efforts to ensure that the Registration Statement is declared effective within 90 calendar days after filing with the SEC.</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foregoing is a summary of the terms of the PIPE Warrant, Subscription Agreement and the Registration Rights Agreement and does not purport to be complete. The foregoing summary is qualified in its entirety by reference to the full text of the PIPE Warrant, Subscription Agreement and the Registration Rights Agreement, copies of which have been filed as exhibits to the Current Report on Form 8-K filed with the SEC on June 22, 2017 and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 and Repricings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Repricing of Warrants issued in August 2016 Private Placement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Offering,, the Company reduced the exercise price for the warrants to purchase an aggregate of 653,187 shares of common stock issued to investors in the private placement that closed in August 2016 from $6.00 per share to $3.97 per share. Investors in the current private placement transaction also paid the Company $0.125 for each share subject to such investor’s 2016 warrant.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23, 2017, certain existing institutional shareholders of the Company who hold various outstanding warrants to purchase Company common stock exercised a portion of their Series E warrants pursuant to the previously announced Warrant Exercise Agreements (the “Warrant Exercise Agreements”), in which the Company agreed to reduce the exercise price for a portion of the investors’ existing Series E warrants from $15.00 per share to $3.97 per share, provided that the investors exercise such portion of the warrants immediately. Pursuant to the Warrant Exercise Agreements, such warrant holders exercised Series E warrants to purchase an aggregate of 167,926 shares of Company common stock for aggregate gross proceeds of approximately $666,666. The exercise price for 75% of the remainder of the investors’ Series E warrants to purchase 186,555 shares of Company common stock were reduced from $15.00 per share to $4.50 per share. The remaining 25% of such investors’ Series E warrants to purchase an aggregate of 62,185 shares of Company common stock retain their current exercise price. Additionally, the exercise prices for 75% of such investors’ Series C, Series D and Series F warrants were reduced to $4.00 per share from their current exercise prices of: $6.00 per share for Series C warrants (for 313,750 shares out of a total of 418,333 shares subject to their Series C warrants); $9.00 per share for Series D warrants (for 312,500 shares out of a total of 416,666 shares subject to their Series D warrants); and $7.20 per share for Series F warrants (for 292,500 shares out of a total of 390,000 shares subject to their Series F warrants). The remainder of the investors’ Series C, Series D and Series F warrants retain their current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80"/>
        <w:spacing w:after="0" w:line="264" w:lineRule="auto"/>
        <w:rPr>
          <w:sz w:val="20"/>
          <w:szCs w:val="20"/>
          <w:color w:val="auto"/>
        </w:rPr>
      </w:pPr>
      <w:r>
        <w:rPr>
          <w:rFonts w:ascii="Arial" w:cs="Arial" w:eastAsia="Arial" w:hAnsi="Arial"/>
          <w:sz w:val="18"/>
          <w:szCs w:val="18"/>
          <w:color w:val="auto"/>
        </w:rPr>
        <w:t>The foregoing is a summary of the terms the Warrant Exercise Agreements and does not purport to be complete. The foregoing summary is qualified in its entirety by reference to the full text of the form of the Warrant Exercise Agreement, a copy of the form of which was filed as an exhibit to the Current Report on Form 8-K filed with the SEC on June 22, 2017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Agreement; Agent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an Agency Agreement, dated May 12, 2017, by and between the Company and Katalyst Securities LLC (“Katalyst”), as amended by that amendment dated June 22, 2017 to increase the amount of the non-accountable expense allowance payable to Katalyst from $50,000 to $70,000 (as amended, the “Agency Agreement”), Katalyst acted as the Company’s placement agent in connection with the Offering.</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the Agency Agreement, at the closing of the private placement transaction the Company paid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common stock of the Company equal to 10% of the number of shares sold in the Offering (the “Katalyst Warrants”). The Katalyst Warrants have the same terms as the PIPE Warrants issued in the Offering.</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Agency Agreement and the Katalyst Warrants are only summaries of their material terms and do not purport to be complete. Copies of the Agency Agreement and Katalyst Warrant have been filed as exhibits to the Current Report on Form 8-K filed with the SEC on June 22, 2017 and are incorporated herein by reference.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securities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20" w:hanging="55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140"/>
        <w:spacing w:after="0"/>
        <w:tabs>
          <w:tab w:leader="none" w:pos="53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4445</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to Placement Agency Agreement dated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Date: June 26, 2017</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195"/>
        </w:trPr>
        <w:tc>
          <w:tcPr>
            <w:tcW w:w="362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Glynn Wilson</w:t>
            </w:r>
          </w:p>
        </w:tc>
      </w:tr>
      <w:tr>
        <w:trPr>
          <w:trHeight w:val="230"/>
        </w:trPr>
        <w:tc>
          <w:tcPr>
            <w:tcW w:w="36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This First Amendment to Placement Agency Agreement (“Amendment”) is entered into as of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June 2017, by and between TapImmune Inc. (the “Company”) and Katalyst Securities LLC (“Katalyst”), and amends the Placement Agency Agreement dated May 12, 2017 (the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the Agreement hereby amend and restate in its entirety Paragraph 5(h)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 5(h):</w:t>
      </w:r>
    </w:p>
    <w:p>
      <w:pPr>
        <w:spacing w:after="0" w:line="225" w:lineRule="exact"/>
        <w:rPr>
          <w:sz w:val="20"/>
          <w:szCs w:val="20"/>
          <w:color w:val="auto"/>
        </w:rPr>
      </w:pPr>
    </w:p>
    <w:p>
      <w:pPr>
        <w:ind w:left="1820" w:hanging="515"/>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not the transactions contemplated hereby are consummated, or</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Agreement is terminated, the Company shall pay all reasonable expenses incurred in connection with the preparation and printing of all necessary offering documents and instruments related to the Offering and the issuance of the Securities and the Brokers Warrants and will also pay for the Company’s expenses for accounting fees, legal fees, printing costs, and other costs involved with the Offering. The Company will provide at its own expense such quantities of the Subscription Documents and other documents and instruments relating to the Offering as the Agent may reasonably request. The Company will pay at its own expense in connection with the creation, authorization, issuance, transfer and delivery of the Securities, including, without limitation, fees and expenses of any transfer agent or registrar; the fees and expenses of the Escrow Agent; all fees and expenses of legal, accounting and other advisers to the Company; the Form D filings for offer and sale of the Securities under the federal securities and Blue Sky laws, payable within five (5) days of being invoiced. The Company will pay all such amounts, unless previously paid, at the Closing, or, if there is no Closing, within ten (10) days after written request therefor following the Termination Date. In addition to any fees payable to Katalyst hereunder and regardless of whether the Offering is consummated, the Company hereby agrees to promptly reimburse Katalyst a non accountable expense allowance in the amount of Seventy Thousand Dollars ($70,000) (the “</w:t>
      </w:r>
      <w:r>
        <w:rPr>
          <w:rFonts w:ascii="Arial" w:cs="Arial" w:eastAsia="Arial" w:hAnsi="Arial"/>
          <w:sz w:val="16"/>
          <w:szCs w:val="16"/>
          <w:i w:val="1"/>
          <w:iCs w:val="1"/>
          <w:color w:val="auto"/>
        </w:rPr>
        <w:t>Katalyst Expenses</w:t>
      </w:r>
      <w:r>
        <w:rPr>
          <w:rFonts w:ascii="Arial" w:cs="Arial" w:eastAsia="Arial" w:hAnsi="Arial"/>
          <w:sz w:val="16"/>
          <w:szCs w:val="16"/>
          <w:color w:val="auto"/>
        </w:rPr>
        <w:t>”), paid directly from the escrow account at the time of the Closing from gross proceeds raised by the Agent and if no Closing, then within five (5) days of written request to the Company by wire transfer. The Katalyst Expenses are separate and apart from the Katalyst Broker Compensation and other expenses described herein. This reimbursement obligation is in addition to the reimbursement of fees and expenses relating to attendance by any Agent at proceedings or to indemnification and contribution as contemplated elsewhere in this agreement. In the event the Agent’s personnel must attend or participate in judicial or other proceedings to which we are not a party relating to the subject matter of this agreement, the Company shall pay the Agent an additional per diem payment, per person, at its customary rates, together with reimbursement of all out-of-pocket expenses and disbursements, including reasonable attorneys’ fees and disbursements incurred by it in respect of its preparation for and participation in such proceedings.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is hereby made part of and incorporated into the Agreement, with all the terms and conditions of the Agreement remaining in full force and effect, except to the extent modified hereby.</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Amendment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exchange of copies of this Amendment and of signature pages by facsimile transmission or in pdf format shall constitute effective execution and delivery of this Amendment as to the parties and may be used in lieu of the original Amendment for all purposes. Signatures of the parties transmitted by facsimile or in pdf format shall be deemed to be their original signatures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this Amendment has been executed and delivered by the parties below effective as of the date first set forth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Glynn Wilson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Glynn Wilson,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KATALYST SECURITIES LLC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Michael A. Silverman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Silverman,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40"/>
      </w:cols>
      <w:pgMar w:left="900" w:top="112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2020-01-17T15:38:46Z</dcterms:created>
  <dcterms:modified xsi:type="dcterms:W3CDTF">2020-01-17T15:38:46Z</dcterms:modified>
</cp:coreProperties>
</file>