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tm2215298d1_8k.htm"/>
      <w:bookmarkStart w:id="1" w:name="kstm2215298d1_8k"/>
      <w:bookmarkEnd w:id="0"/>
      <w:bookmarkEnd w:id="1"/>
      <w:r>
        <w:rPr/>
        <w:t> </w:t>
      </w:r>
    </w:p>
    <w:p>
      <w:pPr>
        <w:pStyle w:val="TextBody"/>
        <w:rPr>
          <w:bdr w:val="single" w:sz="16" w:space="1" w:color="000000"/>
        </w:rPr>
      </w:pPr>
      <w:r>
        <w:rPr>
          <w:bdr w:val="single" w:sz="16" w:space="1" w:color="000000"/>
        </w:rPr>
        <w:t> </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w:t>
      </w:r>
      <w:bookmarkStart w:id="2" w:name="xdx_90A_edei--DocumentType_c20220513__20"/>
      <w:bookmarkEnd w:id="2"/>
      <w:r>
        <w:rPr>
          <w:rFonts w:ascii="Times New Roman;Times;Serif" w:hAnsi="Times New Roman;Times;Serif"/>
          <w:b/>
          <w:i w:val="false"/>
          <w:caps w:val="false"/>
          <w:smallCaps w:val="false"/>
          <w:sz w:val="20"/>
          <w:u w:val="single"/>
        </w:rPr>
        <w:t>8-K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CURRENT REPORT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bookmarkStart w:id="3" w:name="xdx_903_edei--DocumentPeriodEndDate_c202"/>
      <w:bookmarkEnd w:id="3"/>
      <w:r>
        <w:rPr>
          <w:rFonts w:ascii="Times New Roman;Times;Serif" w:hAnsi="Times New Roman;Times;Serif"/>
          <w:b/>
          <w:i w:val="false"/>
          <w:caps w:val="false"/>
          <w:smallCaps w:val="false"/>
          <w:sz w:val="20"/>
          <w:u w:val="single"/>
        </w:rPr>
        <w:t>May 13, 2022</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8"/>
          <w:u w:val="single"/>
        </w:rPr>
      </w:pPr>
      <w:bookmarkStart w:id="4" w:name="xdx_904_edei--EntityRegistrantName_c2022"/>
      <w:bookmarkEnd w:id="4"/>
      <w:r>
        <w:rPr>
          <w:rFonts w:ascii="Times New Roman;Times;Serif" w:hAnsi="Times New Roman;Times;Serif"/>
          <w:b/>
          <w:i w:val="false"/>
          <w:caps w:val="false"/>
          <w:smallCaps w:val="false"/>
          <w:sz w:val="28"/>
          <w:u w:val="single"/>
        </w:rPr>
        <w:t>MARKER THERAPEUTICS, INC.</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rPr>
          <w:caps w:val="false"/>
          <w:smallCaps w:val="false"/>
        </w:rPr>
      </w:pPr>
      <w:r>
        <w:rPr>
          <w:caps w:val="false"/>
          <w:smallCaps w:val="false"/>
        </w:rPr>
        <w:t> </w:t>
      </w:r>
    </w:p>
    <w:tbl>
      <w:tblPr>
        <w:tblW w:w="8580" w:type="dxa"/>
        <w:jc w:val="left"/>
        <w:tblInd w:w="0" w:type="dxa"/>
        <w:tblCellMar>
          <w:top w:w="0" w:type="dxa"/>
          <w:left w:w="0" w:type="dxa"/>
          <w:bottom w:w="0" w:type="dxa"/>
          <w:right w:w="0" w:type="dxa"/>
        </w:tblCellMar>
      </w:tblPr>
      <w:tblGrid>
        <w:gridCol w:w="3590"/>
        <w:gridCol w:w="2210"/>
        <w:gridCol w:w="2780"/>
      </w:tblGrid>
      <w:tr>
        <w:trPr/>
        <w:tc>
          <w:tcPr>
            <w:tcW w:w="359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u w:val="single"/>
              </w:rPr>
            </w:pPr>
            <w:bookmarkStart w:id="5" w:name="xdx_90F_edei--EntityIncorporationStateCo"/>
            <w:bookmarkEnd w:id="5"/>
            <w:r>
              <w:rPr>
                <w:rFonts w:ascii="Times New Roman;Times;Serif" w:hAnsi="Times New Roman;Times;Serif"/>
                <w:b/>
                <w:i w:val="false"/>
                <w:caps w:val="false"/>
                <w:smallCaps w:val="false"/>
                <w:sz w:val="20"/>
                <w:u w:val="single"/>
              </w:rPr>
              <w:t>Delaware</w:t>
            </w:r>
          </w:p>
        </w:tc>
        <w:tc>
          <w:tcPr>
            <w:tcW w:w="221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u w:val="single"/>
              </w:rPr>
            </w:pPr>
            <w:bookmarkStart w:id="6" w:name="xdx_905_edei--EntityFileNumber_c20220513"/>
            <w:bookmarkEnd w:id="6"/>
            <w:r>
              <w:rPr>
                <w:rFonts w:ascii="Times New Roman;Times;Serif" w:hAnsi="Times New Roman;Times;Serif"/>
                <w:b/>
                <w:i w:val="false"/>
                <w:caps w:val="false"/>
                <w:smallCaps w:val="false"/>
                <w:sz w:val="20"/>
                <w:u w:val="single"/>
              </w:rPr>
              <w:t>001-37939</w:t>
            </w:r>
          </w:p>
        </w:tc>
        <w:tc>
          <w:tcPr>
            <w:tcW w:w="278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u w:val="single"/>
              </w:rPr>
            </w:pPr>
            <w:bookmarkStart w:id="7" w:name="xdx_90E_edei--EntityTaxIdentificationNum"/>
            <w:bookmarkEnd w:id="7"/>
            <w:r>
              <w:rPr>
                <w:rFonts w:ascii="Times New Roman;Times;Serif" w:hAnsi="Times New Roman;Times;Serif"/>
                <w:b/>
                <w:i w:val="false"/>
                <w:caps w:val="false"/>
                <w:smallCaps w:val="false"/>
                <w:sz w:val="20"/>
                <w:u w:val="single"/>
              </w:rPr>
              <w:t>45-4497941</w:t>
            </w:r>
          </w:p>
        </w:tc>
      </w:tr>
      <w:tr>
        <w:trPr/>
        <w:tc>
          <w:tcPr>
            <w:tcW w:w="359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tc>
        <w:tc>
          <w:tcPr>
            <w:tcW w:w="221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278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spacing w:before="0" w:after="0"/>
        <w:ind w:left="0" w:right="0" w:hanging="0"/>
        <w:rPr>
          <w:caps w:val="false"/>
          <w:smallCaps w:val="false"/>
        </w:rPr>
      </w:pPr>
      <w:r>
        <w:rPr>
          <w:caps w:val="false"/>
          <w:smallCaps w:val="false"/>
        </w:rPr>
        <w:t> </w:t>
      </w:r>
    </w:p>
    <w:tbl>
      <w:tblPr>
        <w:tblW w:w="4195" w:type="dxa"/>
        <w:jc w:val="left"/>
        <w:tblInd w:w="0" w:type="dxa"/>
        <w:tblCellMar>
          <w:top w:w="0" w:type="dxa"/>
          <w:left w:w="0" w:type="dxa"/>
          <w:bottom w:w="0" w:type="dxa"/>
          <w:right w:w="0" w:type="dxa"/>
        </w:tblCellMar>
      </w:tblPr>
      <w:tblGrid>
        <w:gridCol w:w="3215"/>
        <w:gridCol w:w="60"/>
        <w:gridCol w:w="920"/>
      </w:tblGrid>
      <w:tr>
        <w:trPr/>
        <w:tc>
          <w:tcPr>
            <w:tcW w:w="3215"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3200 Southwest Freeway</w:t>
            </w:r>
          </w:p>
          <w:p>
            <w:pPr>
              <w:pStyle w:val="TableContents"/>
              <w:spacing w:before="0" w:after="0"/>
              <w:ind w:left="0" w:right="0" w:hanging="0"/>
              <w:jc w:val="center"/>
              <w:rPr>
                <w:rFonts w:ascii="Times New Roman;Times;Serif" w:hAnsi="Times New Roman;Times;Serif"/>
                <w:b/>
                <w:i w:val="false"/>
                <w:caps w:val="false"/>
                <w:smallCaps w:val="false"/>
                <w:sz w:val="20"/>
              </w:rPr>
            </w:pPr>
            <w:bookmarkStart w:id="9" w:name="xdx_904_edei--EntityAddressAddressLine2_"/>
            <w:bookmarkEnd w:id="9"/>
            <w:r>
              <w:rPr>
                <w:rFonts w:ascii="Times New Roman;Times;Serif" w:hAnsi="Times New Roman;Times;Serif"/>
                <w:b/>
                <w:i w:val="false"/>
                <w:caps w:val="false"/>
                <w:smallCaps w:val="false"/>
                <w:sz w:val="20"/>
              </w:rPr>
              <w:t>Suite 2500</w:t>
            </w:r>
          </w:p>
          <w:p>
            <w:pPr>
              <w:pStyle w:val="TableContents"/>
              <w:spacing w:before="0" w:after="0"/>
              <w:ind w:left="0" w:right="0" w:hanging="0"/>
              <w:jc w:val="center"/>
              <w:rPr>
                <w:rFonts w:ascii="Times New Roman;Times;Serif" w:hAnsi="Times New Roman;Times;Serif"/>
                <w:b/>
                <w:i w:val="false"/>
                <w:caps w:val="false"/>
                <w:smallCaps w:val="false"/>
                <w:sz w:val="20"/>
                <w:u w:val="single"/>
              </w:rPr>
            </w:pPr>
            <w:bookmarkStart w:id="10" w:name="xdx_901_edei--EntityAddressCityOrTown_c2"/>
            <w:bookmarkEnd w:id="10"/>
            <w:r>
              <w:rPr>
                <w:rFonts w:ascii="Times New Roman;Times;Serif" w:hAnsi="Times New Roman;Times;Serif"/>
                <w:b/>
                <w:i w:val="false"/>
                <w:caps w:val="false"/>
                <w:smallCaps w:val="false"/>
                <w:sz w:val="20"/>
                <w:u w:val="single"/>
              </w:rPr>
              <w:t xml:space="preserve">Houston, </w:t>
            </w:r>
            <w:bookmarkStart w:id="11" w:name="xdx_902_edei--EntityAddressStateOrProvin"/>
            <w:bookmarkEnd w:id="11"/>
            <w:r>
              <w:rPr>
                <w:rFonts w:ascii="Times New Roman;Times;Serif" w:hAnsi="Times New Roman;Times;Serif"/>
                <w:b/>
                <w:i w:val="false"/>
                <w:caps w:val="false"/>
                <w:smallCaps w:val="false"/>
                <w:sz w:val="20"/>
                <w:u w:val="single"/>
              </w:rPr>
              <w:t>Texas</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u w:val="single"/>
              </w:rPr>
            </w:pPr>
            <w:bookmarkStart w:id="12" w:name="xdx_906_edei--EntityAddressPostalZipCode"/>
            <w:bookmarkEnd w:id="12"/>
            <w:r>
              <w:rPr>
                <w:rFonts w:ascii="Times New Roman;Times;Serif" w:hAnsi="Times New Roman;Times;Serif"/>
                <w:b/>
                <w:i w:val="false"/>
                <w:caps w:val="false"/>
                <w:smallCaps w:val="false"/>
                <w:sz w:val="20"/>
                <w:u w:val="single"/>
              </w:rPr>
              <w:t>77027</w:t>
            </w:r>
          </w:p>
        </w:tc>
      </w:tr>
      <w:tr>
        <w:trPr/>
        <w:tc>
          <w:tcPr>
            <w:tcW w:w="321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F_edei--CityAreaCode_c20220513__20"/>
      <w:bookmarkEnd w:id="13"/>
      <w:r>
        <w:rPr>
          <w:rFonts w:ascii="Times New Roman;Times;Serif" w:hAnsi="Times New Roman;Times;Serif"/>
          <w:b/>
          <w:i w:val="false"/>
          <w:caps w:val="false"/>
          <w:smallCaps w:val="false"/>
          <w:sz w:val="20"/>
        </w:rPr>
        <w:t>713) </w:t>
      </w:r>
      <w:bookmarkStart w:id="14" w:name="xdx_902_edei--LocalPhoneNumber_c20220513"/>
      <w:bookmarkEnd w:id="14"/>
      <w:r>
        <w:rPr>
          <w:rFonts w:ascii="Times New Roman;Times;Serif" w:hAnsi="Times New Roman;Times;Serif"/>
          <w:b/>
          <w:i w:val="false"/>
          <w:caps w:val="false"/>
          <w:smallCaps w:val="false"/>
          <w:sz w:val="20"/>
        </w:rPr>
        <w:t>400-6400</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spacing w:before="0" w:after="0"/>
        <w:ind w:left="0" w:right="0" w:hanging="0"/>
        <w:rPr>
          <w:caps w:val="false"/>
          <w:smallCaps w:val="false"/>
        </w:rPr>
      </w:pPr>
      <w:r>
        <w:rPr>
          <w:caps w:val="false"/>
          <w:smallCaps w:val="false"/>
        </w:rPr>
        <w:t> </w:t>
      </w:r>
    </w:p>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283"/>
              <w:rPr>
                <w:caps w:val="false"/>
                <w:smallCaps w:val="false"/>
              </w:rPr>
            </w:pPr>
            <w:bookmarkStart w:id="15" w:name="xdx_906_edei--WrittenCommunications_c202"/>
            <w:bookmarkEnd w:id="15"/>
            <w:r>
              <w:rPr>
                <w:caps w:val="false"/>
                <w:smallCaps w:val="false"/>
              </w:rPr>
              <w:t>☐</w:t>
            </w:r>
          </w:p>
        </w:tc>
        <w:tc>
          <w:tcPr>
            <w:tcW w:w="90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shd w:fill="auto" w:val="clear"/>
            <w:vAlign w:val="center"/>
          </w:tcPr>
          <w:p>
            <w:pPr>
              <w:pStyle w:val="TableContents"/>
              <w:spacing w:before="0" w:after="283"/>
              <w:rPr>
                <w:caps w:val="false"/>
                <w:smallCaps w:val="false"/>
              </w:rPr>
            </w:pPr>
            <w:bookmarkStart w:id="16" w:name="xdx_909_edei--SolicitingMaterial_c202205"/>
            <w:bookmarkEnd w:id="16"/>
            <w:r>
              <w:rPr>
                <w:caps w:val="false"/>
                <w:smallCaps w:val="false"/>
              </w:rPr>
              <w:t>☐</w:t>
            </w:r>
          </w:p>
        </w:tc>
        <w:tc>
          <w:tcPr>
            <w:tcW w:w="90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shd w:fill="auto" w:val="clear"/>
            <w:vAlign w:val="center"/>
          </w:tcPr>
          <w:p>
            <w:pPr>
              <w:pStyle w:val="TableContents"/>
              <w:spacing w:before="0" w:after="283"/>
              <w:rPr>
                <w:caps w:val="false"/>
                <w:smallCaps w:val="false"/>
              </w:rPr>
            </w:pPr>
            <w:bookmarkStart w:id="17" w:name="xdx_908_edei--PreCommencementTenderOffer"/>
            <w:bookmarkEnd w:id="17"/>
            <w:r>
              <w:rPr>
                <w:caps w:val="false"/>
                <w:smallCaps w:val="false"/>
              </w:rPr>
              <w:t>☐</w:t>
            </w:r>
          </w:p>
        </w:tc>
        <w:tc>
          <w:tcPr>
            <w:tcW w:w="90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shd w:fill="auto" w:val="clear"/>
            <w:vAlign w:val="center"/>
          </w:tcPr>
          <w:p>
            <w:pPr>
              <w:pStyle w:val="TableContents"/>
              <w:spacing w:before="0" w:after="283"/>
              <w:rPr>
                <w:caps w:val="false"/>
                <w:smallCaps w:val="false"/>
              </w:rPr>
            </w:pPr>
            <w:bookmarkStart w:id="18" w:name="xdx_90F_edei--PreCommencementIssuerTende"/>
            <w:bookmarkEnd w:id="18"/>
            <w:r>
              <w:rPr>
                <w:caps w:val="false"/>
                <w:smallCaps w:val="false"/>
              </w:rPr>
              <w:t>☐</w:t>
            </w:r>
          </w:p>
        </w:tc>
        <w:tc>
          <w:tcPr>
            <w:tcW w:w="90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pacing w:before="0" w:after="0"/>
        <w:ind w:left="0" w:right="0" w:hanging="0"/>
        <w:rPr>
          <w:caps w:val="false"/>
          <w:smallCaps w:val="false"/>
        </w:rPr>
      </w:pPr>
      <w:r>
        <w:rPr>
          <w:caps w:val="false"/>
          <w:smallCaps w:val="false"/>
        </w:rPr>
        <w:t> </w:t>
      </w:r>
    </w:p>
    <w:tbl>
      <w:tblPr>
        <w:tblW w:w="8070" w:type="dxa"/>
        <w:jc w:val="left"/>
        <w:tblInd w:w="0" w:type="dxa"/>
        <w:tblCellMar>
          <w:top w:w="0" w:type="dxa"/>
          <w:left w:w="0" w:type="dxa"/>
          <w:bottom w:w="28" w:type="dxa"/>
          <w:right w:w="0" w:type="dxa"/>
        </w:tblCellMar>
      </w:tblPr>
      <w:tblGrid>
        <w:gridCol w:w="3515"/>
        <w:gridCol w:w="60"/>
        <w:gridCol w:w="845"/>
        <w:gridCol w:w="60"/>
        <w:gridCol w:w="3590"/>
      </w:tblGrid>
      <w:tr>
        <w:trPr/>
        <w:tc>
          <w:tcPr>
            <w:tcW w:w="351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bottom w:val="single" w:sz="8" w:space="0" w:color="000000"/>
            </w:tcBorders>
            <w:shd w:fill="auto" w:val="clear"/>
            <w:vAlign w:val="center"/>
          </w:tcPr>
          <w:p>
            <w:pPr>
              <w:pStyle w:val="TableContents"/>
              <w:spacing w:before="0" w:after="283"/>
              <w:jc w:val="center"/>
              <w:rPr/>
            </w:pPr>
            <w:r>
              <w:rPr/>
              <w:t> </w:t>
            </w:r>
          </w:p>
        </w:tc>
        <w:tc>
          <w:tcPr>
            <w:tcW w:w="84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w:t>
              <w:br/>
              <w:t>Symbol(s)</w:t>
            </w:r>
          </w:p>
        </w:tc>
        <w:tc>
          <w:tcPr>
            <w:tcW w:w="60" w:type="dxa"/>
            <w:tcBorders>
              <w:bottom w:val="single" w:sz="8" w:space="0" w:color="000000"/>
            </w:tcBorders>
            <w:shd w:fill="auto" w:val="clear"/>
            <w:vAlign w:val="center"/>
          </w:tcPr>
          <w:p>
            <w:pPr>
              <w:pStyle w:val="TableContents"/>
              <w:spacing w:before="0" w:after="283"/>
              <w:jc w:val="center"/>
              <w:rPr/>
            </w:pPr>
            <w:r>
              <w:rPr/>
              <w:t> </w:t>
            </w:r>
          </w:p>
        </w:tc>
        <w:tc>
          <w:tcPr>
            <w:tcW w:w="359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51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19" w:name="xdx_906_edei--Security12bTitle_c20220513"/>
            <w:bookmarkEnd w:id="19"/>
            <w:r>
              <w:rPr>
                <w:rFonts w:ascii="Times New Roman;Times;Serif" w:hAnsi="Times New Roman;Times;Serif"/>
                <w:b w:val="false"/>
                <w:i w:val="false"/>
                <w:caps w:val="false"/>
                <w:smallCaps w:val="false"/>
                <w:sz w:val="20"/>
              </w:rPr>
              <w:t>Common Stock, par value $0.001 per share</w:t>
            </w:r>
          </w:p>
        </w:tc>
        <w:tc>
          <w:tcPr>
            <w:tcW w:w="60" w:type="dxa"/>
            <w:tcBorders/>
            <w:shd w:fill="auto" w:val="clear"/>
            <w:tcMar>
              <w:bottom w:w="0" w:type="dxa"/>
            </w:tcMar>
            <w:vAlign w:val="center"/>
          </w:tcPr>
          <w:p>
            <w:pPr>
              <w:pStyle w:val="TableContents"/>
              <w:spacing w:before="0" w:after="283"/>
              <w:jc w:val="center"/>
              <w:rPr/>
            </w:pPr>
            <w:r>
              <w:rPr/>
              <w:t> </w:t>
            </w:r>
          </w:p>
        </w:tc>
        <w:tc>
          <w:tcPr>
            <w:tcW w:w="84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20" w:name="xdx_905_edei--TradingSymbol_c20220513__2"/>
            <w:bookmarkEnd w:id="20"/>
            <w:r>
              <w:rPr>
                <w:rFonts w:ascii="Times New Roman;Times;Serif" w:hAnsi="Times New Roman;Times;Serif"/>
                <w:b w:val="false"/>
                <w:i w:val="false"/>
                <w:caps w:val="false"/>
                <w:smallCaps w:val="false"/>
                <w:sz w:val="20"/>
              </w:rPr>
              <w:t>MRKR</w:t>
            </w:r>
          </w:p>
        </w:tc>
        <w:tc>
          <w:tcPr>
            <w:tcW w:w="60" w:type="dxa"/>
            <w:tcBorders/>
            <w:shd w:fill="auto" w:val="clear"/>
            <w:tcMar>
              <w:bottom w:w="0" w:type="dxa"/>
            </w:tcMar>
            <w:vAlign w:val="center"/>
          </w:tcPr>
          <w:p>
            <w:pPr>
              <w:pStyle w:val="TableContents"/>
              <w:spacing w:before="0" w:after="283"/>
              <w:jc w:val="center"/>
              <w:rPr/>
            </w:pPr>
            <w:r>
              <w:rPr/>
              <w:t> </w:t>
            </w:r>
          </w:p>
        </w:tc>
        <w:tc>
          <w:tcPr>
            <w:tcW w:w="359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21" w:name="xdx_906_edei--SecurityExchangeName_c2022"/>
            <w:bookmarkEnd w:id="21"/>
            <w:r>
              <w:rPr>
                <w:rFonts w:ascii="Times New Roman;Times;Serif" w:hAnsi="Times New Roman;Times;Serif"/>
                <w:b w:val="false"/>
                <w:i w:val="false"/>
                <w:caps w:val="false"/>
                <w:smallCaps w:val="false"/>
                <w:sz w:val="20"/>
              </w:rPr>
              <w:t>The Nasdaq Stock Market LLC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72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2" w:name="xdx_906_edei--EntityEmergingGrowthCompan"/>
      <w:bookmarkEnd w:id="22"/>
      <w:r>
        <w:rPr>
          <w:rFonts w:ascii="Times New Roman;Times;Serif" w:hAnsi="Times New Roman;Times;Serif"/>
          <w:b w:val="false"/>
          <w:i w:val="false"/>
          <w:caps w:val="false"/>
          <w:smallCaps w:val="false"/>
          <w:sz w:val="20"/>
        </w:rPr>
        <w:t>☐</w:t>
      </w:r>
    </w:p>
    <w:p>
      <w:pPr>
        <w:pStyle w:val="TextBody"/>
        <w:spacing w:before="0" w:after="0"/>
        <w:ind w:left="684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808" w:type="dxa"/>
        <w:jc w:val="left"/>
        <w:tblInd w:w="0" w:type="dxa"/>
        <w:tblCellMar>
          <w:top w:w="0" w:type="dxa"/>
          <w:left w:w="0" w:type="dxa"/>
          <w:bottom w:w="0" w:type="dxa"/>
          <w:right w:w="0" w:type="dxa"/>
        </w:tblCellMar>
      </w:tblPr>
      <w:tblGrid>
        <w:gridCol w:w="38"/>
        <w:gridCol w:w="965"/>
        <w:gridCol w:w="4805"/>
      </w:tblGrid>
      <w:tr>
        <w:trPr/>
        <w:tc>
          <w:tcPr>
            <w:tcW w:w="38"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b/>
              </w:rPr>
            </w:pPr>
            <w:r>
              <w:rPr>
                <w:b/>
              </w:rPr>
              <w:t>Item 2.02</w:t>
            </w:r>
          </w:p>
        </w:tc>
        <w:tc>
          <w:tcPr>
            <w:tcW w:w="4805" w:type="dxa"/>
            <w:tcBorders/>
            <w:shd w:fill="auto" w:val="clear"/>
            <w:vAlign w:val="center"/>
          </w:tcPr>
          <w:p>
            <w:pPr>
              <w:pStyle w:val="TableContents"/>
              <w:spacing w:before="0" w:after="283"/>
              <w:rPr>
                <w:b/>
              </w:rPr>
            </w:pPr>
            <w:r>
              <w:rPr>
                <w:b/>
              </w:rPr>
              <w:t>Results of Operations and Financial Condition.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2022, Marker Therapeutics,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reported financial results for the quarter ended March 31, 2022 and other recent corporate updates. A copy of the press release is furnished as Exhibit 99.1 to this report and incorporated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2.02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pStyle w:val="TextBody"/>
        <w:spacing w:before="0" w:after="0"/>
        <w:ind w:left="0" w:right="0" w:hanging="0"/>
        <w:rPr>
          <w:caps w:val="false"/>
          <w:smallCaps w:val="false"/>
        </w:rPr>
      </w:pPr>
      <w:r>
        <w:rPr>
          <w:caps w:val="false"/>
          <w:smallCaps w:val="false"/>
        </w:rPr>
        <w:t> </w:t>
      </w:r>
    </w:p>
    <w:tbl>
      <w:tblPr>
        <w:tblW w:w="4458" w:type="dxa"/>
        <w:jc w:val="left"/>
        <w:tblInd w:w="0" w:type="dxa"/>
        <w:tblCellMar>
          <w:top w:w="0" w:type="dxa"/>
          <w:left w:w="0" w:type="dxa"/>
          <w:bottom w:w="0" w:type="dxa"/>
          <w:right w:w="0" w:type="dxa"/>
        </w:tblCellMar>
      </w:tblPr>
      <w:tblGrid>
        <w:gridCol w:w="38"/>
        <w:gridCol w:w="860"/>
        <w:gridCol w:w="3560"/>
      </w:tblGrid>
      <w:tr>
        <w:trPr/>
        <w:tc>
          <w:tcPr>
            <w:tcW w:w="38"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Item 9.01.</w:t>
            </w:r>
          </w:p>
        </w:tc>
        <w:tc>
          <w:tcPr>
            <w:tcW w:w="3560" w:type="dxa"/>
            <w:tcBorders/>
            <w:shd w:fill="auto" w:val="clear"/>
            <w:vAlign w:val="center"/>
          </w:tcPr>
          <w:p>
            <w:pPr>
              <w:pStyle w:val="TableContents"/>
              <w:spacing w:before="0" w:after="283"/>
              <w:rPr>
                <w:b/>
              </w:rPr>
            </w:pPr>
            <w:r>
              <w:rPr>
                <w:b/>
              </w:rPr>
              <w:t>Financial Statements and Exhibits.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pacing w:before="0" w:after="0"/>
        <w:ind w:left="0" w:right="0" w:hanging="0"/>
        <w:rPr>
          <w:caps w:val="false"/>
          <w:smallCaps w:val="false"/>
        </w:rPr>
      </w:pPr>
      <w:r>
        <w:rPr>
          <w:caps w:val="false"/>
          <w:smallCaps w:val="false"/>
        </w:rPr>
        <w:t> </w:t>
      </w:r>
    </w:p>
    <w:tbl>
      <w:tblPr>
        <w:tblW w:w="6460" w:type="dxa"/>
        <w:jc w:val="left"/>
        <w:tblInd w:w="0" w:type="dxa"/>
        <w:tblCellMar>
          <w:top w:w="0" w:type="dxa"/>
          <w:left w:w="0" w:type="dxa"/>
          <w:bottom w:w="0" w:type="dxa"/>
          <w:right w:w="0" w:type="dxa"/>
        </w:tblCellMar>
      </w:tblPr>
      <w:tblGrid>
        <w:gridCol w:w="995"/>
        <w:gridCol w:w="5465"/>
      </w:tblGrid>
      <w:tr>
        <w:trPr/>
        <w:tc>
          <w:tcPr>
            <w:tcW w:w="995" w:type="dxa"/>
            <w:tcBorders/>
            <w:shd w:fill="auto" w:val="clear"/>
            <w:vAlign w:val="center"/>
          </w:tcPr>
          <w:p>
            <w:pPr>
              <w:pStyle w:val="TableContents"/>
              <w:spacing w:before="0" w:after="283"/>
              <w:rPr>
                <w:rFonts w:ascii="Times New Roman;Times;Serif" w:hAnsi="Times New Roman;Times;Serif"/>
                <w:b/>
                <w:sz w:val="20"/>
                <w:u w:val="single"/>
              </w:rPr>
            </w:pPr>
            <w:r>
              <w:rPr>
                <w:rFonts w:ascii="Times New Roman;Times;Serif" w:hAnsi="Times New Roman;Times;Serif"/>
                <w:b/>
                <w:sz w:val="20"/>
                <w:u w:val="single"/>
              </w:rPr>
              <w:t>Exhibit No.</w:t>
            </w:r>
          </w:p>
        </w:tc>
        <w:tc>
          <w:tcPr>
            <w:tcW w:w="5465" w:type="dxa"/>
            <w:tcBorders/>
            <w:shd w:fill="auto" w:val="clear"/>
            <w:vAlign w:val="center"/>
          </w:tcPr>
          <w:p>
            <w:pPr>
              <w:pStyle w:val="TableContents"/>
              <w:spacing w:before="0" w:after="283"/>
              <w:rPr>
                <w:rFonts w:ascii="Times New Roman;Times;Serif" w:hAnsi="Times New Roman;Times;Serif"/>
                <w:b/>
                <w:sz w:val="20"/>
                <w:u w:val="single"/>
              </w:rPr>
            </w:pPr>
            <w:r>
              <w:rPr>
                <w:rFonts w:ascii="Times New Roman;Times;Serif" w:hAnsi="Times New Roman;Times;Serif"/>
                <w:b/>
                <w:sz w:val="20"/>
                <w:u w:val="single"/>
              </w:rPr>
              <w:t>Description</w:t>
            </w:r>
          </w:p>
        </w:tc>
      </w:tr>
      <w:tr>
        <w:trPr/>
        <w:tc>
          <w:tcPr>
            <w:tcW w:w="995" w:type="dxa"/>
            <w:tcBorders/>
            <w:shd w:fill="auto" w:val="clear"/>
            <w:vAlign w:val="center"/>
          </w:tcPr>
          <w:p>
            <w:pPr>
              <w:pStyle w:val="TableContents"/>
              <w:spacing w:before="0" w:after="283"/>
              <w:rPr/>
            </w:pPr>
            <w:hyperlink w:anchor="tm2215298d1_ex99-1.htm">
              <w:r>
                <w:rPr>
                  <w:rStyle w:val="InternetLink"/>
                  <w:rFonts w:ascii="Times New Roman;Times;Serif" w:hAnsi="Times New Roman;Times;Serif"/>
                  <w:sz w:val="20"/>
                </w:rPr>
                <w:t>99.1</w:t>
              </w:r>
            </w:hyperlink>
          </w:p>
        </w:tc>
        <w:tc>
          <w:tcPr>
            <w:tcW w:w="5465" w:type="dxa"/>
            <w:tcBorders/>
            <w:shd w:fill="auto" w:val="clear"/>
            <w:vAlign w:val="center"/>
          </w:tcPr>
          <w:p>
            <w:pPr>
              <w:pStyle w:val="TableContents"/>
              <w:spacing w:before="0" w:after="283"/>
              <w:rPr/>
            </w:pPr>
            <w:hyperlink w:anchor="tm2215298d1_ex99-1.htm">
              <w:r>
                <w:rPr>
                  <w:rStyle w:val="InternetLink"/>
                  <w:rFonts w:ascii="Times New Roman;Times;Serif" w:hAnsi="Times New Roman;Times;Serif"/>
                  <w:sz w:val="20"/>
                </w:rPr>
                <w:t xml:space="preserve">Press release, dated </w:t>
              </w:r>
            </w:hyperlink>
            <w:hyperlink w:anchor="tm2215298d1_ex99-1.htm">
              <w:r>
                <w:rPr>
                  <w:rStyle w:val="InternetLink"/>
                </w:rPr>
                <w:t>May 13, 2022</w:t>
              </w:r>
            </w:hyperlink>
          </w:p>
        </w:tc>
      </w:tr>
      <w:tr>
        <w:trPr/>
        <w:tc>
          <w:tcPr>
            <w:tcW w:w="9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104</w:t>
            </w:r>
          </w:p>
        </w:tc>
        <w:tc>
          <w:tcPr>
            <w:tcW w:w="54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Inline XBRL for the cover page of this Current Report on Form 8-K</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spacing w:before="0" w:after="0"/>
        <w:ind w:left="0" w:right="0" w:hanging="0"/>
        <w:rPr>
          <w:caps w:val="false"/>
          <w:smallCaps w:val="false"/>
        </w:rPr>
      </w:pPr>
      <w:r>
        <w:rPr>
          <w:caps w:val="false"/>
          <w:smallCaps w:val="false"/>
        </w:rPr>
        <w:t> </w:t>
      </w:r>
    </w:p>
    <w:tbl>
      <w:tblPr>
        <w:tblW w:w="4035" w:type="dxa"/>
        <w:jc w:val="left"/>
        <w:tblInd w:w="0" w:type="dxa"/>
        <w:tblCellMar>
          <w:top w:w="0" w:type="dxa"/>
          <w:left w:w="0" w:type="dxa"/>
          <w:bottom w:w="0" w:type="dxa"/>
          <w:right w:w="0" w:type="dxa"/>
        </w:tblCellMar>
      </w:tblPr>
      <w:tblGrid>
        <w:gridCol w:w="1760"/>
        <w:gridCol w:w="320"/>
        <w:gridCol w:w="1955"/>
      </w:tblGrid>
      <w:tr>
        <w:trPr/>
        <w:tc>
          <w:tcPr>
            <w:tcW w:w="1760" w:type="dxa"/>
            <w:tcBorders/>
            <w:shd w:fill="auto" w:val="clear"/>
            <w:vAlign w:val="center"/>
          </w:tcPr>
          <w:p>
            <w:pPr>
              <w:pStyle w:val="TableContents"/>
              <w:spacing w:before="0" w:after="283"/>
              <w:rPr/>
            </w:pPr>
            <w:r>
              <w:rPr/>
              <w:t> </w:t>
            </w:r>
          </w:p>
        </w:tc>
        <w:tc>
          <w:tcPr>
            <w:tcW w:w="2275" w:type="dxa"/>
            <w:gridSpan w:val="2"/>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Marker Therapeutics, Inc.</w:t>
            </w:r>
          </w:p>
        </w:tc>
      </w:tr>
      <w:tr>
        <w:trPr/>
        <w:tc>
          <w:tcPr>
            <w:tcW w:w="17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1955" w:type="dxa"/>
            <w:tcBorders/>
            <w:shd w:fill="auto" w:val="clear"/>
            <w:vAlign w:val="center"/>
          </w:tcPr>
          <w:p>
            <w:pPr>
              <w:pStyle w:val="TableContents"/>
              <w:spacing w:before="0" w:after="283"/>
              <w:rPr/>
            </w:pPr>
            <w:r>
              <w:rPr/>
              <w:t> </w:t>
            </w:r>
          </w:p>
        </w:tc>
      </w:tr>
      <w:tr>
        <w:trPr/>
        <w:tc>
          <w:tcPr>
            <w:tcW w:w="17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Dated: May 13, 2022</w:t>
            </w:r>
          </w:p>
        </w:tc>
        <w:tc>
          <w:tcPr>
            <w:tcW w:w="3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195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Anthony Kim</w:t>
            </w:r>
          </w:p>
        </w:tc>
      </w:tr>
      <w:tr>
        <w:trPr/>
        <w:tc>
          <w:tcPr>
            <w:tcW w:w="17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19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Anthony Kim</w:t>
            </w:r>
          </w:p>
        </w:tc>
      </w:tr>
      <w:tr>
        <w:trPr/>
        <w:tc>
          <w:tcPr>
            <w:tcW w:w="17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1955" w:type="dxa"/>
            <w:tcBorders/>
            <w:shd w:fill="auto" w:val="clear"/>
            <w:vAlign w:val="center"/>
          </w:tcPr>
          <w:p>
            <w:pPr>
              <w:pStyle w:val="TableContents"/>
              <w:spacing w:before="0" w:after="283"/>
              <w:rPr>
                <w:rFonts w:ascii="Times New Roman;Times;Serif" w:hAnsi="Times New Roman;Times;Serif"/>
                <w:i/>
                <w:sz w:val="20"/>
              </w:rPr>
            </w:pPr>
            <w:r>
              <w:rPr>
                <w:rFonts w:ascii="Times New Roman;Times;Serif" w:hAnsi="Times New Roman;Times;Serif"/>
                <w:i/>
                <w:sz w:val="20"/>
              </w:rPr>
              <w:t>Chief Financial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r>
        <w:br w:type="page"/>
      </w:r>
    </w:p>
    <w:p>
      <w:pPr>
        <w:pStyle w:val="TextBody"/>
        <w:rPr/>
      </w:pPr>
      <w:bookmarkStart w:id="23" w:name="tm2215298d1_ex99-1.htm"/>
      <w:bookmarkStart w:id="24" w:name="kstm2215298d1_ex991"/>
      <w:bookmarkEnd w:id="23"/>
      <w:bookmarkEnd w:id="24"/>
      <w:r>
        <w:rPr/>
        <w:t> </w:t>
      </w:r>
    </w:p>
    <w:p>
      <w:pPr>
        <w:pStyle w:val="TextBody"/>
        <w:jc w:val="right"/>
        <w:rPr>
          <w:b/>
        </w:rPr>
      </w:pPr>
      <w:r>
        <w:rPr>
          <w:b/>
        </w:rPr>
        <w:t>Exhibit 99.1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drawing>
          <wp:inline distT="0" distB="0" distL="0" distR="0">
            <wp:extent cx="2257425"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57425" cy="723900"/>
                    </a:xfrm>
                    <a:prstGeom prst="rect">
                      <a:avLst/>
                    </a:prstGeom>
                  </pic:spPr>
                </pic:pic>
              </a:graphicData>
            </a:graphic>
          </wp:inline>
        </w:drawing>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Marker Therapeutics Reports Q1 2022 Operating and Financial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Topline readout of Phase 2 AML trial Group 2 active disease anticipated in Q2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plans to file INDs in lymphoma and pancreatic cancer by year end, with clinical trials to be initiated in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Houston, TX—May 13, 2022—</w:t>
      </w:r>
      <w:r>
        <w:rPr>
          <w:rFonts w:ascii="Times New Roman;Times;Serif" w:hAnsi="Times New Roman;Times;Serif"/>
          <w:b w:val="false"/>
          <w:i w:val="false"/>
          <w:caps w:val="false"/>
          <w:smallCaps w:val="false"/>
          <w:sz w:val="20"/>
        </w:rPr>
        <w:t>Marker Therapeutics, Inc. (Nasdaq: MRKR), a clinical-stage immuno-oncology company specializing in the development of next-generation T cell-based immunotherapies for the treatment of hematological malignancies and solid tumor indications, today provided a corporate update and reported financial results for the first quarter ended March 31, 2022.</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caps w:val="false"/>
          <w:smallCaps w:val="false"/>
        </w:rPr>
      </w:pPr>
      <w:r>
        <w:rPr>
          <w:caps w:val="false"/>
          <w:smallCaps w:val="false"/>
        </w:rPr>
        <w:t>“</w:t>
      </w:r>
      <w:r>
        <w:rPr>
          <w:rFonts w:ascii="Times New Roman;Times;Serif" w:hAnsi="Times New Roman;Times;Serif"/>
          <w:b w:val="false"/>
          <w:i w:val="false"/>
          <w:caps w:val="false"/>
          <w:smallCaps w:val="false"/>
          <w:sz w:val="20"/>
        </w:rPr>
        <w:t>2022 has already been an exciting year for Marker as we reported encouraging initial results from the six-patient safety lead-in portion of our Phase 2 AML trial—including elimination of MRD in one MRD positive patient—and announced plans for Company-sponsored trials of our second cell therapy product candidate, MT-601, in pancreatic cancer and lymphoma,” said Peter L. Hoang, Marker’s President and Chief Executive Officer. “We also implemented a new MultiTAA-specific T cell therapy manufacturing process, details of which were presented at the 2022 International Society for Cell &amp; Gene Therapy (ISCT) annual meeting. After completing enrollment of the first 20 patients in the Phase 2 AML trial last year, we anticipate reporting topline data from the active disease group in the main phase of the trial next quarter.”</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PROGRAM UPDATES AND EXPECTED MILESTONES</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Acute Myeloid Leukemia (MT-401)</w:t>
      </w:r>
    </w:p>
    <w:p>
      <w:pPr>
        <w:pStyle w:val="TextBody"/>
        <w:spacing w:before="0" w:after="0"/>
        <w:ind w:left="0" w:right="0" w:hanging="0"/>
        <w:rPr>
          <w:caps w:val="false"/>
          <w:smallCaps w:val="false"/>
        </w:rPr>
      </w:pPr>
      <w:r>
        <w:rPr>
          <w:caps w:val="false"/>
          <w:smallCaps w:val="false"/>
        </w:rPr>
        <w:t> </w:t>
      </w:r>
    </w:p>
    <w:tbl>
      <w:tblPr>
        <w:tblW w:w="10205" w:type="dxa"/>
        <w:jc w:val="left"/>
        <w:tblInd w:w="0" w:type="dxa"/>
        <w:shd w:fill="FFFFFF" w:val="clear"/>
        <w:tblCellMar>
          <w:top w:w="0" w:type="dxa"/>
          <w:left w:w="0" w:type="dxa"/>
          <w:bottom w:w="0" w:type="dxa"/>
          <w:right w:w="0" w:type="dxa"/>
        </w:tblCellMar>
      </w:tblPr>
      <w:tblGrid>
        <w:gridCol w:w="38"/>
        <w:gridCol w:w="95"/>
        <w:gridCol w:w="10072"/>
      </w:tblGrid>
      <w:tr>
        <w:trPr/>
        <w:tc>
          <w:tcPr>
            <w:tcW w:w="38" w:type="dxa"/>
            <w:tcBorders/>
            <w:shd w:fill="FFFFFF" w:val="clear"/>
            <w:vAlign w:val="center"/>
          </w:tcPr>
          <w:p>
            <w:pPr>
              <w:pStyle w:val="TableContents"/>
              <w:spacing w:before="0" w:after="283"/>
              <w:rPr>
                <w:sz w:val="4"/>
                <w:szCs w:val="4"/>
              </w:rPr>
            </w:pPr>
            <w:r>
              <w:rPr>
                <w:sz w:val="4"/>
                <w:szCs w:val="4"/>
              </w:rPr>
            </w:r>
          </w:p>
        </w:tc>
        <w:tc>
          <w:tcPr>
            <w:tcW w:w="95" w:type="dxa"/>
            <w:tcBorders/>
            <w:shd w:fill="FFFFFF" w:val="clear"/>
            <w:vAlign w:val="center"/>
          </w:tcPr>
          <w:p>
            <w:pPr>
              <w:pStyle w:val="TableContents"/>
              <w:spacing w:before="0" w:after="283"/>
              <w:rPr>
                <w:rFonts w:ascii="Symbol" w:hAnsi="Symbol"/>
                <w:sz w:val="20"/>
              </w:rPr>
            </w:pPr>
            <w:r>
              <w:rPr>
                <w:rFonts w:ascii="Symbol" w:hAnsi="Symbol"/>
                <w:sz w:val="20"/>
              </w:rPr>
              <w:t>·</w:t>
            </w:r>
          </w:p>
        </w:tc>
        <w:tc>
          <w:tcPr>
            <w:tcW w:w="10072"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In February 2022, Marker announced the initial results of the safety lead-in stage of its Company-sponsored Phase 2 AML trial evaluating MT-401, Marker’s lead MultiTAA-specific T cell product candidate. Results from the safety lead-in demonstrate that MT-401 was well-tolerated, eliminated measurable residual disease (MRD) based on peripheral blood analysis at Week 32 in one MRD positive patient and induced epitope spreading across multiple AML-associated antigens in that patient.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shd w:fill="FFFFFF" w:val="clear"/>
        <w:tblCellMar>
          <w:top w:w="0" w:type="dxa"/>
          <w:left w:w="0" w:type="dxa"/>
          <w:bottom w:w="0" w:type="dxa"/>
          <w:right w:w="0" w:type="dxa"/>
        </w:tblCellMar>
      </w:tblPr>
      <w:tblGrid>
        <w:gridCol w:w="38"/>
        <w:gridCol w:w="125"/>
        <w:gridCol w:w="10042"/>
      </w:tblGrid>
      <w:tr>
        <w:trPr/>
        <w:tc>
          <w:tcPr>
            <w:tcW w:w="38" w:type="dxa"/>
            <w:tcBorders/>
            <w:shd w:fill="FFFFFF" w:val="clear"/>
            <w:vAlign w:val="center"/>
          </w:tcPr>
          <w:p>
            <w:pPr>
              <w:pStyle w:val="TableContents"/>
              <w:spacing w:before="0" w:after="283"/>
              <w:rPr>
                <w:sz w:val="4"/>
                <w:szCs w:val="4"/>
              </w:rPr>
            </w:pPr>
            <w:r>
              <w:rPr>
                <w:sz w:val="4"/>
                <w:szCs w:val="4"/>
              </w:rPr>
            </w:r>
          </w:p>
        </w:tc>
        <w:tc>
          <w:tcPr>
            <w:tcW w:w="125" w:type="dxa"/>
            <w:tcBorders/>
            <w:shd w:fill="FFFFFF" w:val="clear"/>
            <w:vAlign w:val="center"/>
          </w:tcPr>
          <w:p>
            <w:pPr>
              <w:pStyle w:val="TableContents"/>
              <w:spacing w:before="0" w:after="283"/>
              <w:rPr>
                <w:rFonts w:ascii="Symbol" w:hAnsi="Symbol"/>
              </w:rPr>
            </w:pPr>
            <w:r>
              <w:rPr>
                <w:rFonts w:ascii="Symbol" w:hAnsi="Symbol"/>
              </w:rPr>
              <w:t>·</w:t>
            </w:r>
          </w:p>
        </w:tc>
        <w:tc>
          <w:tcPr>
            <w:tcW w:w="10042"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Enrollment of the first 20 patients of the main Phase 2 stage of the AML trial was completed in Q4 2021. Topline readout of Group 2 active disease is anticipated in Q2 2022.</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shd w:fill="FFFFFF" w:val="clear"/>
        <w:tblCellMar>
          <w:top w:w="0" w:type="dxa"/>
          <w:left w:w="0" w:type="dxa"/>
          <w:bottom w:w="0" w:type="dxa"/>
          <w:right w:w="0" w:type="dxa"/>
        </w:tblCellMar>
      </w:tblPr>
      <w:tblGrid>
        <w:gridCol w:w="38"/>
        <w:gridCol w:w="125"/>
        <w:gridCol w:w="10042"/>
      </w:tblGrid>
      <w:tr>
        <w:trPr/>
        <w:tc>
          <w:tcPr>
            <w:tcW w:w="38" w:type="dxa"/>
            <w:tcBorders/>
            <w:shd w:fill="FFFFFF" w:val="clear"/>
            <w:vAlign w:val="center"/>
          </w:tcPr>
          <w:p>
            <w:pPr>
              <w:pStyle w:val="TableContents"/>
              <w:spacing w:before="0" w:after="283"/>
              <w:rPr>
                <w:sz w:val="4"/>
                <w:szCs w:val="4"/>
              </w:rPr>
            </w:pPr>
            <w:r>
              <w:rPr>
                <w:sz w:val="4"/>
                <w:szCs w:val="4"/>
              </w:rPr>
            </w:r>
          </w:p>
        </w:tc>
        <w:tc>
          <w:tcPr>
            <w:tcW w:w="125" w:type="dxa"/>
            <w:tcBorders/>
            <w:shd w:fill="FFFFFF" w:val="clear"/>
            <w:vAlign w:val="center"/>
          </w:tcPr>
          <w:p>
            <w:pPr>
              <w:pStyle w:val="TableContents"/>
              <w:spacing w:before="0" w:after="283"/>
              <w:rPr>
                <w:rFonts w:ascii="Symbol" w:hAnsi="Symbol"/>
              </w:rPr>
            </w:pPr>
            <w:r>
              <w:rPr>
                <w:rFonts w:ascii="Symbol" w:hAnsi="Symbol"/>
              </w:rPr>
              <w:t>·</w:t>
            </w:r>
          </w:p>
        </w:tc>
        <w:tc>
          <w:tcPr>
            <w:tcW w:w="10042"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Marker announced in February 2022 that it is developing MT-401-OTS, a scalable, off-the-shelf product candidate with the potential to match patients to treatment in under three days. Marker’s open Investigational New Drug application (IND) for MT-401 for the treatment of AML includes an off-the-shelf program. The Company is in the process of developing a patient cell bank inventory and expects to dose the first patient with MT-401-OTS 2023.</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Clinical Programs (MT-601)</w:t>
      </w:r>
    </w:p>
    <w:p>
      <w:pPr>
        <w:pStyle w:val="TextBody"/>
        <w:spacing w:before="0" w:after="0"/>
        <w:ind w:left="0" w:right="0" w:hanging="0"/>
        <w:rPr>
          <w:caps w:val="false"/>
          <w:smallCaps w:val="false"/>
        </w:rPr>
      </w:pPr>
      <w:r>
        <w:rPr>
          <w:caps w:val="false"/>
          <w:smallCaps w:val="false"/>
        </w:rPr>
        <w:t> </w:t>
      </w:r>
    </w:p>
    <w:tbl>
      <w:tblPr>
        <w:tblW w:w="10205" w:type="dxa"/>
        <w:jc w:val="left"/>
        <w:tblInd w:w="0" w:type="dxa"/>
        <w:shd w:fill="FFFFFF" w:val="clear"/>
        <w:tblCellMar>
          <w:top w:w="0" w:type="dxa"/>
          <w:left w:w="0" w:type="dxa"/>
          <w:bottom w:w="0" w:type="dxa"/>
          <w:right w:w="0" w:type="dxa"/>
        </w:tblCellMar>
      </w:tblPr>
      <w:tblGrid>
        <w:gridCol w:w="38"/>
        <w:gridCol w:w="125"/>
        <w:gridCol w:w="10042"/>
      </w:tblGrid>
      <w:tr>
        <w:trPr/>
        <w:tc>
          <w:tcPr>
            <w:tcW w:w="38" w:type="dxa"/>
            <w:tcBorders/>
            <w:shd w:fill="FFFFFF" w:val="clear"/>
            <w:vAlign w:val="center"/>
          </w:tcPr>
          <w:p>
            <w:pPr>
              <w:pStyle w:val="TableContents"/>
              <w:spacing w:before="0" w:after="283"/>
              <w:rPr>
                <w:sz w:val="4"/>
                <w:szCs w:val="4"/>
              </w:rPr>
            </w:pPr>
            <w:r>
              <w:rPr>
                <w:sz w:val="4"/>
                <w:szCs w:val="4"/>
              </w:rPr>
            </w:r>
          </w:p>
        </w:tc>
        <w:tc>
          <w:tcPr>
            <w:tcW w:w="125" w:type="dxa"/>
            <w:tcBorders/>
            <w:shd w:fill="FFFFFF" w:val="clear"/>
            <w:vAlign w:val="center"/>
          </w:tcPr>
          <w:p>
            <w:pPr>
              <w:pStyle w:val="TableContents"/>
              <w:spacing w:before="0" w:after="283"/>
              <w:rPr>
                <w:rFonts w:ascii="Symbol" w:hAnsi="Symbol"/>
              </w:rPr>
            </w:pPr>
            <w:r>
              <w:rPr>
                <w:rFonts w:ascii="Symbol" w:hAnsi="Symbol"/>
              </w:rPr>
              <w:t>·</w:t>
            </w:r>
          </w:p>
        </w:tc>
        <w:tc>
          <w:tcPr>
            <w:tcW w:w="10042"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In January 2022, Marker announced that the U.S. Food and Drug Administration granted Orphan Drug designation to MT-601 for the treatment of pancreatic cancer.</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shd w:fill="FFFFFF" w:val="clear"/>
        <w:tblCellMar>
          <w:top w:w="0" w:type="dxa"/>
          <w:left w:w="0" w:type="dxa"/>
          <w:bottom w:w="0" w:type="dxa"/>
          <w:right w:w="0" w:type="dxa"/>
        </w:tblCellMar>
      </w:tblPr>
      <w:tblGrid>
        <w:gridCol w:w="38"/>
        <w:gridCol w:w="125"/>
        <w:gridCol w:w="10042"/>
      </w:tblGrid>
      <w:tr>
        <w:trPr/>
        <w:tc>
          <w:tcPr>
            <w:tcW w:w="38" w:type="dxa"/>
            <w:tcBorders/>
            <w:shd w:fill="FFFFFF" w:val="clear"/>
            <w:vAlign w:val="center"/>
          </w:tcPr>
          <w:p>
            <w:pPr>
              <w:pStyle w:val="TableContents"/>
              <w:spacing w:before="0" w:after="283"/>
              <w:rPr>
                <w:sz w:val="4"/>
                <w:szCs w:val="4"/>
              </w:rPr>
            </w:pPr>
            <w:r>
              <w:rPr>
                <w:sz w:val="4"/>
                <w:szCs w:val="4"/>
              </w:rPr>
            </w:r>
          </w:p>
        </w:tc>
        <w:tc>
          <w:tcPr>
            <w:tcW w:w="125" w:type="dxa"/>
            <w:tcBorders/>
            <w:shd w:fill="FFFFFF" w:val="clear"/>
            <w:vAlign w:val="center"/>
          </w:tcPr>
          <w:p>
            <w:pPr>
              <w:pStyle w:val="TableContents"/>
              <w:spacing w:before="0" w:after="283"/>
              <w:rPr>
                <w:rFonts w:ascii="Symbol" w:hAnsi="Symbol"/>
              </w:rPr>
            </w:pPr>
            <w:r>
              <w:rPr>
                <w:rFonts w:ascii="Symbol" w:hAnsi="Symbol"/>
              </w:rPr>
              <w:t>·</w:t>
            </w:r>
          </w:p>
        </w:tc>
        <w:tc>
          <w:tcPr>
            <w:tcW w:w="10042" w:type="dxa"/>
            <w:tcBorders/>
            <w:shd w:fill="FFFFFF" w:val="clear"/>
            <w:vAlign w:val="center"/>
          </w:tcPr>
          <w:p>
            <w:pPr>
              <w:pStyle w:val="TableContents"/>
              <w:spacing w:before="0" w:after="283"/>
              <w:rPr>
                <w:rFonts w:ascii="Times New Roman;Times;Serif" w:hAnsi="Times New Roman;Times;Serif"/>
              </w:rPr>
            </w:pPr>
            <w:r>
              <w:rPr>
                <w:rFonts w:ascii="Times New Roman;Times;Serif" w:hAnsi="Times New Roman;Times;Serif"/>
              </w:rPr>
              <w:t>Marker announced in February 2022 that the Company intends to file INDs for MT-601, Marker’s second MultiTAA-specific T cell product candidate, in lymphoma and pancreatic cancer in 2022. The Company expects to initiate these trials in 2023.</w:t>
            </w:r>
          </w:p>
        </w:tc>
      </w:tr>
    </w:tbl>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UPDATES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25"/>
        <w:gridCol w:w="10042"/>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2"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In April 2022, the Company announced that it entered into a services agreement with Wilson Wolf Manufacturing Corporation. The agreement includes an $8.0 million upfront cash payment by Wilson Wolf to Marker in exchange for services relating to Marker’s expertise in the manufacture of cell therapies. Wilson Wolf has agreed to pay Marker an additional $1.0 million if the certain work, as defined in the services agreement, is completed within one year from the onset of the services agreement.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2022 FINANCIAL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Cash Position and Guidance</w:t>
      </w:r>
      <w:r>
        <w:rPr>
          <w:rFonts w:ascii="Times New Roman;Times;Serif" w:hAnsi="Times New Roman;Times;Serif"/>
          <w:b w:val="false"/>
          <w:i w:val="false"/>
          <w:caps w:val="false"/>
          <w:smallCaps w:val="false"/>
          <w:sz w:val="20"/>
        </w:rPr>
        <w:t>: At March 31, 2022, Marker had cash, cash equivalents and restricted cash of $28.8 million.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R&amp;D Expenses: </w:t>
      </w:r>
      <w:r>
        <w:rPr>
          <w:rFonts w:ascii="Times New Roman;Times;Serif" w:hAnsi="Times New Roman;Times;Serif"/>
          <w:b w:val="false"/>
          <w:i w:val="false"/>
          <w:caps w:val="false"/>
          <w:smallCaps w:val="false"/>
          <w:sz w:val="20"/>
        </w:rPr>
        <w:t>Research and development expenses were $7.0 million for the quarter ended March 31, 2022, compared to $5.6 million for the quarter ended March 31,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G&amp;A Expenses: </w:t>
      </w:r>
      <w:r>
        <w:rPr>
          <w:rFonts w:ascii="Times New Roman;Times;Serif" w:hAnsi="Times New Roman;Times;Serif"/>
          <w:b w:val="false"/>
          <w:i w:val="false"/>
          <w:caps w:val="false"/>
          <w:smallCaps w:val="false"/>
          <w:sz w:val="20"/>
        </w:rPr>
        <w:t>General and administrative expenses were $3.7 million for the quarter ended March 31, 2022, compared to $3.1 million for the quarter ended March 31,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Net Loss: </w:t>
      </w:r>
      <w:r>
        <w:rPr>
          <w:rFonts w:ascii="Times New Roman;Times;Serif" w:hAnsi="Times New Roman;Times;Serif"/>
          <w:b w:val="false"/>
          <w:i w:val="false"/>
          <w:caps w:val="false"/>
          <w:smallCaps w:val="false"/>
          <w:sz w:val="20"/>
        </w:rPr>
        <w:t>Marker reported a net loss of $9.9 million for the quarter ended March 31, 2022, compared to a net loss of $8.8 million for the quarter ended March 31,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Marker Therapeutics, Inc.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receive future press releases via email, please visit:</w:t>
      </w:r>
    </w:p>
    <w:p>
      <w:pPr>
        <w:pStyle w:val="TextBody"/>
        <w:spacing w:before="0" w:after="0"/>
        <w:ind w:left="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https://www.markertherapeutics.com/email-alerts.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right"/>
        <w:rPr>
          <w:sz w:val="20"/>
          <w:bdr w:val="single" w:sz="8" w:space="1" w:color="000000"/>
        </w:rPr>
      </w:pPr>
      <w:r>
        <w:rPr>
          <w:sz w:val="20"/>
          <w:bdr w:val="single" w:sz="8" w:space="1" w:color="000000"/>
        </w:rPr>
        <w:t>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the timing, conduct and success of our clinical trials, including the Phase 2 trial of MT-401; our ability to use our manufacturing facilities to support clinical and commercial demand; the timing and use of the CPRIT award; and our future operating expenses and capital expenditure requirements.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Such risks and uncertainties may be amplified by the COVID-19 pandemic and its impact on our business and the global economy. The Company assumes no obligation to update our forward-looking statements whether as a result of new information, future events or otherwise, after the date of this press release.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right"/>
        <w:rPr>
          <w:sz w:val="20"/>
          <w:bdr w:val="single" w:sz="8" w:space="1" w:color="000000"/>
        </w:rPr>
      </w:pPr>
      <w:r>
        <w:rPr>
          <w:sz w:val="20"/>
          <w:bdr w:val="single" w:sz="8" w:space="1" w:color="000000"/>
        </w:rPr>
        <w:t>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Marker Therapeutics, Inc.</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650"/>
        <w:gridCol w:w="60"/>
        <w:gridCol w:w="125"/>
        <w:gridCol w:w="1115"/>
        <w:gridCol w:w="80"/>
        <w:gridCol w:w="60"/>
        <w:gridCol w:w="125"/>
        <w:gridCol w:w="1115"/>
        <w:gridCol w:w="875"/>
      </w:tblGrid>
      <w:tr>
        <w:trPr/>
        <w:tc>
          <w:tcPr>
            <w:tcW w:w="66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40"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40"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8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66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4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4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8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6650" w:type="dxa"/>
            <w:tcBorders/>
            <w:shd w:fill="CCEE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11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115" w:type="dxa"/>
            <w:tcBorders/>
            <w:shd w:fill="CCEEFF" w:val="clear"/>
            <w:vAlign w:val="center"/>
          </w:tcPr>
          <w:p>
            <w:pPr>
              <w:pStyle w:val="TableContents"/>
              <w:spacing w:before="0" w:after="283"/>
              <w:jc w:val="right"/>
              <w:rPr/>
            </w:pPr>
            <w:r>
              <w:rPr/>
              <w:t> </w:t>
            </w:r>
          </w:p>
        </w:tc>
        <w:tc>
          <w:tcPr>
            <w:tcW w:w="875" w:type="dxa"/>
            <w:tcBorders/>
            <w:shd w:fill="CCEEFF" w:val="clear"/>
            <w:vAlign w:val="center"/>
          </w:tcPr>
          <w:p>
            <w:pPr>
              <w:pStyle w:val="TableContents"/>
              <w:spacing w:before="0" w:after="283"/>
              <w:jc w:val="left"/>
              <w:rPr/>
            </w:pPr>
            <w:r>
              <w:rPr/>
              <w:t> </w:t>
            </w:r>
          </w:p>
        </w:tc>
      </w:tr>
      <w:tr>
        <w:trPr/>
        <w:tc>
          <w:tcPr>
            <w:tcW w:w="66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11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115" w:type="dxa"/>
            <w:tcBorders/>
            <w:shd w:fill="FFFFFF" w:val="clear"/>
            <w:vAlign w:val="center"/>
          </w:tcPr>
          <w:p>
            <w:pPr>
              <w:pStyle w:val="TableContents"/>
              <w:spacing w:before="0" w:after="283"/>
              <w:jc w:val="right"/>
              <w:rPr/>
            </w:pPr>
            <w:r>
              <w:rPr/>
              <w:t> </w:t>
            </w:r>
          </w:p>
        </w:tc>
        <w:tc>
          <w:tcPr>
            <w:tcW w:w="875" w:type="dxa"/>
            <w:tcBorders/>
            <w:shd w:fill="FFFFFF" w:val="clear"/>
            <w:vAlign w:val="center"/>
          </w:tcPr>
          <w:p>
            <w:pPr>
              <w:pStyle w:val="TableContents"/>
              <w:spacing w:before="0" w:after="283"/>
              <w:ind w:left="0" w:right="0" w:firstLine="400"/>
              <w:jc w:val="left"/>
              <w:rPr/>
            </w:pPr>
            <w:r>
              <w:rPr/>
              <w:t> </w:t>
            </w:r>
          </w:p>
        </w:tc>
      </w:tr>
      <w:tr>
        <w:trPr/>
        <w:tc>
          <w:tcPr>
            <w:tcW w:w="66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28,637,217</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42,351,145</w:t>
            </w:r>
          </w:p>
        </w:tc>
        <w:tc>
          <w:tcPr>
            <w:tcW w:w="875" w:type="dxa"/>
            <w:tcBorders/>
            <w:shd w:fill="CCEEFF" w:val="clear"/>
            <w:vAlign w:val="center"/>
          </w:tcPr>
          <w:p>
            <w:pPr>
              <w:pStyle w:val="TableContents"/>
              <w:spacing w:before="0" w:after="283"/>
              <w:ind w:left="0" w:right="0" w:firstLine="400"/>
              <w:jc w:val="left"/>
              <w:rPr>
                <w:caps w:val="false"/>
                <w:smallCaps w:val="false"/>
              </w:rPr>
            </w:pPr>
            <w:r>
              <w:rPr>
                <w:caps w:val="false"/>
                <w:smallCaps w:val="false"/>
              </w:rPr>
              <w:t> </w:t>
            </w:r>
          </w:p>
        </w:tc>
      </w:tr>
      <w:tr>
        <w:trPr/>
        <w:tc>
          <w:tcPr>
            <w:tcW w:w="66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181,864</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1,146,186</w:t>
            </w:r>
          </w:p>
        </w:tc>
        <w:tc>
          <w:tcPr>
            <w:tcW w:w="875" w:type="dxa"/>
            <w:tcBorders/>
            <w:shd w:fill="FFFFFF" w:val="clear"/>
            <w:vAlign w:val="center"/>
          </w:tcPr>
          <w:p>
            <w:pPr>
              <w:pStyle w:val="TableContents"/>
              <w:spacing w:before="0" w:after="283"/>
              <w:ind w:left="0" w:right="0" w:firstLine="400"/>
              <w:jc w:val="left"/>
              <w:rPr>
                <w:caps w:val="false"/>
                <w:smallCaps w:val="false"/>
              </w:rPr>
            </w:pPr>
            <w:r>
              <w:rPr>
                <w:caps w:val="false"/>
                <w:smallCaps w:val="false"/>
              </w:rPr>
              <w:t> </w:t>
            </w:r>
          </w:p>
        </w:tc>
      </w:tr>
      <w:tr>
        <w:trPr/>
        <w:tc>
          <w:tcPr>
            <w:tcW w:w="66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deposits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2,196,225</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2,484,634</w:t>
            </w:r>
          </w:p>
        </w:tc>
        <w:tc>
          <w:tcPr>
            <w:tcW w:w="875" w:type="dxa"/>
            <w:tcBorders/>
            <w:shd w:fill="CCEEFF" w:val="clear"/>
            <w:vAlign w:val="center"/>
          </w:tcPr>
          <w:p>
            <w:pPr>
              <w:pStyle w:val="TableContents"/>
              <w:spacing w:before="0" w:after="283"/>
              <w:ind w:left="0" w:right="0" w:firstLine="400"/>
              <w:jc w:val="left"/>
              <w:rPr>
                <w:caps w:val="false"/>
                <w:smallCaps w:val="false"/>
              </w:rPr>
            </w:pPr>
            <w:r>
              <w:rPr>
                <w:caps w:val="false"/>
                <w:smallCaps w:val="false"/>
              </w:rPr>
              <w:t> </w:t>
            </w:r>
          </w:p>
        </w:tc>
      </w:tr>
      <w:tr>
        <w:trPr/>
        <w:tc>
          <w:tcPr>
            <w:tcW w:w="66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2,185</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w:t>
            </w:r>
          </w:p>
        </w:tc>
        <w:tc>
          <w:tcPr>
            <w:tcW w:w="875" w:type="dxa"/>
            <w:tcBorders/>
            <w:shd w:fill="FFFFFF" w:val="clear"/>
            <w:vAlign w:val="center"/>
          </w:tcPr>
          <w:p>
            <w:pPr>
              <w:pStyle w:val="TableContents"/>
              <w:spacing w:before="0" w:after="283"/>
              <w:ind w:left="0" w:right="0" w:firstLine="800"/>
              <w:jc w:val="left"/>
              <w:rPr>
                <w:caps w:val="false"/>
                <w:smallCaps w:val="false"/>
              </w:rPr>
            </w:pPr>
            <w:r>
              <w:rPr>
                <w:caps w:val="false"/>
                <w:smallCaps w:val="false"/>
              </w:rPr>
              <w:t> </w:t>
            </w:r>
          </w:p>
        </w:tc>
      </w:tr>
      <w:tr>
        <w:trPr/>
        <w:tc>
          <w:tcPr>
            <w:tcW w:w="66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31,017,491</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45,982,202</w:t>
            </w:r>
          </w:p>
        </w:tc>
        <w:tc>
          <w:tcPr>
            <w:tcW w:w="8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6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assets: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11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115" w:type="dxa"/>
            <w:tcBorders/>
            <w:shd w:fill="FFFFFF" w:val="clear"/>
            <w:vAlign w:val="center"/>
          </w:tcPr>
          <w:p>
            <w:pPr>
              <w:pStyle w:val="TableContents"/>
              <w:spacing w:before="0" w:after="283"/>
              <w:jc w:val="right"/>
              <w:rPr/>
            </w:pPr>
            <w:r>
              <w:rPr/>
              <w:t> </w:t>
            </w:r>
          </w:p>
        </w:tc>
        <w:tc>
          <w:tcPr>
            <w:tcW w:w="875" w:type="dxa"/>
            <w:tcBorders/>
            <w:shd w:fill="FFFFFF" w:val="clear"/>
            <w:vAlign w:val="center"/>
          </w:tcPr>
          <w:p>
            <w:pPr>
              <w:pStyle w:val="TableContents"/>
              <w:spacing w:before="0" w:after="283"/>
              <w:ind w:left="0" w:right="0" w:firstLine="400"/>
              <w:jc w:val="left"/>
              <w:rPr/>
            </w:pPr>
            <w:r>
              <w:rPr/>
              <w:t> </w:t>
            </w:r>
          </w:p>
        </w:tc>
      </w:tr>
      <w:tr>
        <w:trPr/>
        <w:tc>
          <w:tcPr>
            <w:tcW w:w="66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10,276,936</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10,096,861</w:t>
            </w:r>
          </w:p>
        </w:tc>
        <w:tc>
          <w:tcPr>
            <w:tcW w:w="875" w:type="dxa"/>
            <w:tcBorders/>
            <w:shd w:fill="CCEEFF" w:val="clear"/>
            <w:vAlign w:val="center"/>
          </w:tcPr>
          <w:p>
            <w:pPr>
              <w:pStyle w:val="TableContents"/>
              <w:spacing w:before="0" w:after="283"/>
              <w:ind w:left="0" w:right="0" w:firstLine="400"/>
              <w:jc w:val="left"/>
              <w:rPr>
                <w:caps w:val="false"/>
                <w:smallCaps w:val="false"/>
              </w:rPr>
            </w:pPr>
            <w:r>
              <w:rPr>
                <w:caps w:val="false"/>
                <w:smallCaps w:val="false"/>
              </w:rPr>
              <w:t> </w:t>
            </w:r>
          </w:p>
        </w:tc>
      </w:tr>
      <w:tr>
        <w:trPr/>
        <w:tc>
          <w:tcPr>
            <w:tcW w:w="66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 in progress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4,089,135</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2,225,610</w:t>
            </w:r>
          </w:p>
        </w:tc>
        <w:tc>
          <w:tcPr>
            <w:tcW w:w="875" w:type="dxa"/>
            <w:tcBorders/>
            <w:shd w:fill="FFFFFF" w:val="clear"/>
            <w:vAlign w:val="center"/>
          </w:tcPr>
          <w:p>
            <w:pPr>
              <w:pStyle w:val="TableContents"/>
              <w:spacing w:before="0" w:after="283"/>
              <w:ind w:left="0" w:right="0" w:firstLine="400"/>
              <w:jc w:val="left"/>
              <w:rPr>
                <w:caps w:val="false"/>
                <w:smallCaps w:val="false"/>
              </w:rPr>
            </w:pPr>
            <w:r>
              <w:rPr>
                <w:caps w:val="false"/>
                <w:smallCaps w:val="false"/>
              </w:rPr>
              <w:t> </w:t>
            </w:r>
          </w:p>
        </w:tc>
      </w:tr>
      <w:tr>
        <w:trPr/>
        <w:tc>
          <w:tcPr>
            <w:tcW w:w="66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net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9,572,572</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9,830,461</w:t>
            </w:r>
          </w:p>
        </w:tc>
        <w:tc>
          <w:tcPr>
            <w:tcW w:w="875" w:type="dxa"/>
            <w:tcBorders/>
            <w:shd w:fill="CCEEFF" w:val="clear"/>
            <w:vAlign w:val="center"/>
          </w:tcPr>
          <w:p>
            <w:pPr>
              <w:pStyle w:val="TableContents"/>
              <w:spacing w:before="0" w:after="283"/>
              <w:ind w:left="0" w:right="0" w:firstLine="800"/>
              <w:jc w:val="left"/>
              <w:rPr>
                <w:caps w:val="false"/>
                <w:smallCaps w:val="false"/>
              </w:rPr>
            </w:pPr>
            <w:r>
              <w:rPr>
                <w:caps w:val="false"/>
                <w:smallCaps w:val="false"/>
              </w:rPr>
              <w:t> </w:t>
            </w:r>
          </w:p>
        </w:tc>
      </w:tr>
      <w:tr>
        <w:trPr/>
        <w:tc>
          <w:tcPr>
            <w:tcW w:w="66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non-current assets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23,938,643</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22,152,932</w:t>
            </w:r>
          </w:p>
        </w:tc>
        <w:tc>
          <w:tcPr>
            <w:tcW w:w="875" w:type="dxa"/>
            <w:tcBorders/>
            <w:shd w:fill="FFFFFF" w:val="clear"/>
            <w:vAlign w:val="center"/>
          </w:tcPr>
          <w:p>
            <w:pPr>
              <w:pStyle w:val="TableContents"/>
              <w:spacing w:before="0" w:after="283"/>
              <w:ind w:left="0" w:right="0" w:firstLine="800"/>
              <w:jc w:val="left"/>
              <w:rPr>
                <w:caps w:val="false"/>
                <w:smallCaps w:val="false"/>
              </w:rPr>
            </w:pPr>
            <w:r>
              <w:rPr>
                <w:caps w:val="false"/>
                <w:smallCaps w:val="false"/>
              </w:rPr>
              <w:t> </w:t>
            </w:r>
          </w:p>
        </w:tc>
      </w:tr>
      <w:tr>
        <w:trPr/>
        <w:tc>
          <w:tcPr>
            <w:tcW w:w="66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11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115" w:type="dxa"/>
            <w:tcBorders/>
            <w:shd w:fill="CCEEFF" w:val="clear"/>
            <w:vAlign w:val="center"/>
          </w:tcPr>
          <w:p>
            <w:pPr>
              <w:pStyle w:val="TableContents"/>
              <w:spacing w:before="0" w:after="283"/>
              <w:jc w:val="right"/>
              <w:rPr/>
            </w:pPr>
            <w:r>
              <w:rPr/>
              <w:t> </w:t>
            </w:r>
          </w:p>
        </w:tc>
        <w:tc>
          <w:tcPr>
            <w:tcW w:w="875" w:type="dxa"/>
            <w:tcBorders/>
            <w:shd w:fill="CCEEFF" w:val="clear"/>
            <w:vAlign w:val="center"/>
          </w:tcPr>
          <w:p>
            <w:pPr>
              <w:pStyle w:val="TableContents"/>
              <w:spacing w:before="0" w:after="283"/>
              <w:jc w:val="left"/>
              <w:rPr/>
            </w:pPr>
            <w:r>
              <w:rPr/>
              <w:t> </w:t>
            </w:r>
          </w:p>
        </w:tc>
      </w:tr>
      <w:tr>
        <w:trPr/>
        <w:tc>
          <w:tcPr>
            <w:tcW w:w="665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54,956,134</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68,135,134</w:t>
            </w:r>
          </w:p>
        </w:tc>
        <w:tc>
          <w:tcPr>
            <w:tcW w:w="8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6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11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115" w:type="dxa"/>
            <w:tcBorders/>
            <w:shd w:fill="CCEEFF" w:val="clear"/>
            <w:vAlign w:val="center"/>
          </w:tcPr>
          <w:p>
            <w:pPr>
              <w:pStyle w:val="TableContents"/>
              <w:spacing w:before="0" w:after="283"/>
              <w:jc w:val="right"/>
              <w:rPr/>
            </w:pPr>
            <w:r>
              <w:rPr/>
              <w:t> </w:t>
            </w:r>
          </w:p>
        </w:tc>
        <w:tc>
          <w:tcPr>
            <w:tcW w:w="875" w:type="dxa"/>
            <w:tcBorders/>
            <w:shd w:fill="CCEEFF" w:val="clear"/>
            <w:vAlign w:val="center"/>
          </w:tcPr>
          <w:p>
            <w:pPr>
              <w:pStyle w:val="TableContents"/>
              <w:spacing w:before="0" w:after="283"/>
              <w:jc w:val="left"/>
              <w:rPr/>
            </w:pPr>
            <w:r>
              <w:rPr/>
              <w:t> </w:t>
            </w:r>
          </w:p>
        </w:tc>
      </w:tr>
      <w:tr>
        <w:trPr/>
        <w:tc>
          <w:tcPr>
            <w:tcW w:w="665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11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115" w:type="dxa"/>
            <w:tcBorders/>
            <w:shd w:fill="FFFFFF" w:val="clear"/>
            <w:vAlign w:val="center"/>
          </w:tcPr>
          <w:p>
            <w:pPr>
              <w:pStyle w:val="TableContents"/>
              <w:spacing w:before="0" w:after="283"/>
              <w:jc w:val="right"/>
              <w:rPr/>
            </w:pPr>
            <w:r>
              <w:rPr/>
              <w:t> </w:t>
            </w:r>
          </w:p>
        </w:tc>
        <w:tc>
          <w:tcPr>
            <w:tcW w:w="875" w:type="dxa"/>
            <w:tcBorders/>
            <w:shd w:fill="FFFFFF" w:val="clear"/>
            <w:vAlign w:val="center"/>
          </w:tcPr>
          <w:p>
            <w:pPr>
              <w:pStyle w:val="TableContents"/>
              <w:spacing w:before="0" w:after="283"/>
              <w:jc w:val="left"/>
              <w:rPr/>
            </w:pPr>
            <w:r>
              <w:rPr/>
              <w:t> </w:t>
            </w:r>
          </w:p>
        </w:tc>
      </w:tr>
      <w:tr>
        <w:trPr/>
        <w:tc>
          <w:tcPr>
            <w:tcW w:w="66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11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115" w:type="dxa"/>
            <w:tcBorders/>
            <w:shd w:fill="CCEEFF" w:val="clear"/>
            <w:vAlign w:val="center"/>
          </w:tcPr>
          <w:p>
            <w:pPr>
              <w:pStyle w:val="TableContents"/>
              <w:spacing w:before="0" w:after="283"/>
              <w:jc w:val="right"/>
              <w:rPr/>
            </w:pPr>
            <w:r>
              <w:rPr/>
              <w:t> </w:t>
            </w:r>
          </w:p>
        </w:tc>
        <w:tc>
          <w:tcPr>
            <w:tcW w:w="875" w:type="dxa"/>
            <w:tcBorders/>
            <w:shd w:fill="CCEEFF" w:val="clear"/>
            <w:vAlign w:val="center"/>
          </w:tcPr>
          <w:p>
            <w:pPr>
              <w:pStyle w:val="TableContents"/>
              <w:spacing w:before="0" w:after="283"/>
              <w:ind w:left="0" w:right="0" w:firstLine="400"/>
              <w:jc w:val="left"/>
              <w:rPr/>
            </w:pPr>
            <w:r>
              <w:rPr/>
              <w:t> </w:t>
            </w:r>
          </w:p>
        </w:tc>
      </w:tr>
      <w:tr>
        <w:trPr/>
        <w:tc>
          <w:tcPr>
            <w:tcW w:w="66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liabilities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7,348,680</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11,134,913</w:t>
            </w:r>
          </w:p>
        </w:tc>
        <w:tc>
          <w:tcPr>
            <w:tcW w:w="875" w:type="dxa"/>
            <w:tcBorders/>
            <w:shd w:fill="FFFFFF" w:val="clear"/>
            <w:vAlign w:val="center"/>
          </w:tcPr>
          <w:p>
            <w:pPr>
              <w:pStyle w:val="TableContents"/>
              <w:spacing w:before="0" w:after="283"/>
              <w:ind w:left="0" w:right="0" w:firstLine="400"/>
              <w:jc w:val="left"/>
              <w:rPr>
                <w:caps w:val="false"/>
                <w:smallCaps w:val="false"/>
              </w:rPr>
            </w:pPr>
            <w:r>
              <w:rPr>
                <w:caps w:val="false"/>
                <w:smallCaps w:val="false"/>
              </w:rPr>
              <w:t> </w:t>
            </w:r>
          </w:p>
        </w:tc>
      </w:tr>
      <w:tr>
        <w:trPr/>
        <w:tc>
          <w:tcPr>
            <w:tcW w:w="66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liability</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683,969</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620,490</w:t>
            </w:r>
          </w:p>
        </w:tc>
        <w:tc>
          <w:tcPr>
            <w:tcW w:w="875" w:type="dxa"/>
            <w:tcBorders/>
            <w:shd w:fill="CCEEFF" w:val="clear"/>
            <w:vAlign w:val="center"/>
          </w:tcPr>
          <w:p>
            <w:pPr>
              <w:pStyle w:val="TableContents"/>
              <w:spacing w:before="0" w:after="283"/>
              <w:ind w:left="0" w:right="0" w:firstLine="400"/>
              <w:jc w:val="left"/>
              <w:rPr>
                <w:caps w:val="false"/>
                <w:smallCaps w:val="false"/>
              </w:rPr>
            </w:pPr>
            <w:r>
              <w:rPr>
                <w:caps w:val="false"/>
                <w:smallCaps w:val="false"/>
              </w:rPr>
              <w:t> </w:t>
            </w:r>
          </w:p>
        </w:tc>
      </w:tr>
      <w:tr>
        <w:trPr/>
        <w:tc>
          <w:tcPr>
            <w:tcW w:w="66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181,864</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1,146,186</w:t>
            </w:r>
          </w:p>
        </w:tc>
        <w:tc>
          <w:tcPr>
            <w:tcW w:w="875" w:type="dxa"/>
            <w:tcBorders/>
            <w:shd w:fill="FFFFFF" w:val="clear"/>
            <w:vAlign w:val="center"/>
          </w:tcPr>
          <w:p>
            <w:pPr>
              <w:pStyle w:val="TableContents"/>
              <w:spacing w:before="0" w:after="283"/>
              <w:ind w:left="0" w:right="0" w:firstLine="800"/>
              <w:jc w:val="left"/>
              <w:rPr>
                <w:caps w:val="false"/>
                <w:smallCaps w:val="false"/>
              </w:rPr>
            </w:pPr>
            <w:r>
              <w:rPr>
                <w:caps w:val="false"/>
                <w:smallCaps w:val="false"/>
              </w:rPr>
              <w:t> </w:t>
            </w:r>
          </w:p>
        </w:tc>
      </w:tr>
      <w:tr>
        <w:trPr/>
        <w:tc>
          <w:tcPr>
            <w:tcW w:w="66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8,214,513</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12,901,589</w:t>
            </w:r>
          </w:p>
        </w:tc>
        <w:tc>
          <w:tcPr>
            <w:tcW w:w="8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6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liabilities: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11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115" w:type="dxa"/>
            <w:tcBorders/>
            <w:shd w:fill="FFFFFF" w:val="clear"/>
            <w:vAlign w:val="center"/>
          </w:tcPr>
          <w:p>
            <w:pPr>
              <w:pStyle w:val="TableContents"/>
              <w:spacing w:before="0" w:after="283"/>
              <w:jc w:val="right"/>
              <w:rPr/>
            </w:pPr>
            <w:r>
              <w:rPr/>
              <w:t> </w:t>
            </w:r>
          </w:p>
        </w:tc>
        <w:tc>
          <w:tcPr>
            <w:tcW w:w="875" w:type="dxa"/>
            <w:tcBorders/>
            <w:shd w:fill="FFFFFF" w:val="clear"/>
            <w:vAlign w:val="center"/>
          </w:tcPr>
          <w:p>
            <w:pPr>
              <w:pStyle w:val="TableContents"/>
              <w:spacing w:before="0" w:after="283"/>
              <w:ind w:left="0" w:right="0" w:firstLine="400"/>
              <w:jc w:val="left"/>
              <w:rPr/>
            </w:pPr>
            <w:r>
              <w:rPr/>
              <w:t> </w:t>
            </w:r>
          </w:p>
        </w:tc>
      </w:tr>
      <w:tr>
        <w:trPr/>
        <w:tc>
          <w:tcPr>
            <w:tcW w:w="66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liability, net of current portion</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11,035,857</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11,247,950</w:t>
            </w:r>
          </w:p>
        </w:tc>
        <w:tc>
          <w:tcPr>
            <w:tcW w:w="875" w:type="dxa"/>
            <w:tcBorders/>
            <w:shd w:fill="CCEEFF" w:val="clear"/>
            <w:vAlign w:val="center"/>
          </w:tcPr>
          <w:p>
            <w:pPr>
              <w:pStyle w:val="TableContents"/>
              <w:spacing w:before="0" w:after="283"/>
              <w:ind w:left="0" w:right="0" w:firstLine="800"/>
              <w:jc w:val="left"/>
              <w:rPr>
                <w:caps w:val="false"/>
                <w:smallCaps w:val="false"/>
              </w:rPr>
            </w:pPr>
            <w:r>
              <w:rPr>
                <w:caps w:val="false"/>
                <w:smallCaps w:val="false"/>
              </w:rPr>
              <w:t> </w:t>
            </w:r>
          </w:p>
        </w:tc>
      </w:tr>
      <w:tr>
        <w:trPr/>
        <w:tc>
          <w:tcPr>
            <w:tcW w:w="66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non-current liabilities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11,035,857</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11,247,950</w:t>
            </w:r>
          </w:p>
        </w:tc>
        <w:tc>
          <w:tcPr>
            <w:tcW w:w="875" w:type="dxa"/>
            <w:tcBorders/>
            <w:shd w:fill="FFFFFF" w:val="clear"/>
            <w:vAlign w:val="center"/>
          </w:tcPr>
          <w:p>
            <w:pPr>
              <w:pStyle w:val="TableContents"/>
              <w:spacing w:before="0" w:after="283"/>
              <w:ind w:left="0" w:right="0" w:firstLine="800"/>
              <w:jc w:val="left"/>
              <w:rPr>
                <w:caps w:val="false"/>
                <w:smallCaps w:val="false"/>
              </w:rPr>
            </w:pPr>
            <w:r>
              <w:rPr>
                <w:caps w:val="false"/>
                <w:smallCaps w:val="false"/>
              </w:rPr>
              <w:t> </w:t>
            </w:r>
          </w:p>
        </w:tc>
      </w:tr>
      <w:tr>
        <w:trPr/>
        <w:tc>
          <w:tcPr>
            <w:tcW w:w="66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11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115" w:type="dxa"/>
            <w:tcBorders/>
            <w:shd w:fill="CCEEFF" w:val="clear"/>
            <w:vAlign w:val="center"/>
          </w:tcPr>
          <w:p>
            <w:pPr>
              <w:pStyle w:val="TableContents"/>
              <w:spacing w:before="0" w:after="283"/>
              <w:jc w:val="right"/>
              <w:rPr/>
            </w:pPr>
            <w:r>
              <w:rPr/>
              <w:t> </w:t>
            </w:r>
          </w:p>
        </w:tc>
        <w:tc>
          <w:tcPr>
            <w:tcW w:w="875" w:type="dxa"/>
            <w:tcBorders/>
            <w:shd w:fill="CCEEFF" w:val="clear"/>
            <w:vAlign w:val="center"/>
          </w:tcPr>
          <w:p>
            <w:pPr>
              <w:pStyle w:val="TableContents"/>
              <w:spacing w:before="0" w:after="283"/>
              <w:jc w:val="left"/>
              <w:rPr/>
            </w:pPr>
            <w:r>
              <w:rPr/>
              <w:t> </w:t>
            </w:r>
          </w:p>
        </w:tc>
      </w:tr>
      <w:tr>
        <w:trPr/>
        <w:tc>
          <w:tcPr>
            <w:tcW w:w="66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19,250,370</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24,149,539</w:t>
            </w:r>
          </w:p>
        </w:tc>
        <w:tc>
          <w:tcPr>
            <w:tcW w:w="8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6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11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115" w:type="dxa"/>
            <w:tcBorders/>
            <w:shd w:fill="CCEEFF" w:val="clear"/>
            <w:vAlign w:val="center"/>
          </w:tcPr>
          <w:p>
            <w:pPr>
              <w:pStyle w:val="TableContents"/>
              <w:spacing w:before="0" w:after="283"/>
              <w:jc w:val="right"/>
              <w:rPr/>
            </w:pPr>
            <w:r>
              <w:rPr/>
              <w:t> </w:t>
            </w:r>
          </w:p>
        </w:tc>
        <w:tc>
          <w:tcPr>
            <w:tcW w:w="875" w:type="dxa"/>
            <w:tcBorders/>
            <w:shd w:fill="CCEEFF" w:val="clear"/>
            <w:vAlign w:val="center"/>
          </w:tcPr>
          <w:p>
            <w:pPr>
              <w:pStyle w:val="TableContents"/>
              <w:spacing w:before="0" w:after="283"/>
              <w:jc w:val="left"/>
              <w:rPr/>
            </w:pPr>
            <w:r>
              <w:rPr/>
              <w:t> </w:t>
            </w:r>
          </w:p>
        </w:tc>
      </w:tr>
      <w:tr>
        <w:trPr/>
        <w:tc>
          <w:tcPr>
            <w:tcW w:w="66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11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115" w:type="dxa"/>
            <w:tcBorders/>
            <w:shd w:fill="FFFFFF" w:val="clear"/>
            <w:vAlign w:val="center"/>
          </w:tcPr>
          <w:p>
            <w:pPr>
              <w:pStyle w:val="TableContents"/>
              <w:spacing w:before="0" w:after="283"/>
              <w:jc w:val="right"/>
              <w:rPr/>
            </w:pPr>
            <w:r>
              <w:rPr/>
              <w:t> </w:t>
            </w:r>
          </w:p>
        </w:tc>
        <w:tc>
          <w:tcPr>
            <w:tcW w:w="875" w:type="dxa"/>
            <w:tcBorders/>
            <w:shd w:fill="FFFFFF" w:val="clear"/>
            <w:vAlign w:val="center"/>
          </w:tcPr>
          <w:p>
            <w:pPr>
              <w:pStyle w:val="TableContents"/>
              <w:spacing w:before="0" w:after="283"/>
              <w:jc w:val="left"/>
              <w:rPr/>
            </w:pPr>
            <w:r>
              <w:rPr/>
              <w:t> </w:t>
            </w:r>
          </w:p>
        </w:tc>
      </w:tr>
      <w:tr>
        <w:trPr/>
        <w:tc>
          <w:tcPr>
            <w:tcW w:w="66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 $0.001 par value, 5 million shares authorized and 0 shares issued and outstanding at March 31, 2022 and December 31, 2021, respectively</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6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$0.001 par value, 150 million shares authorized, 83.5 million and 83.1 million shares issued and outstanding as of March 31, 2022 and December 31, 2021, respectively</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83,451</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83,079</w:t>
            </w:r>
          </w:p>
        </w:tc>
        <w:tc>
          <w:tcPr>
            <w:tcW w:w="8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6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443,651,176</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442,020,871</w:t>
            </w:r>
          </w:p>
        </w:tc>
        <w:tc>
          <w:tcPr>
            <w:tcW w:w="8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6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(408,028,863</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(398,118,355</w:t>
            </w:r>
          </w:p>
        </w:tc>
        <w:tc>
          <w:tcPr>
            <w:tcW w:w="87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35,705,764</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43,985,595</w:t>
            </w:r>
          </w:p>
        </w:tc>
        <w:tc>
          <w:tcPr>
            <w:tcW w:w="8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6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11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115" w:type="dxa"/>
            <w:tcBorders/>
            <w:shd w:fill="FFFFFF" w:val="clear"/>
            <w:vAlign w:val="center"/>
          </w:tcPr>
          <w:p>
            <w:pPr>
              <w:pStyle w:val="TableContents"/>
              <w:spacing w:before="0" w:after="283"/>
              <w:jc w:val="right"/>
              <w:rPr/>
            </w:pPr>
            <w:r>
              <w:rPr/>
              <w:t> </w:t>
            </w:r>
          </w:p>
        </w:tc>
        <w:tc>
          <w:tcPr>
            <w:tcW w:w="875" w:type="dxa"/>
            <w:tcBorders/>
            <w:shd w:fill="FFFFFF" w:val="clear"/>
            <w:vAlign w:val="center"/>
          </w:tcPr>
          <w:p>
            <w:pPr>
              <w:pStyle w:val="TableContents"/>
              <w:spacing w:before="0" w:after="283"/>
              <w:jc w:val="left"/>
              <w:rPr/>
            </w:pPr>
            <w:r>
              <w:rPr/>
              <w:t> </w:t>
            </w:r>
          </w:p>
        </w:tc>
      </w:tr>
      <w:tr>
        <w:trPr/>
        <w:tc>
          <w:tcPr>
            <w:tcW w:w="6650"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stockholders' equity</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54,956,134</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68,135,134</w:t>
            </w:r>
          </w:p>
        </w:tc>
        <w:tc>
          <w:tcPr>
            <w:tcW w:w="875"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right"/>
        <w:rPr>
          <w:sz w:val="20"/>
          <w:bdr w:val="single" w:sz="8" w:space="1" w:color="000000"/>
        </w:rPr>
      </w:pPr>
      <w:r>
        <w:rPr>
          <w:sz w:val="20"/>
          <w:bdr w:val="single" w:sz="8" w:space="1" w:color="000000"/>
        </w:rPr>
        <w:t>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Marker Therapeutics, Inc.</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rPr>
          <w:caps w:val="false"/>
          <w:smallCaps w:val="false"/>
        </w:rPr>
      </w:pPr>
      <w:r>
        <w:rPr>
          <w:caps w:val="false"/>
          <w:smallCaps w:val="false"/>
        </w:rPr>
        <w:t> </w:t>
      </w:r>
    </w:p>
    <w:tbl>
      <w:tblPr>
        <w:tblW w:w="9152" w:type="dxa"/>
        <w:jc w:val="left"/>
        <w:tblInd w:w="0" w:type="dxa"/>
        <w:tblCellMar>
          <w:top w:w="0" w:type="dxa"/>
          <w:left w:w="0" w:type="dxa"/>
          <w:bottom w:w="0" w:type="dxa"/>
          <w:right w:w="0" w:type="dxa"/>
        </w:tblCellMar>
      </w:tblPr>
      <w:tblGrid>
        <w:gridCol w:w="6170"/>
        <w:gridCol w:w="60"/>
        <w:gridCol w:w="133"/>
        <w:gridCol w:w="1016"/>
        <w:gridCol w:w="85"/>
        <w:gridCol w:w="64"/>
        <w:gridCol w:w="133"/>
        <w:gridCol w:w="1016"/>
        <w:gridCol w:w="475"/>
      </w:tblGrid>
      <w:tr>
        <w:trPr/>
        <w:tc>
          <w:tcPr>
            <w:tcW w:w="61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447" w:type="dxa"/>
            <w:gridSpan w:val="6"/>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4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61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447"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4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61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4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85" w:type="dxa"/>
            <w:tcBorders/>
            <w:shd w:fill="auto" w:val="clear"/>
            <w:vAlign w:val="center"/>
          </w:tcPr>
          <w:p>
            <w:pPr>
              <w:pStyle w:val="TableContents"/>
              <w:spacing w:before="0" w:after="283"/>
              <w:rPr>
                <w:caps w:val="false"/>
                <w:smallCaps w:val="false"/>
              </w:rPr>
            </w:pPr>
            <w:r>
              <w:rPr>
                <w:caps w:val="false"/>
                <w:smallCaps w:val="false"/>
              </w:rPr>
              <w:t> </w:t>
            </w:r>
          </w:p>
        </w:tc>
        <w:tc>
          <w:tcPr>
            <w:tcW w:w="64" w:type="dxa"/>
            <w:tcBorders/>
            <w:shd w:fill="auto" w:val="clear"/>
            <w:vAlign w:val="center"/>
          </w:tcPr>
          <w:p>
            <w:pPr>
              <w:pStyle w:val="TableContents"/>
              <w:spacing w:before="0" w:after="283"/>
              <w:rPr>
                <w:caps w:val="false"/>
                <w:smallCaps w:val="false"/>
              </w:rPr>
            </w:pPr>
            <w:r>
              <w:rPr>
                <w:caps w:val="false"/>
                <w:smallCaps w:val="false"/>
              </w:rPr>
              <w:t> </w:t>
            </w:r>
          </w:p>
        </w:tc>
        <w:tc>
          <w:tcPr>
            <w:tcW w:w="114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4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6170" w:type="dxa"/>
            <w:tcBorders/>
            <w:shd w:fill="CCEE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shd w:fill="CCEEFF" w:val="clear"/>
            <w:vAlign w:val="center"/>
          </w:tcPr>
          <w:p>
            <w:pPr>
              <w:pStyle w:val="TableContents"/>
              <w:spacing w:before="0" w:after="283"/>
              <w:rPr/>
            </w:pPr>
            <w:r>
              <w:rPr/>
              <w:t> </w:t>
            </w:r>
          </w:p>
        </w:tc>
        <w:tc>
          <w:tcPr>
            <w:tcW w:w="1149" w:type="dxa"/>
            <w:gridSpan w:val="2"/>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64" w:type="dxa"/>
            <w:tcBorders/>
            <w:shd w:fill="CCEEFF" w:val="clear"/>
            <w:vAlign w:val="center"/>
          </w:tcPr>
          <w:p>
            <w:pPr>
              <w:pStyle w:val="TableContents"/>
              <w:spacing w:before="0" w:after="283"/>
              <w:rPr/>
            </w:pPr>
            <w:r>
              <w:rPr/>
              <w:t> </w:t>
            </w:r>
          </w:p>
        </w:tc>
        <w:tc>
          <w:tcPr>
            <w:tcW w:w="1149" w:type="dxa"/>
            <w:gridSpan w:val="2"/>
            <w:tcBorders/>
            <w:shd w:fill="CCEEFF" w:val="clear"/>
            <w:vAlign w:val="center"/>
          </w:tcPr>
          <w:p>
            <w:pPr>
              <w:pStyle w:val="TableContents"/>
              <w:spacing w:before="0" w:after="283"/>
              <w:rPr/>
            </w:pPr>
            <w:r>
              <w:rPr/>
              <w:t> </w:t>
            </w:r>
          </w:p>
        </w:tc>
        <w:tc>
          <w:tcPr>
            <w:tcW w:w="475" w:type="dxa"/>
            <w:tcBorders/>
            <w:shd w:fill="CCEEFF" w:val="clear"/>
            <w:vAlign w:val="center"/>
          </w:tcPr>
          <w:p>
            <w:pPr>
              <w:pStyle w:val="TableContents"/>
              <w:spacing w:before="0" w:after="283"/>
              <w:ind w:left="0" w:right="0" w:firstLine="400"/>
              <w:rPr/>
            </w:pPr>
            <w:r>
              <w:rPr/>
              <w:t> </w:t>
            </w:r>
          </w:p>
        </w:tc>
      </w:tr>
      <w:tr>
        <w:trPr/>
        <w:tc>
          <w:tcPr>
            <w:tcW w:w="617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income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6"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964,322</w:t>
            </w:r>
          </w:p>
        </w:tc>
        <w:tc>
          <w:tcPr>
            <w:tcW w:w="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6"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17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16"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964,322</w:t>
            </w:r>
          </w:p>
        </w:tc>
        <w:tc>
          <w:tcPr>
            <w:tcW w:w="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16"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17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FFFFFF" w:val="clear"/>
            <w:vAlign w:val="center"/>
          </w:tcPr>
          <w:p>
            <w:pPr>
              <w:pStyle w:val="TableContents"/>
              <w:spacing w:before="0" w:after="283"/>
              <w:rPr/>
            </w:pPr>
            <w:r>
              <w:rPr/>
              <w:t> </w:t>
            </w:r>
          </w:p>
        </w:tc>
        <w:tc>
          <w:tcPr>
            <w:tcW w:w="133" w:type="dxa"/>
            <w:tcBorders/>
            <w:shd w:fill="FFFFFF" w:val="clear"/>
            <w:vAlign w:val="center"/>
          </w:tcPr>
          <w:p>
            <w:pPr>
              <w:pStyle w:val="TableContents"/>
              <w:spacing w:before="0" w:after="283"/>
              <w:jc w:val="left"/>
              <w:rPr/>
            </w:pPr>
            <w:r>
              <w:rPr/>
              <w:t> </w:t>
            </w:r>
          </w:p>
        </w:tc>
        <w:tc>
          <w:tcPr>
            <w:tcW w:w="1016" w:type="dxa"/>
            <w:tcBorders/>
            <w:shd w:fill="FFFFFF" w:val="clear"/>
            <w:vAlign w:val="center"/>
          </w:tcPr>
          <w:p>
            <w:pPr>
              <w:pStyle w:val="TableContents"/>
              <w:spacing w:before="0" w:after="283"/>
              <w:jc w:val="right"/>
              <w:rPr/>
            </w:pPr>
            <w:r>
              <w:rPr/>
              <w:t> </w:t>
            </w:r>
          </w:p>
        </w:tc>
        <w:tc>
          <w:tcPr>
            <w:tcW w:w="85" w:type="dxa"/>
            <w:tcBorders/>
            <w:shd w:fill="FFFFFF" w:val="clear"/>
            <w:vAlign w:val="center"/>
          </w:tcPr>
          <w:p>
            <w:pPr>
              <w:pStyle w:val="TableContents"/>
              <w:spacing w:before="0" w:after="283"/>
              <w:jc w:val="left"/>
              <w:rPr/>
            </w:pPr>
            <w:r>
              <w:rPr/>
              <w:t> </w:t>
            </w:r>
          </w:p>
        </w:tc>
        <w:tc>
          <w:tcPr>
            <w:tcW w:w="64" w:type="dxa"/>
            <w:tcBorders/>
            <w:shd w:fill="FFFFFF" w:val="clear"/>
            <w:vAlign w:val="center"/>
          </w:tcPr>
          <w:p>
            <w:pPr>
              <w:pStyle w:val="TableContents"/>
              <w:spacing w:before="0" w:after="283"/>
              <w:rPr/>
            </w:pPr>
            <w:r>
              <w:rPr/>
              <w:t> </w:t>
            </w:r>
          </w:p>
        </w:tc>
        <w:tc>
          <w:tcPr>
            <w:tcW w:w="133" w:type="dxa"/>
            <w:tcBorders/>
            <w:shd w:fill="FFFFFF" w:val="clear"/>
            <w:vAlign w:val="center"/>
          </w:tcPr>
          <w:p>
            <w:pPr>
              <w:pStyle w:val="TableContents"/>
              <w:spacing w:before="0" w:after="283"/>
              <w:jc w:val="left"/>
              <w:rPr/>
            </w:pPr>
            <w:r>
              <w:rPr/>
              <w:t> </w:t>
            </w:r>
          </w:p>
        </w:tc>
        <w:tc>
          <w:tcPr>
            <w:tcW w:w="1016" w:type="dxa"/>
            <w:tcBorders/>
            <w:shd w:fill="FFFFFF" w:val="clear"/>
            <w:vAlign w:val="center"/>
          </w:tcPr>
          <w:p>
            <w:pPr>
              <w:pStyle w:val="TableContents"/>
              <w:spacing w:before="0" w:after="283"/>
              <w:jc w:val="right"/>
              <w:rPr/>
            </w:pPr>
            <w:r>
              <w:rPr/>
              <w:t> </w:t>
            </w:r>
          </w:p>
        </w:tc>
        <w:tc>
          <w:tcPr>
            <w:tcW w:w="475" w:type="dxa"/>
            <w:tcBorders/>
            <w:shd w:fill="FFFFFF" w:val="clear"/>
            <w:vAlign w:val="center"/>
          </w:tcPr>
          <w:p>
            <w:pPr>
              <w:pStyle w:val="TableContents"/>
              <w:spacing w:before="0" w:after="283"/>
              <w:ind w:left="0" w:right="0" w:firstLine="400"/>
              <w:jc w:val="left"/>
              <w:rPr/>
            </w:pPr>
            <w:r>
              <w:rPr/>
              <w:t> </w:t>
            </w:r>
          </w:p>
        </w:tc>
      </w:tr>
      <w:tr>
        <w:trPr/>
        <w:tc>
          <w:tcPr>
            <w:tcW w:w="617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7,026,066</w:t>
            </w:r>
          </w:p>
        </w:tc>
        <w:tc>
          <w:tcPr>
            <w:tcW w:w="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5,643,029</w:t>
            </w:r>
          </w:p>
        </w:tc>
        <w:tc>
          <w:tcPr>
            <w:tcW w:w="475" w:type="dxa"/>
            <w:tcBorders/>
            <w:shd w:fill="CCEEFF" w:val="clear"/>
            <w:vAlign w:val="center"/>
          </w:tcPr>
          <w:p>
            <w:pPr>
              <w:pStyle w:val="TableContents"/>
              <w:spacing w:before="0" w:after="283"/>
              <w:ind w:left="0" w:right="0" w:firstLine="400"/>
              <w:jc w:val="left"/>
              <w:rPr>
                <w:caps w:val="false"/>
                <w:smallCaps w:val="false"/>
              </w:rPr>
            </w:pPr>
            <w:r>
              <w:rPr>
                <w:caps w:val="false"/>
                <w:smallCaps w:val="false"/>
              </w:rPr>
              <w:t> </w:t>
            </w:r>
          </w:p>
        </w:tc>
      </w:tr>
      <w:tr>
        <w:trPr/>
        <w:tc>
          <w:tcPr>
            <w:tcW w:w="617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16"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3,733,001</w:t>
            </w:r>
          </w:p>
        </w:tc>
        <w:tc>
          <w:tcPr>
            <w:tcW w:w="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16"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3,137,958</w:t>
            </w:r>
          </w:p>
        </w:tc>
        <w:tc>
          <w:tcPr>
            <w:tcW w:w="4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17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16"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10,759,067</w:t>
            </w:r>
          </w:p>
        </w:tc>
        <w:tc>
          <w:tcPr>
            <w:tcW w:w="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16"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8,780,987</w:t>
            </w:r>
          </w:p>
        </w:tc>
        <w:tc>
          <w:tcPr>
            <w:tcW w:w="4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17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(9,794,745</w:t>
            </w:r>
          </w:p>
        </w:tc>
        <w:tc>
          <w:tcPr>
            <w:tcW w:w="8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(8,780,987</w:t>
            </w:r>
          </w:p>
        </w:tc>
        <w:tc>
          <w:tcPr>
            <w:tcW w:w="47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70"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 (expenses):</w:t>
            </w:r>
          </w:p>
        </w:tc>
        <w:tc>
          <w:tcPr>
            <w:tcW w:w="60"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jc w:val="left"/>
              <w:rPr/>
            </w:pPr>
            <w:r>
              <w:rPr/>
              <w:t> </w:t>
            </w:r>
          </w:p>
        </w:tc>
        <w:tc>
          <w:tcPr>
            <w:tcW w:w="1016" w:type="dxa"/>
            <w:tcBorders/>
            <w:shd w:fill="CCEEFF" w:val="clear"/>
            <w:vAlign w:val="center"/>
          </w:tcPr>
          <w:p>
            <w:pPr>
              <w:pStyle w:val="TableContents"/>
              <w:spacing w:before="0" w:after="283"/>
              <w:jc w:val="right"/>
              <w:rPr/>
            </w:pPr>
            <w:r>
              <w:rPr/>
              <w:t> </w:t>
            </w:r>
          </w:p>
        </w:tc>
        <w:tc>
          <w:tcPr>
            <w:tcW w:w="85" w:type="dxa"/>
            <w:tcBorders/>
            <w:shd w:fill="CCEEFF" w:val="clear"/>
            <w:vAlign w:val="center"/>
          </w:tcPr>
          <w:p>
            <w:pPr>
              <w:pStyle w:val="TableContents"/>
              <w:spacing w:before="0" w:after="283"/>
              <w:jc w:val="left"/>
              <w:rPr/>
            </w:pPr>
            <w:r>
              <w:rPr/>
              <w:t> </w:t>
            </w:r>
          </w:p>
        </w:tc>
        <w:tc>
          <w:tcPr>
            <w:tcW w:w="64"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jc w:val="left"/>
              <w:rPr/>
            </w:pPr>
            <w:r>
              <w:rPr/>
              <w:t> </w:t>
            </w:r>
          </w:p>
        </w:tc>
        <w:tc>
          <w:tcPr>
            <w:tcW w:w="1016" w:type="dxa"/>
            <w:tcBorders/>
            <w:shd w:fill="CCEEFF" w:val="clear"/>
            <w:vAlign w:val="center"/>
          </w:tcPr>
          <w:p>
            <w:pPr>
              <w:pStyle w:val="TableContents"/>
              <w:spacing w:before="0" w:after="283"/>
              <w:jc w:val="right"/>
              <w:rPr/>
            </w:pPr>
            <w:r>
              <w:rPr/>
              <w:t> </w:t>
            </w:r>
          </w:p>
        </w:tc>
        <w:tc>
          <w:tcPr>
            <w:tcW w:w="475" w:type="dxa"/>
            <w:tcBorders/>
            <w:shd w:fill="CCEEFF" w:val="clear"/>
            <w:vAlign w:val="center"/>
          </w:tcPr>
          <w:p>
            <w:pPr>
              <w:pStyle w:val="TableContents"/>
              <w:spacing w:before="0" w:after="283"/>
              <w:ind w:left="0" w:right="0" w:firstLine="400"/>
              <w:jc w:val="left"/>
              <w:rPr/>
            </w:pPr>
            <w:r>
              <w:rPr/>
              <w:t> </w:t>
            </w:r>
          </w:p>
        </w:tc>
      </w:tr>
      <w:tr>
        <w:trPr/>
        <w:tc>
          <w:tcPr>
            <w:tcW w:w="617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Arbitration settlement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(118,880</w:t>
            </w:r>
          </w:p>
        </w:tc>
        <w:tc>
          <w:tcPr>
            <w:tcW w:w="8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5" w:type="dxa"/>
            <w:tcBorders/>
            <w:shd w:fill="FFFFFF" w:val="clear"/>
            <w:vAlign w:val="center"/>
          </w:tcPr>
          <w:p>
            <w:pPr>
              <w:pStyle w:val="TableContents"/>
              <w:spacing w:before="0" w:after="283"/>
              <w:ind w:left="0" w:right="0" w:firstLine="400"/>
              <w:jc w:val="left"/>
              <w:rPr>
                <w:caps w:val="false"/>
                <w:smallCaps w:val="false"/>
              </w:rPr>
            </w:pPr>
            <w:r>
              <w:rPr>
                <w:caps w:val="false"/>
                <w:smallCaps w:val="false"/>
              </w:rPr>
              <w:t> </w:t>
            </w:r>
          </w:p>
        </w:tc>
      </w:tr>
      <w:tr>
        <w:trPr/>
        <w:tc>
          <w:tcPr>
            <w:tcW w:w="617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16"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3,117</w:t>
            </w:r>
          </w:p>
        </w:tc>
        <w:tc>
          <w:tcPr>
            <w:tcW w:w="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16"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1,537</w:t>
            </w:r>
          </w:p>
        </w:tc>
        <w:tc>
          <w:tcPr>
            <w:tcW w:w="4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17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6"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(9,910,508</w:t>
            </w:r>
          </w:p>
        </w:tc>
        <w:tc>
          <w:tcPr>
            <w:tcW w:w="85"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4"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6"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(8,779,450</w:t>
            </w:r>
          </w:p>
        </w:tc>
        <w:tc>
          <w:tcPr>
            <w:tcW w:w="475"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17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jc w:val="left"/>
              <w:rPr/>
            </w:pPr>
            <w:r>
              <w:rPr/>
              <w:t> </w:t>
            </w:r>
          </w:p>
        </w:tc>
        <w:tc>
          <w:tcPr>
            <w:tcW w:w="1016" w:type="dxa"/>
            <w:tcBorders/>
            <w:shd w:fill="CCEEFF" w:val="clear"/>
            <w:vAlign w:val="center"/>
          </w:tcPr>
          <w:p>
            <w:pPr>
              <w:pStyle w:val="TableContents"/>
              <w:spacing w:before="0" w:after="283"/>
              <w:jc w:val="right"/>
              <w:rPr/>
            </w:pPr>
            <w:r>
              <w:rPr/>
              <w:t> </w:t>
            </w:r>
          </w:p>
        </w:tc>
        <w:tc>
          <w:tcPr>
            <w:tcW w:w="85" w:type="dxa"/>
            <w:tcBorders/>
            <w:shd w:fill="CCEEFF" w:val="clear"/>
            <w:vAlign w:val="center"/>
          </w:tcPr>
          <w:p>
            <w:pPr>
              <w:pStyle w:val="TableContents"/>
              <w:spacing w:before="0" w:after="283"/>
              <w:jc w:val="left"/>
              <w:rPr/>
            </w:pPr>
            <w:r>
              <w:rPr/>
              <w:t> </w:t>
            </w:r>
          </w:p>
        </w:tc>
        <w:tc>
          <w:tcPr>
            <w:tcW w:w="64"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jc w:val="left"/>
              <w:rPr/>
            </w:pPr>
            <w:r>
              <w:rPr/>
              <w:t> </w:t>
            </w:r>
          </w:p>
        </w:tc>
        <w:tc>
          <w:tcPr>
            <w:tcW w:w="1016" w:type="dxa"/>
            <w:tcBorders/>
            <w:shd w:fill="CCEEFF" w:val="clear"/>
            <w:vAlign w:val="center"/>
          </w:tcPr>
          <w:p>
            <w:pPr>
              <w:pStyle w:val="TableContents"/>
              <w:spacing w:before="0" w:after="283"/>
              <w:jc w:val="right"/>
              <w:rPr/>
            </w:pPr>
            <w:r>
              <w:rPr/>
              <w:t> </w:t>
            </w:r>
          </w:p>
        </w:tc>
        <w:tc>
          <w:tcPr>
            <w:tcW w:w="475" w:type="dxa"/>
            <w:tcBorders/>
            <w:shd w:fill="CCEEFF" w:val="clear"/>
            <w:vAlign w:val="center"/>
          </w:tcPr>
          <w:p>
            <w:pPr>
              <w:pStyle w:val="TableContents"/>
              <w:spacing w:before="0" w:after="283"/>
              <w:jc w:val="left"/>
              <w:rPr/>
            </w:pPr>
            <w:r>
              <w:rPr/>
              <w:t> </w:t>
            </w:r>
          </w:p>
        </w:tc>
      </w:tr>
      <w:tr>
        <w:trPr/>
        <w:tc>
          <w:tcPr>
            <w:tcW w:w="617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basic and diluted</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6"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w:t>
            </w:r>
          </w:p>
        </w:tc>
        <w:tc>
          <w:tcPr>
            <w:tcW w:w="8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6"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(0.16</w:t>
            </w:r>
          </w:p>
        </w:tc>
        <w:tc>
          <w:tcPr>
            <w:tcW w:w="47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7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common shares outstanding, basic and diluted</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16"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83,107,649</w:t>
            </w:r>
          </w:p>
        </w:tc>
        <w:tc>
          <w:tcPr>
            <w:tcW w:w="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16"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56,470,247</w:t>
            </w:r>
          </w:p>
        </w:tc>
        <w:tc>
          <w:tcPr>
            <w:tcW w:w="475"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right"/>
        <w:rPr>
          <w:sz w:val="20"/>
          <w:bdr w:val="single" w:sz="8" w:space="1" w:color="000000"/>
        </w:rPr>
      </w:pPr>
      <w:r>
        <w:rPr>
          <w:sz w:val="20"/>
          <w:bdr w:val="single" w:sz="8" w:space="1" w:color="000000"/>
        </w:rPr>
        <w:t>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Marker Therapeutics, Inc.</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rPr>
          <w:caps w:val="false"/>
          <w:smallCaps w:val="false"/>
        </w:rPr>
      </w:pPr>
      <w:r>
        <w:rPr>
          <w:caps w:val="false"/>
          <w:smallCaps w:val="false"/>
        </w:rPr>
        <w:t> </w:t>
      </w:r>
    </w:p>
    <w:tbl>
      <w:tblPr>
        <w:tblW w:w="8987" w:type="dxa"/>
        <w:jc w:val="left"/>
        <w:tblInd w:w="0" w:type="dxa"/>
        <w:tblCellMar>
          <w:top w:w="0" w:type="dxa"/>
          <w:left w:w="0" w:type="dxa"/>
          <w:bottom w:w="0" w:type="dxa"/>
          <w:right w:w="0" w:type="dxa"/>
        </w:tblCellMar>
      </w:tblPr>
      <w:tblGrid>
        <w:gridCol w:w="5585"/>
        <w:gridCol w:w="60"/>
        <w:gridCol w:w="130"/>
        <w:gridCol w:w="1052"/>
        <w:gridCol w:w="83"/>
        <w:gridCol w:w="62"/>
        <w:gridCol w:w="130"/>
        <w:gridCol w:w="990"/>
        <w:gridCol w:w="895"/>
      </w:tblGrid>
      <w:tr>
        <w:trPr/>
        <w:tc>
          <w:tcPr>
            <w:tcW w:w="55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447" w:type="dxa"/>
            <w:gridSpan w:val="6"/>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8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55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447"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8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55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82"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83" w:type="dxa"/>
            <w:tcBorders/>
            <w:shd w:fill="auto" w:val="clear"/>
            <w:vAlign w:val="center"/>
          </w:tcPr>
          <w:p>
            <w:pPr>
              <w:pStyle w:val="TableContents"/>
              <w:spacing w:before="0" w:after="283"/>
              <w:rPr>
                <w:caps w:val="false"/>
                <w:smallCaps w:val="false"/>
              </w:rPr>
            </w:pPr>
            <w:r>
              <w:rPr>
                <w:caps w:val="false"/>
                <w:smallCaps w:val="false"/>
              </w:rPr>
              <w:t> </w:t>
            </w:r>
          </w:p>
        </w:tc>
        <w:tc>
          <w:tcPr>
            <w:tcW w:w="62" w:type="dxa"/>
            <w:tcBorders/>
            <w:shd w:fill="auto" w:val="clear"/>
            <w:vAlign w:val="center"/>
          </w:tcPr>
          <w:p>
            <w:pPr>
              <w:pStyle w:val="TableContents"/>
              <w:spacing w:before="0" w:after="283"/>
              <w:rPr>
                <w:caps w:val="false"/>
                <w:smallCaps w:val="false"/>
              </w:rPr>
            </w:pPr>
            <w:r>
              <w:rPr>
                <w:caps w:val="false"/>
                <w:smallCaps w:val="false"/>
              </w:rPr>
              <w:t> </w:t>
            </w:r>
          </w:p>
        </w:tc>
        <w:tc>
          <w:tcPr>
            <w:tcW w:w="112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8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558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Operating Activities:</w:t>
            </w:r>
          </w:p>
        </w:tc>
        <w:tc>
          <w:tcPr>
            <w:tcW w:w="60"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jc w:val="left"/>
              <w:rPr/>
            </w:pPr>
            <w:r>
              <w:rPr/>
              <w:t> </w:t>
            </w:r>
          </w:p>
        </w:tc>
        <w:tc>
          <w:tcPr>
            <w:tcW w:w="1052" w:type="dxa"/>
            <w:tcBorders/>
            <w:shd w:fill="CCEEFF" w:val="clear"/>
            <w:vAlign w:val="center"/>
          </w:tcPr>
          <w:p>
            <w:pPr>
              <w:pStyle w:val="TableContents"/>
              <w:spacing w:before="0" w:after="283"/>
              <w:jc w:val="right"/>
              <w:rPr/>
            </w:pPr>
            <w:r>
              <w:rPr/>
              <w:t> </w:t>
            </w:r>
          </w:p>
        </w:tc>
        <w:tc>
          <w:tcPr>
            <w:tcW w:w="83"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jc w:val="left"/>
              <w:rPr/>
            </w:pPr>
            <w:r>
              <w:rPr/>
              <w:t> </w:t>
            </w:r>
          </w:p>
        </w:tc>
        <w:tc>
          <w:tcPr>
            <w:tcW w:w="990" w:type="dxa"/>
            <w:tcBorders/>
            <w:shd w:fill="CCEEFF" w:val="clear"/>
            <w:vAlign w:val="center"/>
          </w:tcPr>
          <w:p>
            <w:pPr>
              <w:pStyle w:val="TableContents"/>
              <w:spacing w:before="0" w:after="283"/>
              <w:jc w:val="right"/>
              <w:rPr/>
            </w:pPr>
            <w:r>
              <w:rPr/>
              <w:t> </w:t>
            </w:r>
          </w:p>
        </w:tc>
        <w:tc>
          <w:tcPr>
            <w:tcW w:w="895" w:type="dxa"/>
            <w:tcBorders/>
            <w:shd w:fill="CCEEFF" w:val="clear"/>
            <w:vAlign w:val="center"/>
          </w:tcPr>
          <w:p>
            <w:pPr>
              <w:pStyle w:val="TableContents"/>
              <w:spacing w:before="0" w:after="283"/>
              <w:ind w:left="0" w:right="0" w:firstLine="201"/>
              <w:jc w:val="left"/>
              <w:rPr/>
            </w:pPr>
            <w:r>
              <w:rPr/>
              <w:t> </w:t>
            </w:r>
          </w:p>
        </w:tc>
      </w:tr>
      <w:tr>
        <w:trPr/>
        <w:tc>
          <w:tcPr>
            <w:tcW w:w="5585"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(9,910,508</w:t>
            </w:r>
          </w:p>
        </w:tc>
        <w:tc>
          <w:tcPr>
            <w:tcW w:w="8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(8,779,450</w:t>
            </w:r>
          </w:p>
        </w:tc>
        <w:tc>
          <w:tcPr>
            <w:tcW w:w="895" w:type="dxa"/>
            <w:tcBorders/>
            <w:shd w:fill="FFFFFF" w:val="clear"/>
            <w:vAlign w:val="center"/>
          </w:tcPr>
          <w:p>
            <w:pPr>
              <w:pStyle w:val="TableContents"/>
              <w:spacing w:before="0" w:after="283"/>
              <w:ind w:left="0" w:right="0" w:firstLine="20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8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net loss to net cash used in operating activities:</w:t>
            </w:r>
          </w:p>
        </w:tc>
        <w:tc>
          <w:tcPr>
            <w:tcW w:w="60"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jc w:val="left"/>
              <w:rPr/>
            </w:pPr>
            <w:r>
              <w:rPr/>
              <w:t> </w:t>
            </w:r>
          </w:p>
        </w:tc>
        <w:tc>
          <w:tcPr>
            <w:tcW w:w="1052" w:type="dxa"/>
            <w:tcBorders/>
            <w:shd w:fill="CCEEFF" w:val="clear"/>
            <w:vAlign w:val="center"/>
          </w:tcPr>
          <w:p>
            <w:pPr>
              <w:pStyle w:val="TableContents"/>
              <w:spacing w:before="0" w:after="283"/>
              <w:jc w:val="right"/>
              <w:rPr/>
            </w:pPr>
            <w:r>
              <w:rPr/>
              <w:t> </w:t>
            </w:r>
          </w:p>
        </w:tc>
        <w:tc>
          <w:tcPr>
            <w:tcW w:w="83"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jc w:val="left"/>
              <w:rPr/>
            </w:pPr>
            <w:r>
              <w:rPr/>
              <w:t> </w:t>
            </w:r>
          </w:p>
        </w:tc>
        <w:tc>
          <w:tcPr>
            <w:tcW w:w="990" w:type="dxa"/>
            <w:tcBorders/>
            <w:shd w:fill="CCEEFF" w:val="clear"/>
            <w:vAlign w:val="center"/>
          </w:tcPr>
          <w:p>
            <w:pPr>
              <w:pStyle w:val="TableContents"/>
              <w:spacing w:before="0" w:after="283"/>
              <w:jc w:val="right"/>
              <w:rPr/>
            </w:pPr>
            <w:r>
              <w:rPr/>
              <w:t> </w:t>
            </w:r>
          </w:p>
        </w:tc>
        <w:tc>
          <w:tcPr>
            <w:tcW w:w="895" w:type="dxa"/>
            <w:tcBorders/>
            <w:shd w:fill="CCEEFF" w:val="clear"/>
            <w:vAlign w:val="center"/>
          </w:tcPr>
          <w:p>
            <w:pPr>
              <w:pStyle w:val="TableContents"/>
              <w:spacing w:before="0" w:after="283"/>
              <w:ind w:left="0" w:right="0" w:firstLine="400"/>
              <w:jc w:val="left"/>
              <w:rPr/>
            </w:pPr>
            <w:r>
              <w:rPr/>
              <w:t> </w:t>
            </w:r>
          </w:p>
        </w:tc>
      </w:tr>
      <w:tr>
        <w:trPr/>
        <w:tc>
          <w:tcPr>
            <w:tcW w:w="558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5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576,331</w:t>
            </w:r>
          </w:p>
        </w:tc>
        <w:tc>
          <w:tcPr>
            <w:tcW w:w="8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9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502,743</w:t>
            </w:r>
          </w:p>
        </w:tc>
        <w:tc>
          <w:tcPr>
            <w:tcW w:w="895" w:type="dxa"/>
            <w:tcBorders/>
            <w:shd w:fill="FFFFFF" w:val="clear"/>
            <w:vAlign w:val="center"/>
          </w:tcPr>
          <w:p>
            <w:pPr>
              <w:pStyle w:val="TableContents"/>
              <w:spacing w:before="0" w:after="283"/>
              <w:ind w:left="0" w:right="0" w:firstLine="400"/>
              <w:jc w:val="left"/>
              <w:rPr>
                <w:caps w:val="false"/>
                <w:smallCaps w:val="false"/>
              </w:rPr>
            </w:pPr>
            <w:r>
              <w:rPr>
                <w:caps w:val="false"/>
                <w:smallCaps w:val="false"/>
              </w:rPr>
              <w:t> </w:t>
            </w:r>
          </w:p>
        </w:tc>
      </w:tr>
      <w:tr>
        <w:trPr/>
        <w:tc>
          <w:tcPr>
            <w:tcW w:w="55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5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1,630,677</w:t>
            </w:r>
          </w:p>
        </w:tc>
        <w:tc>
          <w:tcPr>
            <w:tcW w:w="8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9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1,377,038</w:t>
            </w:r>
          </w:p>
        </w:tc>
        <w:tc>
          <w:tcPr>
            <w:tcW w:w="895" w:type="dxa"/>
            <w:tcBorders/>
            <w:shd w:fill="CCEEFF" w:val="clear"/>
            <w:vAlign w:val="center"/>
          </w:tcPr>
          <w:p>
            <w:pPr>
              <w:pStyle w:val="TableContents"/>
              <w:spacing w:before="0" w:after="283"/>
              <w:ind w:left="0" w:right="0" w:firstLine="400"/>
              <w:jc w:val="left"/>
              <w:rPr>
                <w:caps w:val="false"/>
                <w:smallCaps w:val="false"/>
              </w:rPr>
            </w:pPr>
            <w:r>
              <w:rPr>
                <w:caps w:val="false"/>
                <w:smallCaps w:val="false"/>
              </w:rPr>
              <w:t> </w:t>
            </w:r>
          </w:p>
        </w:tc>
      </w:tr>
      <w:tr>
        <w:trPr/>
        <w:tc>
          <w:tcPr>
            <w:tcW w:w="558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right-of-use assets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5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257,889</w:t>
            </w:r>
          </w:p>
        </w:tc>
        <w:tc>
          <w:tcPr>
            <w:tcW w:w="8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9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251,626</w:t>
            </w:r>
          </w:p>
        </w:tc>
        <w:tc>
          <w:tcPr>
            <w:tcW w:w="895" w:type="dxa"/>
            <w:tcBorders/>
            <w:shd w:fill="FFFFFF" w:val="clear"/>
            <w:vAlign w:val="center"/>
          </w:tcPr>
          <w:p>
            <w:pPr>
              <w:pStyle w:val="TableContents"/>
              <w:spacing w:before="0" w:after="283"/>
              <w:ind w:left="0" w:right="0" w:firstLine="402"/>
              <w:jc w:val="left"/>
              <w:rPr>
                <w:caps w:val="false"/>
                <w:smallCaps w:val="false"/>
              </w:rPr>
            </w:pPr>
            <w:r>
              <w:rPr>
                <w:caps w:val="false"/>
                <w:smallCaps w:val="false"/>
              </w:rPr>
              <w:t> </w:t>
            </w:r>
          </w:p>
        </w:tc>
      </w:tr>
      <w:tr>
        <w:trPr/>
        <w:tc>
          <w:tcPr>
            <w:tcW w:w="558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operating assets and liabilities:</w:t>
            </w:r>
          </w:p>
        </w:tc>
        <w:tc>
          <w:tcPr>
            <w:tcW w:w="60"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jc w:val="left"/>
              <w:rPr/>
            </w:pPr>
            <w:r>
              <w:rPr/>
              <w:t> </w:t>
            </w:r>
          </w:p>
        </w:tc>
        <w:tc>
          <w:tcPr>
            <w:tcW w:w="1052" w:type="dxa"/>
            <w:tcBorders/>
            <w:shd w:fill="CCEEFF" w:val="clear"/>
            <w:vAlign w:val="center"/>
          </w:tcPr>
          <w:p>
            <w:pPr>
              <w:pStyle w:val="TableContents"/>
              <w:spacing w:before="0" w:after="283"/>
              <w:jc w:val="right"/>
              <w:rPr/>
            </w:pPr>
            <w:r>
              <w:rPr/>
              <w:t> </w:t>
            </w:r>
          </w:p>
        </w:tc>
        <w:tc>
          <w:tcPr>
            <w:tcW w:w="83"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jc w:val="left"/>
              <w:rPr/>
            </w:pPr>
            <w:r>
              <w:rPr/>
              <w:t> </w:t>
            </w:r>
          </w:p>
        </w:tc>
        <w:tc>
          <w:tcPr>
            <w:tcW w:w="990" w:type="dxa"/>
            <w:tcBorders/>
            <w:shd w:fill="CCEEFF" w:val="clear"/>
            <w:vAlign w:val="center"/>
          </w:tcPr>
          <w:p>
            <w:pPr>
              <w:pStyle w:val="TableContents"/>
              <w:spacing w:before="0" w:after="283"/>
              <w:jc w:val="right"/>
              <w:rPr/>
            </w:pPr>
            <w:r>
              <w:rPr/>
              <w:t> </w:t>
            </w:r>
          </w:p>
        </w:tc>
        <w:tc>
          <w:tcPr>
            <w:tcW w:w="895" w:type="dxa"/>
            <w:tcBorders/>
            <w:shd w:fill="CCEEFF" w:val="clear"/>
            <w:vAlign w:val="center"/>
          </w:tcPr>
          <w:p>
            <w:pPr>
              <w:pStyle w:val="TableContents"/>
              <w:spacing w:before="0" w:after="283"/>
              <w:ind w:left="0" w:right="0" w:firstLine="600"/>
              <w:jc w:val="left"/>
              <w:rPr/>
            </w:pPr>
            <w:r>
              <w:rPr/>
              <w:t> </w:t>
            </w:r>
          </w:p>
        </w:tc>
      </w:tr>
      <w:tr>
        <w:trPr/>
        <w:tc>
          <w:tcPr>
            <w:tcW w:w="558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deposits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5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288,409</w:t>
            </w:r>
          </w:p>
        </w:tc>
        <w:tc>
          <w:tcPr>
            <w:tcW w:w="8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9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95,000</w:t>
            </w:r>
          </w:p>
        </w:tc>
        <w:tc>
          <w:tcPr>
            <w:tcW w:w="895" w:type="dxa"/>
            <w:tcBorders/>
            <w:shd w:fill="FFFFFF" w:val="clear"/>
            <w:vAlign w:val="center"/>
          </w:tcPr>
          <w:p>
            <w:pPr>
              <w:pStyle w:val="TableContents"/>
              <w:spacing w:before="0" w:after="283"/>
              <w:ind w:left="0" w:right="0" w:firstLine="600"/>
              <w:jc w:val="left"/>
              <w:rPr>
                <w:caps w:val="false"/>
                <w:smallCaps w:val="false"/>
              </w:rPr>
            </w:pPr>
            <w:r>
              <w:rPr>
                <w:caps w:val="false"/>
                <w:smallCaps w:val="false"/>
              </w:rPr>
              <w:t> </w:t>
            </w:r>
          </w:p>
        </w:tc>
      </w:tr>
      <w:tr>
        <w:trPr/>
        <w:tc>
          <w:tcPr>
            <w:tcW w:w="55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5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(1,948</w:t>
            </w:r>
          </w:p>
        </w:tc>
        <w:tc>
          <w:tcPr>
            <w:tcW w:w="8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9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w:t>
            </w:r>
          </w:p>
        </w:tc>
        <w:tc>
          <w:tcPr>
            <w:tcW w:w="895" w:type="dxa"/>
            <w:tcBorders/>
            <w:shd w:fill="CCEEFF" w:val="clear"/>
            <w:vAlign w:val="center"/>
          </w:tcPr>
          <w:p>
            <w:pPr>
              <w:pStyle w:val="TableContents"/>
              <w:spacing w:before="0" w:after="283"/>
              <w:ind w:left="0" w:right="0" w:firstLine="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8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expenses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5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(3,953,976</w:t>
            </w:r>
          </w:p>
        </w:tc>
        <w:tc>
          <w:tcPr>
            <w:tcW w:w="8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9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(1,482,473</w:t>
            </w:r>
          </w:p>
        </w:tc>
        <w:tc>
          <w:tcPr>
            <w:tcW w:w="895" w:type="dxa"/>
            <w:tcBorders/>
            <w:shd w:fill="FFFFFF" w:val="clear"/>
            <w:vAlign w:val="center"/>
          </w:tcPr>
          <w:p>
            <w:pPr>
              <w:pStyle w:val="TableContents"/>
              <w:spacing w:before="0" w:after="283"/>
              <w:ind w:left="0" w:right="0" w:firstLine="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5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(964,322</w:t>
            </w:r>
          </w:p>
        </w:tc>
        <w:tc>
          <w:tcPr>
            <w:tcW w:w="8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9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5" w:type="dxa"/>
            <w:tcBorders/>
            <w:shd w:fill="CCEEFF" w:val="clear"/>
            <w:vAlign w:val="center"/>
          </w:tcPr>
          <w:p>
            <w:pPr>
              <w:pStyle w:val="TableContents"/>
              <w:spacing w:before="0" w:after="283"/>
              <w:ind w:left="0" w:right="0" w:firstLine="600"/>
              <w:jc w:val="left"/>
              <w:rPr>
                <w:caps w:val="false"/>
                <w:smallCaps w:val="false"/>
              </w:rPr>
            </w:pPr>
            <w:r>
              <w:rPr>
                <w:caps w:val="false"/>
                <w:smallCaps w:val="false"/>
              </w:rPr>
              <w:t> </w:t>
            </w:r>
          </w:p>
        </w:tc>
      </w:tr>
      <w:tr>
        <w:trPr/>
        <w:tc>
          <w:tcPr>
            <w:tcW w:w="558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liability</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52"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(148,614</w:t>
            </w:r>
          </w:p>
        </w:tc>
        <w:tc>
          <w:tcPr>
            <w:tcW w:w="8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9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(64,329</w:t>
            </w:r>
          </w:p>
        </w:tc>
        <w:tc>
          <w:tcPr>
            <w:tcW w:w="895" w:type="dxa"/>
            <w:tcBorders/>
            <w:shd w:fill="FFFFFF" w:val="clear"/>
            <w:vAlign w:val="center"/>
          </w:tcPr>
          <w:p>
            <w:pPr>
              <w:pStyle w:val="TableContents"/>
              <w:spacing w:before="0" w:after="283"/>
              <w:ind w:left="0" w:right="0" w:firstLine="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52"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(12,226,062</w:t>
            </w:r>
          </w:p>
        </w:tc>
        <w:tc>
          <w:tcPr>
            <w:tcW w:w="8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9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(8,100,153</w:t>
            </w:r>
          </w:p>
        </w:tc>
        <w:tc>
          <w:tcPr>
            <w:tcW w:w="8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85"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Investing Activities:</w:t>
            </w:r>
          </w:p>
        </w:tc>
        <w:tc>
          <w:tcPr>
            <w:tcW w:w="60" w:type="dxa"/>
            <w:tcBorders/>
            <w:shd w:fill="FFFFFF" w:val="clear"/>
            <w:vAlign w:val="center"/>
          </w:tcPr>
          <w:p>
            <w:pPr>
              <w:pStyle w:val="TableContents"/>
              <w:spacing w:before="0" w:after="283"/>
              <w:rPr/>
            </w:pPr>
            <w:r>
              <w:rPr/>
              <w:t> </w:t>
            </w:r>
          </w:p>
        </w:tc>
        <w:tc>
          <w:tcPr>
            <w:tcW w:w="130" w:type="dxa"/>
            <w:tcBorders/>
            <w:shd w:fill="FFFFFF" w:val="clear"/>
            <w:vAlign w:val="center"/>
          </w:tcPr>
          <w:p>
            <w:pPr>
              <w:pStyle w:val="TableContents"/>
              <w:spacing w:before="0" w:after="283"/>
              <w:jc w:val="left"/>
              <w:rPr/>
            </w:pPr>
            <w:r>
              <w:rPr/>
              <w:t> </w:t>
            </w:r>
          </w:p>
        </w:tc>
        <w:tc>
          <w:tcPr>
            <w:tcW w:w="1052" w:type="dxa"/>
            <w:tcBorders/>
            <w:shd w:fill="FFFFFF" w:val="clear"/>
            <w:vAlign w:val="center"/>
          </w:tcPr>
          <w:p>
            <w:pPr>
              <w:pStyle w:val="TableContents"/>
              <w:spacing w:before="0" w:after="283"/>
              <w:jc w:val="right"/>
              <w:rPr/>
            </w:pPr>
            <w:r>
              <w:rPr/>
              <w:t> </w:t>
            </w:r>
          </w:p>
        </w:tc>
        <w:tc>
          <w:tcPr>
            <w:tcW w:w="83"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30" w:type="dxa"/>
            <w:tcBorders/>
            <w:shd w:fill="FFFFFF" w:val="clear"/>
            <w:vAlign w:val="center"/>
          </w:tcPr>
          <w:p>
            <w:pPr>
              <w:pStyle w:val="TableContents"/>
              <w:spacing w:before="0" w:after="283"/>
              <w:jc w:val="left"/>
              <w:rPr/>
            </w:pPr>
            <w:r>
              <w:rPr/>
              <w:t> </w:t>
            </w:r>
          </w:p>
        </w:tc>
        <w:tc>
          <w:tcPr>
            <w:tcW w:w="990" w:type="dxa"/>
            <w:tcBorders/>
            <w:shd w:fill="FFFFFF" w:val="clear"/>
            <w:vAlign w:val="center"/>
          </w:tcPr>
          <w:p>
            <w:pPr>
              <w:pStyle w:val="TableContents"/>
              <w:spacing w:before="0" w:after="283"/>
              <w:jc w:val="right"/>
              <w:rPr/>
            </w:pPr>
            <w:r>
              <w:rPr/>
              <w:t> </w:t>
            </w:r>
          </w:p>
        </w:tc>
        <w:tc>
          <w:tcPr>
            <w:tcW w:w="895" w:type="dxa"/>
            <w:tcBorders/>
            <w:shd w:fill="FFFFFF" w:val="clear"/>
            <w:vAlign w:val="center"/>
          </w:tcPr>
          <w:p>
            <w:pPr>
              <w:pStyle w:val="TableContents"/>
              <w:spacing w:before="0" w:after="283"/>
              <w:ind w:left="0" w:right="0" w:firstLine="400"/>
              <w:jc w:val="left"/>
              <w:rPr/>
            </w:pPr>
            <w:r>
              <w:rPr/>
              <w:t> </w:t>
            </w:r>
          </w:p>
        </w:tc>
      </w:tr>
      <w:tr>
        <w:trPr/>
        <w:tc>
          <w:tcPr>
            <w:tcW w:w="55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property and equipment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5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(826,583</w:t>
            </w:r>
          </w:p>
        </w:tc>
        <w:tc>
          <w:tcPr>
            <w:tcW w:w="8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9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(442,277</w:t>
            </w:r>
          </w:p>
        </w:tc>
        <w:tc>
          <w:tcPr>
            <w:tcW w:w="895" w:type="dxa"/>
            <w:tcBorders/>
            <w:shd w:fill="CCEEFF" w:val="clear"/>
            <w:vAlign w:val="center"/>
          </w:tcPr>
          <w:p>
            <w:pPr>
              <w:pStyle w:val="TableContents"/>
              <w:spacing w:before="0" w:after="283"/>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8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for construction in progress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52"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(1,625,605</w:t>
            </w:r>
          </w:p>
        </w:tc>
        <w:tc>
          <w:tcPr>
            <w:tcW w:w="83"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9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(958,965</w:t>
            </w:r>
          </w:p>
        </w:tc>
        <w:tc>
          <w:tcPr>
            <w:tcW w:w="895" w:type="dxa"/>
            <w:tcBorders/>
            <w:shd w:fill="FFFFFF" w:val="clear"/>
            <w:vAlign w:val="center"/>
          </w:tcPr>
          <w:p>
            <w:pPr>
              <w:pStyle w:val="TableContents"/>
              <w:spacing w:before="0" w:after="283"/>
              <w:ind w:left="0" w:right="0" w:firstLine="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52"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(2,452,188</w:t>
            </w:r>
          </w:p>
        </w:tc>
        <w:tc>
          <w:tcPr>
            <w:tcW w:w="8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9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(1,401,242</w:t>
            </w:r>
          </w:p>
        </w:tc>
        <w:tc>
          <w:tcPr>
            <w:tcW w:w="8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85"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tc>
        <w:tc>
          <w:tcPr>
            <w:tcW w:w="60" w:type="dxa"/>
            <w:tcBorders/>
            <w:shd w:fill="FFFFFF" w:val="clear"/>
            <w:vAlign w:val="center"/>
          </w:tcPr>
          <w:p>
            <w:pPr>
              <w:pStyle w:val="TableContents"/>
              <w:spacing w:before="0" w:after="283"/>
              <w:rPr/>
            </w:pPr>
            <w:r>
              <w:rPr/>
              <w:t> </w:t>
            </w:r>
          </w:p>
        </w:tc>
        <w:tc>
          <w:tcPr>
            <w:tcW w:w="130" w:type="dxa"/>
            <w:tcBorders/>
            <w:shd w:fill="FFFFFF" w:val="clear"/>
            <w:vAlign w:val="center"/>
          </w:tcPr>
          <w:p>
            <w:pPr>
              <w:pStyle w:val="TableContents"/>
              <w:spacing w:before="0" w:after="283"/>
              <w:jc w:val="left"/>
              <w:rPr/>
            </w:pPr>
            <w:r>
              <w:rPr/>
              <w:t> </w:t>
            </w:r>
          </w:p>
        </w:tc>
        <w:tc>
          <w:tcPr>
            <w:tcW w:w="1052" w:type="dxa"/>
            <w:tcBorders/>
            <w:shd w:fill="FFFFFF" w:val="clear"/>
            <w:vAlign w:val="center"/>
          </w:tcPr>
          <w:p>
            <w:pPr>
              <w:pStyle w:val="TableContents"/>
              <w:spacing w:before="0" w:after="283"/>
              <w:jc w:val="right"/>
              <w:rPr/>
            </w:pPr>
            <w:r>
              <w:rPr/>
              <w:t> </w:t>
            </w:r>
          </w:p>
        </w:tc>
        <w:tc>
          <w:tcPr>
            <w:tcW w:w="83"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30" w:type="dxa"/>
            <w:tcBorders/>
            <w:shd w:fill="FFFFFF" w:val="clear"/>
            <w:vAlign w:val="center"/>
          </w:tcPr>
          <w:p>
            <w:pPr>
              <w:pStyle w:val="TableContents"/>
              <w:spacing w:before="0" w:after="283"/>
              <w:jc w:val="left"/>
              <w:rPr/>
            </w:pPr>
            <w:r>
              <w:rPr/>
              <w:t> </w:t>
            </w:r>
          </w:p>
        </w:tc>
        <w:tc>
          <w:tcPr>
            <w:tcW w:w="990" w:type="dxa"/>
            <w:tcBorders/>
            <w:shd w:fill="FFFFFF" w:val="clear"/>
            <w:vAlign w:val="center"/>
          </w:tcPr>
          <w:p>
            <w:pPr>
              <w:pStyle w:val="TableContents"/>
              <w:spacing w:before="0" w:after="283"/>
              <w:jc w:val="right"/>
              <w:rPr/>
            </w:pPr>
            <w:r>
              <w:rPr/>
              <w:t> </w:t>
            </w:r>
          </w:p>
        </w:tc>
        <w:tc>
          <w:tcPr>
            <w:tcW w:w="895" w:type="dxa"/>
            <w:tcBorders/>
            <w:shd w:fill="FFFFFF" w:val="clear"/>
            <w:vAlign w:val="center"/>
          </w:tcPr>
          <w:p>
            <w:pPr>
              <w:pStyle w:val="TableContents"/>
              <w:spacing w:before="0" w:after="283"/>
              <w:ind w:left="0" w:right="0" w:firstLine="400"/>
              <w:jc w:val="left"/>
              <w:rPr/>
            </w:pPr>
            <w:r>
              <w:rPr/>
              <w:t> </w:t>
            </w:r>
          </w:p>
        </w:tc>
      </w:tr>
      <w:tr>
        <w:trPr/>
        <w:tc>
          <w:tcPr>
            <w:tcW w:w="55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issuance of common stock, net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52"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9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52,656,588</w:t>
            </w:r>
          </w:p>
        </w:tc>
        <w:tc>
          <w:tcPr>
            <w:tcW w:w="895" w:type="dxa"/>
            <w:tcBorders/>
            <w:shd w:fill="CCEEFF" w:val="clear"/>
            <w:vAlign w:val="center"/>
          </w:tcPr>
          <w:p>
            <w:pPr>
              <w:pStyle w:val="TableContents"/>
              <w:spacing w:before="0" w:after="283"/>
              <w:ind w:left="0" w:right="0" w:firstLine="600"/>
              <w:jc w:val="left"/>
              <w:rPr>
                <w:caps w:val="false"/>
                <w:smallCaps w:val="false"/>
              </w:rPr>
            </w:pPr>
            <w:r>
              <w:rPr>
                <w:caps w:val="false"/>
                <w:smallCaps w:val="false"/>
              </w:rPr>
              <w:t> </w:t>
            </w:r>
          </w:p>
        </w:tc>
      </w:tr>
      <w:tr>
        <w:trPr/>
        <w:tc>
          <w:tcPr>
            <w:tcW w:w="558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52"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9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52,656,588</w:t>
            </w:r>
          </w:p>
        </w:tc>
        <w:tc>
          <w:tcPr>
            <w:tcW w:w="8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55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(decrease) increase in cash, cash equivlants and restricted cash</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5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(14,678,250</w:t>
            </w:r>
          </w:p>
        </w:tc>
        <w:tc>
          <w:tcPr>
            <w:tcW w:w="8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9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43,155,193</w:t>
            </w:r>
          </w:p>
        </w:tc>
        <w:tc>
          <w:tcPr>
            <w:tcW w:w="8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55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0" w:type="dxa"/>
            <w:tcBorders/>
            <w:shd w:fill="FFFFFF" w:val="clear"/>
            <w:vAlign w:val="center"/>
          </w:tcPr>
          <w:p>
            <w:pPr>
              <w:pStyle w:val="TableContents"/>
              <w:spacing w:before="0" w:after="283"/>
              <w:jc w:val="left"/>
              <w:rPr/>
            </w:pPr>
            <w:r>
              <w:rPr/>
              <w:t> </w:t>
            </w:r>
          </w:p>
        </w:tc>
        <w:tc>
          <w:tcPr>
            <w:tcW w:w="1052" w:type="dxa"/>
            <w:tcBorders/>
            <w:shd w:fill="FFFFFF" w:val="clear"/>
            <w:vAlign w:val="center"/>
          </w:tcPr>
          <w:p>
            <w:pPr>
              <w:pStyle w:val="TableContents"/>
              <w:spacing w:before="0" w:after="283"/>
              <w:jc w:val="right"/>
              <w:rPr/>
            </w:pPr>
            <w:r>
              <w:rPr/>
              <w:t> </w:t>
            </w:r>
          </w:p>
        </w:tc>
        <w:tc>
          <w:tcPr>
            <w:tcW w:w="83"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30" w:type="dxa"/>
            <w:tcBorders/>
            <w:shd w:fill="FFFFFF" w:val="clear"/>
            <w:vAlign w:val="center"/>
          </w:tcPr>
          <w:p>
            <w:pPr>
              <w:pStyle w:val="TableContents"/>
              <w:spacing w:before="0" w:after="283"/>
              <w:jc w:val="left"/>
              <w:rPr/>
            </w:pPr>
            <w:r>
              <w:rPr/>
              <w:t> </w:t>
            </w:r>
          </w:p>
        </w:tc>
        <w:tc>
          <w:tcPr>
            <w:tcW w:w="990" w:type="dxa"/>
            <w:tcBorders/>
            <w:shd w:fill="FFFFFF" w:val="clear"/>
            <w:vAlign w:val="center"/>
          </w:tcPr>
          <w:p>
            <w:pPr>
              <w:pStyle w:val="TableContents"/>
              <w:spacing w:before="0" w:after="283"/>
              <w:jc w:val="right"/>
              <w:rPr/>
            </w:pPr>
            <w:r>
              <w:rPr/>
              <w:t> </w:t>
            </w:r>
          </w:p>
        </w:tc>
        <w:tc>
          <w:tcPr>
            <w:tcW w:w="895" w:type="dxa"/>
            <w:tcBorders/>
            <w:shd w:fill="FFFFFF" w:val="clear"/>
            <w:vAlign w:val="center"/>
          </w:tcPr>
          <w:p>
            <w:pPr>
              <w:pStyle w:val="TableContents"/>
              <w:spacing w:before="0" w:after="283"/>
              <w:jc w:val="left"/>
              <w:rPr/>
            </w:pPr>
            <w:r>
              <w:rPr/>
              <w:t> </w:t>
            </w:r>
          </w:p>
        </w:tc>
      </w:tr>
      <w:tr>
        <w:trPr/>
        <w:tc>
          <w:tcPr>
            <w:tcW w:w="55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at beginning of the period</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52"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43,497,331</w:t>
            </w:r>
          </w:p>
        </w:tc>
        <w:tc>
          <w:tcPr>
            <w:tcW w:w="8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spacing w:before="0" w:after="283"/>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9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21,352,382</w:t>
            </w:r>
          </w:p>
        </w:tc>
        <w:tc>
          <w:tcPr>
            <w:tcW w:w="8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5585"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cash equivalents and restricted cash at end of the period</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2"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28,819,081</w:t>
            </w:r>
          </w:p>
        </w:tc>
        <w:tc>
          <w:tcPr>
            <w:tcW w:w="8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spacing w:before="0" w:after="283"/>
              <w:rPr>
                <w:caps w:val="false"/>
                <w:smallCaps w:val="false"/>
              </w:rPr>
            </w:pPr>
            <w:r>
              <w:rPr>
                <w:caps w:val="false"/>
                <w:smallCaps w:val="false"/>
              </w:rPr>
              <w:t> </w:t>
            </w:r>
          </w:p>
        </w:tc>
        <w:tc>
          <w:tcPr>
            <w:tcW w:w="130"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64,507,575</w:t>
            </w:r>
          </w:p>
        </w:tc>
        <w:tc>
          <w:tcPr>
            <w:tcW w:w="895"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Investors and Media Contacts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Marker Therapeutics: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Neda Safarzadeh</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President/Head of Investor Relations, PR &amp; Marketing</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 400-6451</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Investor.Relations@markertherapeutics.com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Solebury Trout: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Amy Bonanno</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Abonanno@soleburytrout.com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right"/>
        <w:rPr>
          <w:sz w:val="20"/>
          <w:bdr w:val="single" w:sz="8" w:space="1" w:color="000000"/>
        </w:rPr>
      </w:pPr>
      <w:r>
        <w:rPr>
          <w:sz w:val="20"/>
          <w:bdr w:val="single" w:sz="8" w:space="1" w:color="000000"/>
        </w:rPr>
        <w:t>6</w:t>
      </w:r>
    </w:p>
    <w:p>
      <w:pPr>
        <w:pStyle w:val="TextBody"/>
        <w:spacing w:before="0" w:after="0"/>
        <w:ind w:left="0" w:right="0" w:hanging="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2189</Words>
  <CharactersWithSpaces>15067</CharactersWithSpaces>
  <Paragraphs>934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