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2"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SCHEDULE 13D</w:t>
      </w:r>
    </w:p>
    <w:p>
      <w:pPr>
        <w:spacing w:after="0" w:line="131"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7)*</w:t>
      </w:r>
    </w:p>
    <w:p>
      <w:pPr>
        <w:spacing w:after="0" w:line="144"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COMMON,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876033408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August 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85" w:lineRule="exact"/>
        <w:rPr>
          <w:sz w:val="24"/>
          <w:szCs w:val="24"/>
          <w:color w:val="auto"/>
        </w:rPr>
      </w:pPr>
    </w:p>
    <w:p>
      <w:pPr>
        <w:ind w:right="240"/>
        <w:spacing w:after="0" w:line="21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40"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34" w:lineRule="exact"/>
        <w:rPr>
          <w:sz w:val="24"/>
          <w:szCs w:val="24"/>
          <w:color w:val="auto"/>
        </w:rPr>
      </w:pPr>
    </w:p>
    <w:p>
      <w:pPr>
        <w:ind w:right="640" w:firstLine="8"/>
        <w:spacing w:after="0" w:line="180" w:lineRule="auto"/>
        <w:tabs>
          <w:tab w:leader="none" w:pos="108"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1" w:lineRule="exact"/>
        <w:rPr>
          <w:sz w:val="24"/>
          <w:szCs w:val="24"/>
          <w:color w:val="auto"/>
        </w:rPr>
      </w:pPr>
    </w:p>
    <w:p>
      <w:pPr>
        <w:spacing w:after="0" w:line="22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25" w:right="319" w:bottom="1440" w:gutter="0" w:footer="0" w:header="0"/>
        </w:sectPr>
      </w:pPr>
    </w:p>
    <w:bookmarkStart w:id="1" w:name="page2"/>
    <w:bookmarkEnd w:id="1"/>
    <w:p>
      <w:pPr>
        <w:spacing w:after="0"/>
        <w:tabs>
          <w:tab w:leader="none" w:pos="7320" w:val="left"/>
          <w:tab w:leader="none" w:pos="992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3240" w:right="840" w:hanging="708"/>
        <w:spacing w:after="0" w:line="235" w:lineRule="auto"/>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31" w:lineRule="exact"/>
        <w:rPr>
          <w:rFonts w:ascii="Arial" w:cs="Arial" w:eastAsia="Arial" w:hAnsi="Arial"/>
          <w:sz w:val="18"/>
          <w:szCs w:val="18"/>
          <w:color w:val="auto"/>
        </w:rPr>
      </w:pPr>
    </w:p>
    <w:p>
      <w:pPr>
        <w:ind w:left="3240" w:right="3000" w:hanging="708"/>
        <w:spacing w:after="0" w:line="219" w:lineRule="auto"/>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660" w:hanging="424"/>
        <w:spacing w:after="0" w:line="189" w:lineRule="exact"/>
        <w:tabs>
          <w:tab w:leader="none" w:pos="3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660" w:hanging="424"/>
        <w:spacing w:after="0" w:line="202" w:lineRule="exact"/>
        <w:tabs>
          <w:tab w:leader="none" w:pos="3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240" w:hanging="708"/>
        <w:spacing w:after="0"/>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240" w:hanging="708"/>
        <w:spacing w:after="0"/>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3240" w:right="220" w:hanging="708"/>
        <w:spacing w:after="0" w:line="232" w:lineRule="auto"/>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2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240" w:hanging="708"/>
        <w:spacing w:after="0"/>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520" w:right="4960" w:hanging="232"/>
        <w:spacing w:after="0" w:line="336" w:lineRule="auto"/>
        <w:tabs>
          <w:tab w:leader="none" w:pos="452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520" w:hanging="232"/>
        <w:spacing w:after="0"/>
        <w:tabs>
          <w:tab w:leader="none" w:pos="4520" w:val="left"/>
        </w:tabs>
        <w:numPr>
          <w:ilvl w:val="2"/>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-130175</wp:posOffset>
            </wp:positionV>
            <wp:extent cx="46824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020" w:type="dxa"/>
            <w:vAlign w:val="bottom"/>
          </w:tcPr>
          <w:p>
            <w:pPr>
              <w:jc w:val="center"/>
              <w:ind w:right="10"/>
              <w:spacing w:after="0"/>
              <w:rPr>
                <w:sz w:val="20"/>
                <w:szCs w:val="20"/>
                <w:color w:val="auto"/>
              </w:rPr>
            </w:pPr>
            <w:r>
              <w:rPr>
                <w:rFonts w:ascii="Arial" w:cs="Arial" w:eastAsia="Arial" w:hAnsi="Arial"/>
                <w:sz w:val="18"/>
                <w:szCs w:val="18"/>
                <w:color w:val="auto"/>
                <w:w w:val="99"/>
              </w:rPr>
              <w:t>NUMBER OF SHARES BENEFICIALLY OWNED</w:t>
            </w:r>
          </w:p>
        </w:tc>
        <w:tc>
          <w:tcPr>
            <w:tcW w:w="7380" w:type="dxa"/>
            <w:vAlign w:val="bottom"/>
            <w:tcBorders>
              <w:bottom w:val="single" w:sz="8" w:color="auto"/>
            </w:tcBorders>
          </w:tcPr>
          <w:p>
            <w:pPr>
              <w:jc w:val="right"/>
              <w:ind w:right="5950"/>
              <w:spacing w:after="0"/>
              <w:rPr>
                <w:sz w:val="20"/>
                <w:szCs w:val="20"/>
                <w:color w:val="auto"/>
              </w:rPr>
            </w:pPr>
            <w:r>
              <w:rPr>
                <w:rFonts w:ascii="Arial" w:cs="Arial" w:eastAsia="Arial" w:hAnsi="Arial"/>
                <w:sz w:val="18"/>
                <w:szCs w:val="18"/>
                <w:b w:val="1"/>
                <w:bCs w:val="1"/>
                <w:color w:val="auto"/>
              </w:rPr>
              <w:t>4,000,002*</w:t>
            </w:r>
          </w:p>
        </w:tc>
      </w:tr>
      <w:tr>
        <w:trPr>
          <w:trHeight w:val="217"/>
        </w:trPr>
        <w:tc>
          <w:tcPr>
            <w:tcW w:w="4020" w:type="dxa"/>
            <w:vAlign w:val="bottom"/>
          </w:tcPr>
          <w:p>
            <w:pPr>
              <w:jc w:val="center"/>
              <w:spacing w:after="0" w:line="189" w:lineRule="exact"/>
              <w:rPr>
                <w:sz w:val="20"/>
                <w:szCs w:val="20"/>
                <w:color w:val="auto"/>
              </w:rPr>
            </w:pPr>
            <w:r>
              <w:rPr>
                <w:rFonts w:ascii="Arial" w:cs="Arial" w:eastAsia="Arial" w:hAnsi="Arial"/>
                <w:sz w:val="18"/>
                <w:szCs w:val="18"/>
                <w:color w:val="auto"/>
                <w:w w:val="99"/>
              </w:rPr>
              <w:t>BY EACH REPORTING PERSON WITH</w:t>
            </w:r>
          </w:p>
        </w:tc>
        <w:tc>
          <w:tcPr>
            <w:tcW w:w="7380" w:type="dxa"/>
            <w:vAlign w:val="bottom"/>
          </w:tcPr>
          <w:p>
            <w:pPr>
              <w:jc w:val="right"/>
              <w:ind w:right="4430"/>
              <w:spacing w:after="0"/>
              <w:rPr>
                <w:sz w:val="20"/>
                <w:szCs w:val="20"/>
                <w:color w:val="auto"/>
              </w:rPr>
            </w:pPr>
            <w:r>
              <w:rPr>
                <w:rFonts w:ascii="Arial" w:cs="Arial" w:eastAsia="Arial" w:hAnsi="Arial"/>
                <w:sz w:val="18"/>
                <w:szCs w:val="18"/>
                <w:color w:val="auto"/>
              </w:rPr>
              <w:t>9. SOLE DISPOSITIVE POWER</w:t>
            </w:r>
          </w:p>
        </w:tc>
      </w:tr>
    </w:tbl>
    <w:p>
      <w:pPr>
        <w:spacing w:after="0" w:line="1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-0-</w:t>
      </w:r>
    </w:p>
    <w:p>
      <w:pPr>
        <w:ind w:left="4520" w:hanging="332"/>
        <w:spacing w:after="0"/>
        <w:tabs>
          <w:tab w:leader="none" w:pos="45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520"/>
        <w:spacing w:after="0"/>
        <w:rPr>
          <w:rFonts w:ascii="Arial" w:cs="Arial" w:eastAsia="Arial" w:hAnsi="Arial"/>
          <w:sz w:val="18"/>
          <w:szCs w:val="18"/>
          <w:color w:val="auto"/>
        </w:rPr>
      </w:pPr>
      <w:r>
        <w:rPr>
          <w:rFonts w:ascii="Arial" w:cs="Arial" w:eastAsia="Arial" w:hAnsi="Arial"/>
          <w:sz w:val="18"/>
          <w:szCs w:val="18"/>
          <w:b w:val="1"/>
          <w:bCs w:val="1"/>
          <w:color w:val="auto"/>
        </w:rPr>
        <w:t>4,000,002*</w:t>
      </w:r>
    </w:p>
    <w:p>
      <w:pPr>
        <w:spacing w:after="0" w:line="220" w:lineRule="exact"/>
        <w:rPr>
          <w:rFonts w:ascii="Arial" w:cs="Arial" w:eastAsia="Arial" w:hAnsi="Arial"/>
          <w:sz w:val="18"/>
          <w:szCs w:val="18"/>
          <w:color w:val="auto"/>
        </w:rPr>
      </w:pPr>
    </w:p>
    <w:p>
      <w:pPr>
        <w:ind w:left="3240" w:hanging="808"/>
        <w:spacing w:after="0"/>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4,000,002*</w:t>
      </w:r>
    </w:p>
    <w:p>
      <w:pPr>
        <w:spacing w:after="0" w:line="17" w:lineRule="exact"/>
        <w:rPr>
          <w:rFonts w:ascii="Arial" w:cs="Arial" w:eastAsia="Arial" w:hAnsi="Arial"/>
          <w:sz w:val="18"/>
          <w:szCs w:val="18"/>
          <w:color w:val="auto"/>
        </w:rPr>
      </w:pPr>
    </w:p>
    <w:p>
      <w:pPr>
        <w:ind w:left="3240" w:right="780" w:hanging="808"/>
        <w:spacing w:after="0" w:line="213" w:lineRule="exact"/>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240" w:hanging="808"/>
        <w:spacing w:after="0"/>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33.8%</w:t>
      </w:r>
    </w:p>
    <w:p>
      <w:pPr>
        <w:spacing w:after="0" w:line="17" w:lineRule="exact"/>
        <w:rPr>
          <w:rFonts w:ascii="Arial" w:cs="Arial" w:eastAsia="Arial" w:hAnsi="Arial"/>
          <w:sz w:val="18"/>
          <w:szCs w:val="18"/>
          <w:color w:val="auto"/>
        </w:rPr>
      </w:pPr>
    </w:p>
    <w:p>
      <w:pPr>
        <w:ind w:left="3240" w:hanging="808"/>
        <w:spacing w:after="0"/>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14" w:lineRule="exact"/>
        <w:rPr>
          <w:rFonts w:ascii="Arial" w:cs="Arial" w:eastAsia="Arial" w:hAnsi="Arial"/>
          <w:sz w:val="18"/>
          <w:szCs w:val="18"/>
          <w:color w:val="auto"/>
        </w:rPr>
      </w:pPr>
    </w:p>
    <w:p>
      <w:pPr>
        <w:ind w:right="80"/>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5(a) and 5(b), Eastern Capital Limited beneficially owns 2,333,334 shares of Common Stock and 1,666,668 shares of Common Stock issuable upon exercise of the Series A-1 Warrant,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-2793365</wp:posOffset>
            </wp:positionV>
            <wp:extent cx="46824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82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-2424430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-1927225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spacing w:after="0"/>
        <w:tabs>
          <w:tab w:leader="none" w:pos="7300" w:val="left"/>
          <w:tab w:leader="none" w:pos="992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3160" w:right="900" w:hanging="682"/>
        <w:spacing w:after="0" w:line="235"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760" w:type="dxa"/>
            <w:vAlign w:val="bottom"/>
          </w:tcPr>
          <w:p>
            <w:pPr>
              <w:jc w:val="center"/>
              <w:ind w:right="230"/>
              <w:spacing w:after="0"/>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950"/>
              <w:spacing w:after="0"/>
              <w:rPr>
                <w:sz w:val="20"/>
                <w:szCs w:val="20"/>
                <w:color w:val="auto"/>
              </w:rPr>
            </w:pPr>
            <w:r>
              <w:rPr>
                <w:rFonts w:ascii="Arial" w:cs="Arial" w:eastAsia="Arial" w:hAnsi="Arial"/>
                <w:sz w:val="18"/>
                <w:szCs w:val="18"/>
                <w:b w:val="1"/>
                <w:bCs w:val="1"/>
                <w:color w:val="auto"/>
              </w:rPr>
              <w:t>4,000,002*</w:t>
            </w:r>
          </w:p>
        </w:tc>
        <w:tc>
          <w:tcPr>
            <w:tcW w:w="0" w:type="dxa"/>
            <w:vAlign w:val="bottom"/>
          </w:tcPr>
          <w:p>
            <w:pPr>
              <w:spacing w:after="0"/>
              <w:rPr>
                <w:sz w:val="1"/>
                <w:szCs w:val="1"/>
                <w:color w:val="auto"/>
              </w:rPr>
            </w:pPr>
          </w:p>
        </w:tc>
      </w:tr>
      <w:tr>
        <w:trPr>
          <w:trHeight w:val="114"/>
        </w:trPr>
        <w:tc>
          <w:tcPr>
            <w:tcW w:w="3760" w:type="dxa"/>
            <w:vAlign w:val="bottom"/>
            <w:vMerge w:val="restart"/>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760" w:type="dxa"/>
            <w:vAlign w:val="bottom"/>
            <w:vMerge w:val="continue"/>
          </w:tcPr>
          <w:p>
            <w:pPr>
              <w:spacing w:after="0"/>
              <w:rPr>
                <w:sz w:val="5"/>
                <w:szCs w:val="5"/>
                <w:color w:val="auto"/>
              </w:rPr>
            </w:pPr>
          </w:p>
        </w:tc>
        <w:tc>
          <w:tcPr>
            <w:tcW w:w="7420" w:type="dxa"/>
            <w:vAlign w:val="bottom"/>
            <w:vMerge w:val="restart"/>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50"/>
        </w:trPr>
        <w:tc>
          <w:tcPr>
            <w:tcW w:w="37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vMerge w:val="continue"/>
          </w:tcPr>
          <w:p>
            <w:pPr>
              <w:spacing w:after="0"/>
              <w:rPr>
                <w:sz w:val="5"/>
                <w:szCs w:val="5"/>
                <w:color w:val="auto"/>
              </w:rPr>
            </w:pPr>
          </w:p>
        </w:tc>
        <w:tc>
          <w:tcPr>
            <w:tcW w:w="7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tabs>
          <w:tab w:leader="none" w:pos="44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4,000,002*</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4,000,002*</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33.8%</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14" w:lineRule="exact"/>
        <w:rPr>
          <w:rFonts w:ascii="Arial" w:cs="Arial" w:eastAsia="Arial" w:hAnsi="Arial"/>
          <w:sz w:val="18"/>
          <w:szCs w:val="18"/>
          <w:color w:val="auto"/>
        </w:rPr>
      </w:pPr>
    </w:p>
    <w:p>
      <w:pPr>
        <w:ind w:right="80"/>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5(a) and 5(b), Portfolio Services Ltd. beneficially owns 2,333,334 shares of Common Stock and 1,666,668 shares of Common Stock issuable upon exercise of the Series A-1 Warrant,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-2793365</wp:posOffset>
            </wp:positionV>
            <wp:extent cx="4716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-2424430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-1927225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 w:name="page4"/>
    <w:bookmarkEnd w:id="3"/>
    <w:p>
      <w:pPr>
        <w:spacing w:after="0"/>
        <w:tabs>
          <w:tab w:leader="none" w:pos="7300" w:val="left"/>
          <w:tab w:leader="none" w:pos="992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3160" w:right="900" w:hanging="682"/>
        <w:spacing w:after="0" w:line="235"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line="219"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-2983230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-1997075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-984885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-118745</wp:posOffset>
            </wp:positionV>
            <wp:extent cx="47167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89"/>
        </w:trPr>
        <w:tc>
          <w:tcPr>
            <w:tcW w:w="376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950"/>
              <w:spacing w:after="0"/>
              <w:rPr>
                <w:sz w:val="20"/>
                <w:szCs w:val="20"/>
                <w:color w:val="auto"/>
              </w:rPr>
            </w:pPr>
            <w:r>
              <w:rPr>
                <w:rFonts w:ascii="Arial" w:cs="Arial" w:eastAsia="Arial" w:hAnsi="Arial"/>
                <w:sz w:val="18"/>
                <w:szCs w:val="18"/>
                <w:b w:val="1"/>
                <w:bCs w:val="1"/>
                <w:color w:val="auto"/>
              </w:rPr>
              <w:t>4,000,002*</w:t>
            </w:r>
          </w:p>
        </w:tc>
        <w:tc>
          <w:tcPr>
            <w:tcW w:w="0" w:type="dxa"/>
            <w:vAlign w:val="bottom"/>
          </w:tcPr>
          <w:p>
            <w:pPr>
              <w:spacing w:after="0"/>
              <w:rPr>
                <w:sz w:val="1"/>
                <w:szCs w:val="1"/>
                <w:color w:val="auto"/>
              </w:rPr>
            </w:pPr>
          </w:p>
        </w:tc>
      </w:tr>
      <w:tr>
        <w:trPr>
          <w:trHeight w:val="202"/>
        </w:trPr>
        <w:tc>
          <w:tcPr>
            <w:tcW w:w="376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60" w:type="dxa"/>
            <w:vAlign w:val="bottom"/>
          </w:tcPr>
          <w:p>
            <w:pPr>
              <w:jc w:val="center"/>
              <w:ind w:right="250"/>
              <w:spacing w:after="0" w:line="189" w:lineRule="exact"/>
              <w:rPr>
                <w:sz w:val="20"/>
                <w:szCs w:val="20"/>
                <w:color w:val="auto"/>
              </w:rPr>
            </w:pPr>
            <w:r>
              <w:rPr>
                <w:rFonts w:ascii="Arial" w:cs="Arial" w:eastAsia="Arial" w:hAnsi="Arial"/>
                <w:sz w:val="18"/>
                <w:szCs w:val="18"/>
                <w:color w:val="auto"/>
                <w:w w:val="99"/>
              </w:rPr>
              <w:t>WITH</w:t>
            </w:r>
          </w:p>
        </w:tc>
        <w:tc>
          <w:tcPr>
            <w:tcW w:w="7420" w:type="dxa"/>
            <w:vAlign w:val="bottom"/>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line="219" w:lineRule="auto"/>
        <w:tabs>
          <w:tab w:leader="none" w:pos="4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ind w:left="4520"/>
        <w:spacing w:after="0"/>
        <w:rPr>
          <w:rFonts w:ascii="Arial" w:cs="Arial" w:eastAsia="Arial" w:hAnsi="Arial"/>
          <w:sz w:val="18"/>
          <w:szCs w:val="18"/>
          <w:color w:val="auto"/>
        </w:rPr>
      </w:pPr>
      <w:r>
        <w:rPr>
          <w:rFonts w:ascii="Arial" w:cs="Arial" w:eastAsia="Arial" w:hAnsi="Arial"/>
          <w:sz w:val="18"/>
          <w:szCs w:val="18"/>
          <w:b w:val="1"/>
          <w:bCs w:val="1"/>
          <w:color w:val="auto"/>
        </w:rPr>
        <w:t>4,000,002*</w:t>
      </w:r>
    </w:p>
    <w:p>
      <w:pPr>
        <w:spacing w:after="0" w:line="198" w:lineRule="exact"/>
        <w:rPr>
          <w:rFonts w:ascii="Arial" w:cs="Arial" w:eastAsia="Arial" w:hAnsi="Arial"/>
          <w:sz w:val="18"/>
          <w:szCs w:val="18"/>
          <w:color w:val="auto"/>
        </w:rPr>
      </w:pPr>
    </w:p>
    <w:p>
      <w:pPr>
        <w:ind w:left="3160" w:hanging="782"/>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-507365</wp:posOffset>
            </wp:positionV>
            <wp:extent cx="4716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4,000,002*</w:t>
      </w:r>
    </w:p>
    <w:p>
      <w:pPr>
        <w:spacing w:after="0" w:line="18" w:lineRule="exact"/>
        <w:rPr>
          <w:sz w:val="20"/>
          <w:szCs w:val="20"/>
          <w:color w:val="auto"/>
        </w:rPr>
      </w:pPr>
    </w:p>
    <w:p>
      <w:pPr>
        <w:ind w:left="3160" w:right="840" w:hanging="782"/>
        <w:spacing w:after="0" w:line="213" w:lineRule="exact"/>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33.8%</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*As of the filing date and as described in Items 4, 5(a) and 5(b), Kenneth B. Dart beneficially owns 2,333,334 shares of Common Stock and 1,666,668 shares of Common Stock issuable upon exercise of the Series A-1 Warrant,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ectPr>
          <w:pgSz w:w="11900" w:h="16838" w:orient="portrait"/>
          <w:cols w:equalWidth="0" w:num="1">
            <w:col w:w="11420"/>
          </w:cols>
          <w:pgMar w:left="240" w:top="908" w:right="239" w:bottom="1440" w:gutter="0" w:footer="0" w:header="0"/>
        </w:sectPr>
      </w:pPr>
    </w:p>
    <w:bookmarkStart w:id="4" w:name="page5"/>
    <w:bookmarkEnd w:id="4"/>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Amendment No. 7 to Schedule 13D (the “Schedule 13D”) relates to the common stock (“Common Stock”) of TapImmune Inc. (the “Issuer”), whose principal executive offices are located at 50 N. Laura Street, Suite 2500, Jacksonville, FL 98102, United States.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7 to Schedule 13D (the “Schedule 13D”) is being filed by Eastern Capital Limited, Portfolio Services Ltd. and Kenneth B.</w:t>
      </w:r>
    </w:p>
    <w:p>
      <w:pPr>
        <w:spacing w:after="0"/>
        <w:rPr>
          <w:sz w:val="20"/>
          <w:szCs w:val="20"/>
          <w:color w:val="auto"/>
        </w:rPr>
      </w:pPr>
      <w:r>
        <w:rPr>
          <w:rFonts w:ascii="Arial" w:cs="Arial" w:eastAsia="Arial" w:hAnsi="Arial"/>
          <w:sz w:val="18"/>
          <w:szCs w:val="18"/>
          <w:color w:val="auto"/>
        </w:rPr>
        <w:t>Dart (collectively, the “Reporting Persons”).</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10 Market Street #773, Camana Bay, Grand Cayman, KY1-9006, Cayman Islands, a Cayman Islands corporation, is an investment entity that owns the shares of the Issuer’s Common Stock and Warrants to purchase Common Stock reported in this Schedule 13D. Kenneth B. Dart, Mark R. VanDevelde, Alasdair J. Foster and Sharon M. Cornwell are directors of Eastern Capital Limited.</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10 Market Street #773, Camana Bay, Grand Cayman, KY1-9006, Cayman Islands, a Cayman Islands corporation, is a holding company which owns all of the outstanding stock of Eastern Capital Limited. Kenneth B. Dart and Mark R. VanDevelde are directors of Portfolio Services Ltd.</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Kenneth B. Dart, P. O. Box 31300 SMB, Grand Cayman, KY1 -1206, Cayman Islands, a British Overseas Territory Citizen / Cayman Islands and businessman, is the beneficial owner of all of the outstanding stock of Portfolio Services Ltd.</w:t>
      </w:r>
    </w:p>
    <w:p>
      <w:pPr>
        <w:spacing w:after="0" w:line="10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Mark R. VanDevelde, 10 Market Street #771, Camana Bay, Grand Cayman, KY1-9006, Cayman Islands, a British Overseas Territory Citizen / Cayman Islands, is the Chief Executive Officer of Dart Enterprises Ltd., Grand Cayman, Cayman Islands.</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Alasdair J. Foster, 10 Market Street #251, Camana Bay, Grand Cayman, KY1-9006, Cayman Islands, British Citizen, is President –.Active Investments of Dart Enterprises Ltd., Grand Cayman, Cayman Islands.</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Sharon M. Cornwell, 10 Market Street #773, Camana Bay, Grand Cayman, KY1-9006, Cayman Islands, United States Citizen, is an Executive Vice President of Dart Management Services Ltd., Grand Cayman, Cayman Islands.</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last five years, none of the persons listed above have been convicted in a criminal proceeding (excluding traffic violations or similar misdemeanors).</w:t>
      </w:r>
    </w:p>
    <w:p>
      <w:pPr>
        <w:spacing w:after="0" w:line="13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the last five years, none of the persons listed above was a party to a civil proceeding of a judicial or administrative body of competent jurisdiction.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or Amount of Funds or Other Consideration.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source of funds used to acquire the shares of the Issuer’s common stock and warrants was the working capital of Eastern Capital Limited.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acquired the Issuer’s securities for investment purposes.</w:t>
      </w:r>
    </w:p>
    <w:p>
      <w:pPr>
        <w:spacing w:after="0" w:line="1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Reporting Persons currently have no plans or proposals which relate to or would result in any transaction, event or action enumerated in paragraphs (a) through (j) of Item 4 of Schedule 13D.</w:t>
      </w:r>
    </w:p>
    <w:p>
      <w:pPr>
        <w:sectPr>
          <w:pgSz w:w="11900" w:h="16838" w:orient="portrait"/>
          <w:cols w:equalWidth="0" w:num="1">
            <w:col w:w="11420"/>
          </w:cols>
          <w:pgMar w:left="240" w:top="895" w:right="239" w:bottom="1440" w:gutter="0" w:footer="0" w:header="0"/>
        </w:sectPr>
      </w:pPr>
    </w:p>
    <w:bookmarkStart w:id="5" w:name="page6"/>
    <w:bookmarkEnd w:id="5"/>
    <w:p>
      <w:pPr>
        <w:spacing w:after="0"/>
        <w:tabs>
          <w:tab w:leader="none" w:pos="5960" w:val="left"/>
          <w:tab w:leader="none" w:pos="992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 5(a)–(b)</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beneficially owns 4,000,002 shares of the Issuer’s Common Stock, representing 33.8% of the Issuer’s outstanding Common Stock. Eastern Capital Limited has shared voting and dispositive power of the shares it beneficially owns with its parent, Portfolio Services Ltd. and Kenneth B. Dart.</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of the outstanding shares of Eastern Capital Limited, indirectly beneficially owns 4,000,002 shares of the Issuer’s Common Stock, representing 33.8% of the Issuer’s outstanding Common Stock. Portfolio Services Ltd. has shared voting and dispositive power of the shares it beneficially owns.</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4,000,002 shares of the Issuer’s Common Stock, representing 33.8% of the Issuer’s outstanding Common Stock. Kenneth B. Dart has shared voting and dispositive power of the shares he beneficially owns.</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percentage ownership noted in this Schedule 13D/A is based on 10,158,993 shares of Common Stock as reported in the Issuer’s Form 10-Q filed with the U.S. Securities and Exchange Commission on August 8, 2017 plus 1,666,668 shares of Common Stock of the Series A-1, Series D-1, Series E-1 and the Series F-1 Warrant beneficially owned by the Reporting Persons.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Items 5(c)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have not effected any transactions in the Issuer’s common stock during the past sixty days.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Items 5(d) and 5(e) - Not applicable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conditions of the Warrant Amendment Agreement and each Series A-1 Warrant, Series D-1 Warrant, Series E-1 Warrant and</w:t>
      </w:r>
    </w:p>
    <w:p>
      <w:pPr>
        <w:spacing w:after="0"/>
        <w:rPr>
          <w:sz w:val="20"/>
          <w:szCs w:val="20"/>
          <w:color w:val="auto"/>
        </w:rPr>
      </w:pPr>
      <w:r>
        <w:rPr>
          <w:rFonts w:ascii="Arial" w:cs="Arial" w:eastAsia="Arial" w:hAnsi="Arial"/>
          <w:sz w:val="18"/>
          <w:szCs w:val="18"/>
          <w:color w:val="auto"/>
        </w:rPr>
        <w:t>Series F-1 Warrant respectively and subsequent Reverse Stock Split:</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A-1 Warrant, as amended, is exercisable at an initial exercise price of $1.20 per share, and will expire on the five year anniversary of the date of issuance.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D-1 Warrant, as amended is exercisable at an initial exercise price of $9.00 per share, and will expire on the five year anniversary of September 9, 2015.</w:t>
      </w:r>
    </w:p>
    <w:p>
      <w:pPr>
        <w:spacing w:after="0" w:line="8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Each Series E-1 Warrant, as amended is exercisable at an initial exercise price of $15.00 per share, and will expire on the five year anniversary of June 16, 2015.</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F-1 Warrant, is exercisable at an initial exercise price of $7.20 per share, and will expire on the five year anniversary of the date of issuance.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Copies of the form of the respective warrants, as amended, are included as Exhibits 4.6 – 4.8 and Exhibit 4.10 to the Form 8-K filed by the Issuer with the U.S. Securities and Exchange Commission on August 11, 2016 and are incorporated by reference herein.</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copy of the Warrant Amendment Agreement is included as Exhibit 10.3 to the Form 8-K filed by the Issuer with the U.S. Securities and Exchange Commission on August 11, 2016 and is incorporated by reference herein.</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copy of the Certificate of Change filed Pursuant to NRS 78.209 reflecting the Reverse Stock Split is included as Exhibit 3.1 to the Form 8-K filed by the Issuer with the U.S. Securities and Exchange Commission on September 15, 2016 and are incorporated by reference herein.</w:t>
      </w:r>
    </w:p>
    <w:p>
      <w:pPr>
        <w:sectPr>
          <w:pgSz w:w="11900" w:h="16838" w:orient="portrait"/>
          <w:cols w:equalWidth="0" w:num="1">
            <w:col w:w="11420"/>
          </w:cols>
          <w:pgMar w:left="240" w:top="827" w:right="239" w:bottom="1440" w:gutter="0" w:footer="0" w:header="0"/>
        </w:sectPr>
      </w:pPr>
    </w:p>
    <w:bookmarkStart w:id="6" w:name="page7"/>
    <w:bookmarkEnd w:id="6"/>
    <w:p>
      <w:pPr>
        <w:ind w:left="60"/>
        <w:spacing w:after="0"/>
        <w:tabs>
          <w:tab w:leader="none" w:pos="6180" w:val="left"/>
          <w:tab w:leader="none" w:pos="992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Item 7. Material to Be Filed as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Exhibit 2.1 Form of Amended Series A-1 Warrant to Purchase Common Stock (Incorporated herein by reference to Exhibit 4.6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2.2 Form of Amended Series D-1 Warrant to Purchase Common Stock (Incorporated herein by reference to Exhibit 4.7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2.3 Form of Amended Series E-1 Warrant to Purchase Common Stock (Incorporated herein by reference to Exhibit 4.8 to the Issuer’s Form 8-K filed with the U.S. Securities and Exchange Commission on August 11, 2016)</w:t>
      </w:r>
    </w:p>
    <w:p>
      <w:pPr>
        <w:spacing w:after="0" w:line="8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Exhibit 2.4 Form of Series F-1 Warrant to Purchase Common Stock (Incorporated herein by reference to Exhibit 4.10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3 – Form of Warrant Amendment Agreement (Incorporated herein by reference to Exhibit 10.3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4 – Form of Certificate of Change filed Pursuant to NRS 78.209 (Incorporated herein by reference to Exhibit 3.1 to the Issuer’s Form 8-K filed with the U.S. Securities and Exchange Commission on September 15, 2016)</w:t>
      </w:r>
    </w:p>
    <w:p>
      <w:pPr>
        <w:sectPr>
          <w:pgSz w:w="11900" w:h="16838" w:orient="portrait"/>
          <w:cols w:equalWidth="0" w:num="1">
            <w:col w:w="11420"/>
          </w:cols>
          <w:pgMar w:left="240" w:top="1192" w:right="239" w:bottom="1440" w:gutter="0" w:footer="0" w:header="0"/>
        </w:sectPr>
      </w:pPr>
    </w:p>
    <w:bookmarkStart w:id="7" w:name="page8"/>
    <w:bookmarkEnd w:id="7"/>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08/25/2017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08/25/2017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08/25/2017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420"/>
          </w:cols>
          <w:pgMar w:left="240" w:top="1165" w:right="239" w:bottom="1440" w:gutter="0" w:footer="0" w:header="0"/>
        </w:sectPr>
      </w:pPr>
    </w:p>
    <w:bookmarkStart w:id="8" w:name="page9"/>
    <w:bookmarkEnd w:id="8"/>
    <w:p>
      <w:pPr>
        <w:spacing w:after="0"/>
        <w:tabs>
          <w:tab w:leader="none" w:pos="590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7"/>
          <w:szCs w:val="17"/>
          <w:b w:val="1"/>
          <w:bCs w:val="1"/>
          <w:color w:val="auto"/>
        </w:rPr>
        <w:t>EXHIBIT 1</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JOINT FILING AGREEMENT</w:t>
      </w:r>
    </w:p>
    <w:p>
      <w:pPr>
        <w:spacing w:after="0" w:line="180"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TapImmune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08/25/2017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08/25/2017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08/25/2017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360"/>
          </w:cols>
          <w:pgMar w:left="240" w:top="171" w:right="299" w:bottom="1440" w:gutter="0" w:footer="0" w:header="0"/>
        </w:sectPr>
      </w:pPr>
    </w:p>
    <w:bookmarkStart w:id="9" w:name="page10"/>
    <w:bookmarkEnd w:id="9"/>
    <w:p>
      <w:pPr>
        <w:spacing w:after="0"/>
        <w:tabs>
          <w:tab w:leader="none" w:pos="588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7"/>
          <w:szCs w:val="17"/>
          <w:b w:val="1"/>
          <w:bCs w:val="1"/>
          <w:color w:val="auto"/>
        </w:rPr>
        <w:t>Exhibit 2.1</w:t>
      </w:r>
    </w:p>
    <w:p>
      <w:pPr>
        <w:spacing w:after="0" w:line="3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Form of Amended Series A-1 Warrant to Purchase Common Stock (Incorporated herein by reference to Exhibit 4.6 to the Issuer’s Form 8-K filed with the U.S. Securities and Exchange Commission on August 11, 2016)</w:t>
      </w:r>
    </w:p>
    <w:p>
      <w:pPr>
        <w:sectPr>
          <w:pgSz w:w="11900" w:h="16838" w:orient="portrait"/>
          <w:cols w:equalWidth="0" w:num="1">
            <w:col w:w="11420"/>
          </w:cols>
          <w:pgMar w:left="240" w:top="171" w:right="239" w:bottom="1440" w:gutter="0" w:footer="0" w:header="0"/>
        </w:sectPr>
      </w:pPr>
    </w:p>
    <w:bookmarkStart w:id="10" w:name="page11"/>
    <w:bookmarkEnd w:id="10"/>
    <w:p>
      <w:pPr>
        <w:spacing w:after="0"/>
        <w:tabs>
          <w:tab w:leader="none" w:pos="590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7"/>
          <w:szCs w:val="17"/>
          <w:b w:val="1"/>
          <w:bCs w:val="1"/>
          <w:color w:val="auto"/>
        </w:rPr>
        <w:t>Exhibit 2.2</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Amended Series D-1 Warrant to Purchase Common Stock (Incorporated herein by reference to Exhibit 4.7 to the Issuer’s Form 8-K filed with the U.S. Securities and Exchange Commission on August 11, 2016)</w:t>
      </w:r>
    </w:p>
    <w:p>
      <w:pPr>
        <w:sectPr>
          <w:pgSz w:w="11900" w:h="16838" w:orient="portrait"/>
          <w:cols w:equalWidth="0" w:num="1">
            <w:col w:w="11100"/>
          </w:cols>
          <w:pgMar w:left="240" w:top="171" w:right="559" w:bottom="1440" w:gutter="0" w:footer="0" w:header="0"/>
        </w:sectPr>
      </w:pPr>
    </w:p>
    <w:bookmarkStart w:id="11" w:name="page12"/>
    <w:bookmarkEnd w:id="11"/>
    <w:p>
      <w:pPr>
        <w:spacing w:after="0"/>
        <w:tabs>
          <w:tab w:leader="none" w:pos="588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7"/>
          <w:szCs w:val="17"/>
          <w:b w:val="1"/>
          <w:bCs w:val="1"/>
          <w:color w:val="auto"/>
        </w:rPr>
        <w:t>Exhibit 2.3</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Amended Series E-1 Warrant to Purchase Common Stock (Incorporated herein by reference to Exhibit 4.8 to the Issuer’s Form 8-K filed with the U.S. Securities and Exchange Commission on August 11, 2016)</w:t>
      </w:r>
    </w:p>
    <w:p>
      <w:pPr>
        <w:sectPr>
          <w:pgSz w:w="11900" w:h="16838" w:orient="portrait"/>
          <w:cols w:equalWidth="0" w:num="1">
            <w:col w:w="11100"/>
          </w:cols>
          <w:pgMar w:left="240" w:top="171" w:right="559" w:bottom="1440" w:gutter="0" w:footer="0" w:header="0"/>
        </w:sectPr>
      </w:pPr>
    </w:p>
    <w:bookmarkStart w:id="12" w:name="page13"/>
    <w:bookmarkEnd w:id="12"/>
    <w:p>
      <w:pPr>
        <w:spacing w:after="0"/>
        <w:tabs>
          <w:tab w:leader="none" w:pos="588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7"/>
          <w:szCs w:val="17"/>
          <w:b w:val="1"/>
          <w:bCs w:val="1"/>
          <w:color w:val="auto"/>
        </w:rPr>
        <w:t>Exhibit 2.4</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Series F-1 Warrant to Purchase Common Stock (Incorporated herein by reference to Exhibit 4.10 to the Issuer’s Form 8-K filed with the U.S. Securities and Exchange Commission on August 11, 2016)</w:t>
      </w:r>
    </w:p>
    <w:p>
      <w:pPr>
        <w:sectPr>
          <w:pgSz w:w="11900" w:h="16838" w:orient="portrait"/>
          <w:cols w:equalWidth="0" w:num="1">
            <w:col w:w="11420"/>
          </w:cols>
          <w:pgMar w:left="240" w:top="171" w:right="239" w:bottom="1440" w:gutter="0" w:footer="0" w:header="0"/>
        </w:sectPr>
      </w:pPr>
    </w:p>
    <w:bookmarkStart w:id="13" w:name="page14"/>
    <w:bookmarkEnd w:id="13"/>
    <w:p>
      <w:pPr>
        <w:spacing w:after="0"/>
        <w:tabs>
          <w:tab w:leader="none" w:pos="596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8"/>
          <w:szCs w:val="18"/>
          <w:b w:val="1"/>
          <w:bCs w:val="1"/>
          <w:color w:val="auto"/>
        </w:rPr>
        <w:t>Exhibit 3</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Warrant Amendment Agreement (Incorporated herein by reference to Exhibit 10.3 to the Issuer’s Form 8-K filed with the U.S. Securities and Exchange Commission on August 11, 2016)</w:t>
      </w:r>
    </w:p>
    <w:p>
      <w:pPr>
        <w:sectPr>
          <w:pgSz w:w="11900" w:h="16838" w:orient="portrait"/>
          <w:cols w:equalWidth="0" w:num="1">
            <w:col w:w="10600"/>
          </w:cols>
          <w:pgMar w:left="240" w:top="171" w:right="1059" w:bottom="1440" w:gutter="0" w:footer="0" w:header="0"/>
        </w:sectPr>
      </w:pPr>
    </w:p>
    <w:bookmarkStart w:id="14" w:name="page15"/>
    <w:bookmarkEnd w:id="14"/>
    <w:p>
      <w:pPr>
        <w:spacing w:after="0"/>
        <w:tabs>
          <w:tab w:leader="none" w:pos="596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8"/>
          <w:szCs w:val="18"/>
          <w:b w:val="1"/>
          <w:bCs w:val="1"/>
          <w:color w:val="auto"/>
        </w:rPr>
        <w:t>Exhibit 4</w:t>
      </w:r>
    </w:p>
    <w:p>
      <w:pPr>
        <w:spacing w:after="0" w:line="180"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Certificate of Change filed Pursuant to NRS 78.209 (Incorporated herein by reference to Exhibit 3.1 to the Issuer’s Form 8-K filed with the U.S. Securities and Exchange Commission on September 15, 2016)</w:t>
      </w:r>
    </w:p>
    <w:sectPr>
      <w:pgSz w:w="11900" w:h="16838" w:orient="portrait"/>
      <w:cols w:equalWidth="0" w:num="1">
        <w:col w:w="11320"/>
      </w:cols>
      <w:pgMar w:left="240" w:top="1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41B71E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79E2A9E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7545E14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515F007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5BD062C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4DB127F8"/>
    <w:multiLevelType w:val="hybridMultilevel"/>
    <w:lvl w:ilvl="0">
      <w:lvlJc w:val="left"/>
      <w:lvlText w:val="%1"/>
      <w:numFmt w:val="decimal"/>
      <w:start w:val="1"/>
    </w:lvl>
    <w:lvl w:ilvl="1">
      <w:lvlJc w:val="left"/>
      <w:lvlText w:val="%2."/>
      <w:numFmt w:val="decimal"/>
      <w:start w:val="10"/>
    </w:lvl>
  </w:abstractNum>
  <w:abstractNum w:abstractNumId="9">
    <w:nsid w:val="216231B"/>
    <w:multiLevelType w:val="hybridMultilevel"/>
    <w:lvl w:ilvl="0">
      <w:lvlJc w:val="left"/>
      <w:lvlText w:val="%1."/>
      <w:numFmt w:val="decimal"/>
      <w:start w:val="11"/>
    </w:lvl>
    <w:lvl w:ilvl="1">
      <w:lvlJc w:val="left"/>
      <w:lvlText w:val="%2"/>
      <w:numFmt w:val="decimal"/>
      <w:start w:val="1"/>
    </w:lvl>
  </w:abstractNum>
  <w:abstractNum w:abstractNumId="10">
    <w:nsid w:val="1F16E9E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2020-01-18T05:08:24Z</dcterms:created>
  <dcterms:modified xsi:type="dcterms:W3CDTF">2020-01-18T05:08:24Z</dcterms:modified>
</cp:coreProperties>
</file>