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 for the quarterly period ended March 31, 2016</w:t>
      </w:r>
    </w:p>
    <w:p>
      <w:pPr>
        <w:spacing w:after="0" w:line="1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Under Section 13 or 15(d) of the Securities Exchange Act of 1934 for the transition period from</w:t>
      </w:r>
    </w:p>
    <w:p>
      <w:pPr>
        <w:spacing w:after="0" w:line="48" w:lineRule="exact"/>
        <w:rPr>
          <w:rFonts w:ascii="MS PGothic" w:cs="MS PGothic" w:eastAsia="MS PGothic" w:hAnsi="MS PGothic"/>
          <w:sz w:val="19"/>
          <w:szCs w:val="19"/>
          <w:color w:val="auto"/>
        </w:rPr>
      </w:pPr>
    </w:p>
    <w:p>
      <w:pPr>
        <w:ind w:left="158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15551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5115" cy="8890"/>
                    </a:xfrm>
                    <a:prstGeom prst="rect">
                      <a:avLst/>
                    </a:prstGeom>
                    <a:noFill/>
                  </pic:spPr>
                </pic:pic>
              </a:graphicData>
            </a:graphic>
          </wp:anchor>
        </w:drawing>
      </w:r>
    </w:p>
    <w:p>
      <w:pPr>
        <w:spacing w:after="0" w:line="171"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6140" w:type="dxa"/>
            <w:vAlign w:val="bottom"/>
            <w:gridSpan w:val="3"/>
          </w:tcPr>
          <w:p>
            <w:pPr>
              <w:jc w:val="center"/>
              <w:ind w:left="1785"/>
              <w:spacing w:after="0"/>
              <w:rPr>
                <w:sz w:val="20"/>
                <w:szCs w:val="20"/>
                <w:color w:val="auto"/>
              </w:rPr>
            </w:pPr>
            <w:r>
              <w:rPr>
                <w:rFonts w:ascii="Arial" w:cs="Arial" w:eastAsia="Arial" w:hAnsi="Arial"/>
                <w:sz w:val="18"/>
                <w:szCs w:val="18"/>
                <w:b w:val="1"/>
                <w:bCs w:val="1"/>
                <w:color w:val="auto"/>
                <w:w w:val="91"/>
              </w:rPr>
              <w:t>Commission File Number: 000-27239</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1"/>
        </w:trPr>
        <w:tc>
          <w:tcPr>
            <w:tcW w:w="6140" w:type="dxa"/>
            <w:vAlign w:val="bottom"/>
            <w:gridSpan w:val="3"/>
          </w:tcPr>
          <w:p>
            <w:pPr>
              <w:jc w:val="center"/>
              <w:ind w:left="1785"/>
              <w:spacing w:after="0"/>
              <w:rPr>
                <w:sz w:val="20"/>
                <w:szCs w:val="20"/>
                <w:color w:val="auto"/>
              </w:rPr>
            </w:pPr>
            <w:r>
              <w:rPr>
                <w:rFonts w:ascii="Arial" w:cs="Arial" w:eastAsia="Arial" w:hAnsi="Arial"/>
                <w:sz w:val="43"/>
                <w:szCs w:val="43"/>
                <w:b w:val="1"/>
                <w:bCs w:val="1"/>
                <w:color w:val="auto"/>
              </w:rPr>
              <w:t>TAPIMMUNE INC.</w:t>
            </w:r>
          </w:p>
        </w:tc>
        <w:tc>
          <w:tcPr>
            <w:tcW w:w="1380" w:type="dxa"/>
            <w:vAlign w:val="bottom"/>
          </w:tcPr>
          <w:p>
            <w:pPr>
              <w:spacing w:after="0"/>
              <w:rPr>
                <w:sz w:val="24"/>
                <w:szCs w:val="24"/>
                <w:color w:val="auto"/>
              </w:rPr>
            </w:pPr>
          </w:p>
        </w:tc>
      </w:tr>
      <w:tr>
        <w:trPr>
          <w:trHeight w:val="234"/>
        </w:trPr>
        <w:tc>
          <w:tcPr>
            <w:tcW w:w="6140" w:type="dxa"/>
            <w:vAlign w:val="bottom"/>
            <w:gridSpan w:val="3"/>
          </w:tcPr>
          <w:p>
            <w:pPr>
              <w:jc w:val="center"/>
              <w:ind w:left="1805"/>
              <w:spacing w:after="0"/>
              <w:rPr>
                <w:sz w:val="20"/>
                <w:szCs w:val="20"/>
                <w:color w:val="auto"/>
              </w:rPr>
            </w:pPr>
            <w:r>
              <w:rPr>
                <w:rFonts w:ascii="Arial" w:cs="Arial" w:eastAsia="Arial" w:hAnsi="Arial"/>
                <w:sz w:val="18"/>
                <w:szCs w:val="18"/>
                <w:b w:val="1"/>
                <w:bCs w:val="1"/>
                <w:color w:val="auto"/>
                <w:w w:val="91"/>
              </w:rPr>
              <w:t>(Name of registrant in its charter)</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0"/>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right"/>
              <w:ind w:right="61"/>
              <w:spacing w:after="0"/>
              <w:rPr>
                <w:sz w:val="20"/>
                <w:szCs w:val="20"/>
                <w:color w:val="auto"/>
              </w:rPr>
            </w:pPr>
            <w:r>
              <w:rPr>
                <w:rFonts w:ascii="Arial" w:cs="Arial" w:eastAsia="Arial" w:hAnsi="Arial"/>
                <w:sz w:val="18"/>
                <w:szCs w:val="18"/>
                <w:b w:val="1"/>
                <w:bCs w:val="1"/>
                <w:color w:val="auto"/>
              </w:rPr>
              <w:t>88-0277072</w:t>
            </w:r>
          </w:p>
        </w:tc>
      </w:tr>
      <w:tr>
        <w:trPr>
          <w:trHeight w:val="149"/>
        </w:trPr>
        <w:tc>
          <w:tcPr>
            <w:tcW w:w="614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50 N. Laura Street, Suite 2500</w:t>
            </w:r>
          </w:p>
        </w:tc>
        <w:tc>
          <w:tcPr>
            <w:tcW w:w="1380" w:type="dxa"/>
            <w:vAlign w:val="bottom"/>
          </w:tcPr>
          <w:p>
            <w:pPr>
              <w:spacing w:after="0"/>
              <w:rPr>
                <w:sz w:val="24"/>
                <w:szCs w:val="24"/>
                <w:color w:val="auto"/>
              </w:rPr>
            </w:pPr>
          </w:p>
        </w:tc>
      </w:tr>
      <w:tr>
        <w:trPr>
          <w:trHeight w:val="22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0"/>
              </w:rPr>
              <w:t>Jacksonville, FL</w:t>
            </w:r>
          </w:p>
        </w:tc>
        <w:tc>
          <w:tcPr>
            <w:tcW w:w="138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820" w:type="dxa"/>
            <w:vAlign w:val="bottom"/>
          </w:tcPr>
          <w:p>
            <w:pPr>
              <w:jc w:val="center"/>
              <w:ind w:right="345"/>
              <w:spacing w:after="0"/>
              <w:rPr>
                <w:sz w:val="20"/>
                <w:szCs w:val="20"/>
                <w:color w:val="auto"/>
              </w:rPr>
            </w:pPr>
            <w:r>
              <w:rPr>
                <w:rFonts w:ascii="Arial" w:cs="Arial" w:eastAsia="Arial" w:hAnsi="Arial"/>
                <w:sz w:val="18"/>
                <w:szCs w:val="18"/>
                <w:b w:val="1"/>
                <w:bCs w:val="1"/>
                <w:color w:val="auto"/>
                <w:w w:val="90"/>
              </w:rPr>
              <w:t>904-516-5436</w:t>
            </w: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2"/>
              </w:rPr>
              <w:t>(Issuer’s telephone number)</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0"/>
        <w:spacing w:after="0" w:line="287"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40" w:val="left"/>
          <w:tab w:leader="none" w:pos="124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5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May 13, 2016, the Company had 71,030,763 shares of common stock issued and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1004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040" w:type="dxa"/>
            <w:vAlign w:val="bottom"/>
            <w:gridSpan w:val="20"/>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2016 and December 31, 2015</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Loss for the Three Months Ended March 31, 2016 and 2015</w:t>
              </w:r>
            </w:hyperlink>
          </w:p>
        </w:tc>
        <w:tc>
          <w:tcPr>
            <w:tcW w:w="112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(Deficit) for the Three Months Ended March 31, 2016</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March 31, 2016 and 2015</w:t>
              </w:r>
            </w:hyperlink>
          </w:p>
        </w:tc>
        <w:tc>
          <w:tcPr>
            <w:tcW w:w="9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46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16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660" w:type="dxa"/>
            <w:vAlign w:val="bottom"/>
            <w:gridSpan w:val="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Controls and Procedures.</w:t>
              </w:r>
            </w:hyperlink>
          </w:p>
        </w:tc>
        <w:tc>
          <w:tcPr>
            <w:tcW w:w="7320" w:type="dxa"/>
            <w:vAlign w:val="bottom"/>
            <w:gridSpan w:val="1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40" w:type="dxa"/>
            <w:vAlign w:val="bottom"/>
            <w:gridSpan w:val="2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w:t>
            </w:r>
          </w:p>
        </w:tc>
        <w:tc>
          <w:tcPr>
            <w:tcW w:w="1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180" w:type="dxa"/>
            <w:vAlign w:val="bottom"/>
            <w:gridSpan w:val="11"/>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7780" w:type="dxa"/>
            <w:vAlign w:val="bottom"/>
            <w:gridSpan w:val="1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4760" w:type="dxa"/>
            <w:vAlign w:val="bottom"/>
            <w:gridSpan w:val="7"/>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Defaults Upon Senior Securities.</w:t>
              </w:r>
            </w:hyperlink>
          </w:p>
        </w:tc>
        <w:tc>
          <w:tcPr>
            <w:tcW w:w="6740" w:type="dxa"/>
            <w:vAlign w:val="bottom"/>
            <w:gridSpan w:val="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16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8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340" w:type="dxa"/>
            <w:vAlign w:val="bottom"/>
            <w:gridSpan w:val="1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7800" w:type="dxa"/>
            <w:vAlign w:val="bottom"/>
            <w:gridSpan w:val="1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Signatures</w:t>
              </w:r>
            </w:hyperlink>
          </w:p>
        </w:tc>
        <w:tc>
          <w:tcPr>
            <w:tcW w:w="6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265" w:right="4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600" w:type="dxa"/>
            <w:vAlign w:val="bottom"/>
          </w:tcPr>
          <w:p>
            <w:pPr>
              <w:jc w:val="center"/>
              <w:ind w:left="187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March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4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7600" w:type="dxa"/>
            <w:vAlign w:val="bottom"/>
            <w:shd w:val="clear" w:color="auto" w:fill="CCEEFF"/>
          </w:tcPr>
          <w:p>
            <w:pPr>
              <w:jc w:val="center"/>
              <w:ind w:left="1750"/>
              <w:spacing w:after="0" w:line="196" w:lineRule="exact"/>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5,721,801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6,576,564</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Prepaid expenses and deposits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5,759,433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vMerge w:val="restart"/>
          </w:tcPr>
          <w:p>
            <w:pPr>
              <w:jc w:val="center"/>
              <w:ind w:left="175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1,454,913</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967,358</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Derivative liability – warrants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29,489,000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26,493,000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Promissory note, related party</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31,464,278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28,005,723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A, $0.001 par value, 1,250,000 shares designated, -0- shares issued and outstanding as of</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March 31, 2016 and December 31, 2015</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Series B, $0.001 par value, 1,500,000 shares designated, -0- shares issued and outstanding as of</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540"/>
              <w:spacing w:after="0"/>
              <w:rPr>
                <w:sz w:val="20"/>
                <w:szCs w:val="20"/>
                <w:color w:val="auto"/>
              </w:rPr>
            </w:pPr>
            <w:r>
              <w:rPr>
                <w:rFonts w:ascii="Arial" w:cs="Arial" w:eastAsia="Arial" w:hAnsi="Arial"/>
                <w:sz w:val="18"/>
                <w:szCs w:val="18"/>
                <w:color w:val="auto"/>
              </w:rPr>
              <w:t>March 31, 2016 and December 31, 2015</w:t>
            </w:r>
          </w:p>
        </w:tc>
        <w:tc>
          <w:tcPr>
            <w:tcW w:w="1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$0.001 par value, 500,000,000 shares authorized 70,990,763 shares issued and outstanding</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(2015 – 70,550,763)</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70,991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70,551</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112,482,330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112,077,520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(138,258,166)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(133,508,427)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(25,704,845)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(21,360,356)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5,759,433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Three Months</w:t>
            </w:r>
          </w:p>
        </w:tc>
        <w:tc>
          <w:tcPr>
            <w:tcW w:w="2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985,751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767,988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418,786</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(1,753,739)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(1,028,164)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(2,996,000)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(4,749,739)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70,593,236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27,611,255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20" w:type="dxa"/>
            <w:vAlign w:val="bottom"/>
            <w:gridSpan w:val="5"/>
          </w:tcPr>
          <w:p>
            <w:pPr>
              <w:ind w:left="360"/>
              <w:spacing w:after="0"/>
              <w:rPr>
                <w:sz w:val="20"/>
                <w:szCs w:val="20"/>
                <w:color w:val="auto"/>
              </w:rPr>
            </w:pPr>
            <w:r>
              <w:rPr>
                <w:rFonts w:ascii="Arial" w:cs="Arial" w:eastAsia="Arial" w:hAnsi="Arial"/>
                <w:sz w:val="14"/>
                <w:szCs w:val="14"/>
                <w:color w:val="auto"/>
              </w:rPr>
              <w:t>Common Stock</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Paid In</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Amount</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Deficit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6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85"/>
              </w:rPr>
              <w:t>shares</w:t>
            </w:r>
          </w:p>
        </w:tc>
        <w:tc>
          <w:tcPr>
            <w:tcW w:w="560" w:type="dxa"/>
            <w:vAlign w:val="bottom"/>
          </w:tcPr>
          <w:p>
            <w:pPr>
              <w:jc w:val="right"/>
              <w:ind w:right="15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70,550,763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70,551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112,077,520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(133,508,427)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(21,360,356)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440,000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404,810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405,250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(4,749,739)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(4,749,739)</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Balance, March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70,990,763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70,991</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112,482,330</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(138,258,166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(25,704,845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(4,749,739)</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2,996,000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214,250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31,171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678,555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9, 961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(829,763)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(1,014,453)</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shares, net of finders’ fee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Repayment of promissory note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(854,763)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5,721,801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color w:val="auto"/>
                <w:w w:val="92"/>
              </w:rPr>
              <w:t>Three Months</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Three Months</w:t>
            </w:r>
          </w:p>
        </w:tc>
      </w:tr>
      <w:tr>
        <w:trPr>
          <w:trHeight w:val="149"/>
        </w:trPr>
        <w:tc>
          <w:tcPr>
            <w:tcW w:w="8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Ended</w:t>
            </w:r>
          </w:p>
        </w:tc>
      </w:tr>
      <w:tr>
        <w:trPr>
          <w:trHeight w:val="149"/>
        </w:trPr>
        <w:tc>
          <w:tcPr>
            <w:tcW w:w="8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March 31,</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March 31,</w:t>
            </w:r>
          </w:p>
        </w:tc>
      </w:tr>
      <w:tr>
        <w:trPr>
          <w:trHeight w:val="167"/>
        </w:trPr>
        <w:tc>
          <w:tcPr>
            <w:tcW w:w="87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2015</w:t>
            </w:r>
          </w:p>
        </w:tc>
        <w:tc>
          <w:tcPr>
            <w:tcW w:w="6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w w:val="97"/>
              </w:rPr>
              <w:t>Reclassification of accrued liability upon issuance of common shares relating to Dr. Glynn Wilson’s compensation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9,313,000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1:</w:t>
      </w:r>
      <w:r>
        <w:rPr>
          <w:sz w:val="20"/>
          <w:szCs w:val="20"/>
          <w:color w:val="auto"/>
        </w:rPr>
        <w:tab/>
      </w:r>
      <w:r>
        <w:rPr>
          <w:rFonts w:ascii="Arial" w:cs="Arial" w:eastAsia="Arial" w:hAnsi="Arial"/>
          <w:sz w:val="17"/>
          <w:szCs w:val="17"/>
          <w:b w:val="1"/>
          <w:bCs w:val="1"/>
          <w:u w:val="single" w:color="auto"/>
          <w:color w:val="auto"/>
        </w:rPr>
        <w:t>NATURE OF OPERATIONS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2:</w:t>
      </w:r>
      <w:r>
        <w:rPr>
          <w:sz w:val="20"/>
          <w:szCs w:val="20"/>
          <w:color w:val="auto"/>
        </w:rPr>
        <w:tab/>
      </w:r>
      <w:r>
        <w:rPr>
          <w:rFonts w:ascii="Arial" w:cs="Arial" w:eastAsia="Arial" w:hAnsi="Arial"/>
          <w:sz w:val="17"/>
          <w:szCs w:val="17"/>
          <w:b w:val="1"/>
          <w:bCs w:val="1"/>
          <w:u w:val="single" w:color="auto"/>
          <w:color w:val="auto"/>
        </w:rPr>
        <w:t>BASIS OF PRESENTATION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2016,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balance sheet at December 31, 2015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2015, and notes thereto included in the Company’s annual report on Form 10-K.</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3:</w:t>
      </w:r>
      <w:r>
        <w:rPr>
          <w:sz w:val="20"/>
          <w:szCs w:val="20"/>
          <w:color w:val="auto"/>
        </w:rPr>
        <w:tab/>
      </w:r>
      <w:r>
        <w:rPr>
          <w:rFonts w:ascii="Arial" w:cs="Arial" w:eastAsia="Arial" w:hAnsi="Arial"/>
          <w:sz w:val="18"/>
          <w:szCs w:val="18"/>
          <w:b w:val="1"/>
          <w:bCs w:val="1"/>
          <w:u w:val="single" w:color="auto"/>
          <w:color w:val="auto"/>
        </w:rPr>
        <w:t>LIQUIDITY AND FINANCIAL CONDITION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March 31, 2016, the Company had cash and cash equivalents of approximately $5,722,000.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w:t>
      </w:r>
      <w:r>
        <w:rPr>
          <w:sz w:val="20"/>
          <w:szCs w:val="20"/>
          <w:color w:val="auto"/>
        </w:rPr>
        <w:tab/>
      </w:r>
      <w:r>
        <w:rPr>
          <w:rFonts w:ascii="Arial" w:cs="Arial" w:eastAsia="Arial" w:hAnsi="Arial"/>
          <w:sz w:val="18"/>
          <w:szCs w:val="18"/>
          <w:b w:val="1"/>
          <w:bCs w:val="1"/>
          <w:u w:val="single" w:color="auto"/>
          <w:color w:val="auto"/>
        </w:rPr>
        <w:t>SIGNIFICANT ACCOUNTING POLICIES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Accounting Standards Update (“ASU”), No. 2016-09 - In March 2016, the Financial Accounting Standards Board (the “FASB”) issued ASU No. 2016-09, Compensation-Stock Compensation. The new guidance simplifies several aspects of the accounting for share-based payment transactions, including the income tax consequences, classification of awards as either equity or liabilities, and classification on the statement of cash flows. The amendments in this standard are effective for the Company’s annual year and first fiscal quarter beginning on January 1, 2017 with early adoption permitted. The Company is currently evaluating the impact of the application of this accounting standard update on its financial statements and related disclosures.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5:</w:t>
      </w:r>
      <w:r>
        <w:rPr>
          <w:sz w:val="20"/>
          <w:szCs w:val="20"/>
          <w:color w:val="auto"/>
        </w:rPr>
        <w:tab/>
      </w:r>
      <w:r>
        <w:rPr>
          <w:rFonts w:ascii="Arial" w:cs="Arial" w:eastAsia="Arial" w:hAnsi="Arial"/>
          <w:sz w:val="18"/>
          <w:szCs w:val="18"/>
          <w:b w:val="1"/>
          <w:bCs w:val="1"/>
          <w:u w:val="single" w:color="auto"/>
          <w:color w:val="auto"/>
        </w:rPr>
        <w:t>POTENTIALLY DILUTIVE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Options, warrants, and convertible debt outstanding were all considered anti-dilutive due to net losses for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180" w:type="dxa"/>
            <w:vAlign w:val="bottom"/>
            <w:gridSpan w:val="4"/>
          </w:tcPr>
          <w:p>
            <w:pPr>
              <w:ind w:left="7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50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3,584,000</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2,556,000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2,549,000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49,528,000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62,194,000</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55,668,000</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64,808,000</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6:</w:t>
      </w:r>
      <w:r>
        <w:rPr>
          <w:sz w:val="20"/>
          <w:szCs w:val="20"/>
          <w:color w:val="auto"/>
        </w:rPr>
        <w:tab/>
      </w:r>
      <w:r>
        <w:rPr>
          <w:rFonts w:ascii="Arial" w:cs="Arial" w:eastAsia="Arial" w:hAnsi="Arial"/>
          <w:sz w:val="18"/>
          <w:szCs w:val="18"/>
          <w:b w:val="1"/>
          <w:bCs w:val="1"/>
          <w:u w:val="single" w:color="auto"/>
          <w:color w:val="auto"/>
        </w:rPr>
        <w:t>DERIVATIVE LIABILITY - WARRANTS AND DERIVATIVE LIABILITY – CONVERSION OPTION</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2016 and 2015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Share Purchase Warrants</w:t>
            </w: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8"/>
              </w:rPr>
              <w:t>Weighted Average Inputs for the Period</w:t>
            </w:r>
          </w:p>
        </w:tc>
        <w:tc>
          <w:tcPr>
            <w:tcW w:w="0" w:type="dxa"/>
            <w:vAlign w:val="bottom"/>
          </w:tcPr>
          <w:p>
            <w:pPr>
              <w:spacing w:after="0"/>
              <w:rPr>
                <w:sz w:val="1"/>
                <w:szCs w:val="1"/>
                <w:color w:val="auto"/>
              </w:rPr>
            </w:pPr>
          </w:p>
        </w:tc>
      </w:tr>
      <w:tr>
        <w:trPr>
          <w:trHeight w:val="126"/>
        </w:trPr>
        <w:tc>
          <w:tcPr>
            <w:tcW w:w="1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600"/>
              <w:spacing w:after="0" w:line="126" w:lineRule="exact"/>
              <w:rPr>
                <w:sz w:val="20"/>
                <w:szCs w:val="20"/>
                <w:color w:val="auto"/>
              </w:rPr>
            </w:pPr>
            <w:r>
              <w:rPr>
                <w:rFonts w:ascii="Arial" w:cs="Arial" w:eastAsia="Arial" w:hAnsi="Arial"/>
                <w:sz w:val="14"/>
                <w:szCs w:val="14"/>
                <w:b w:val="1"/>
                <w:bCs w:val="1"/>
                <w:color w:val="auto"/>
                <w:w w:val="98"/>
              </w:rPr>
              <w:t>For the Quarter</w:t>
            </w:r>
          </w:p>
        </w:tc>
        <w:tc>
          <w:tcPr>
            <w:tcW w:w="4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6"/>
              </w:rPr>
              <w:t>For the Quarter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of valuation</w:t>
            </w:r>
          </w:p>
        </w:tc>
        <w:tc>
          <w:tcPr>
            <w:tcW w:w="2460" w:type="dxa"/>
            <w:vAlign w:val="bottom"/>
            <w:gridSpan w:val="2"/>
            <w:vMerge w:val="restart"/>
          </w:tcPr>
          <w:p>
            <w:pPr>
              <w:spacing w:after="0"/>
              <w:rPr>
                <w:sz w:val="12"/>
                <w:szCs w:val="12"/>
                <w:color w:val="auto"/>
              </w:rPr>
            </w:pPr>
          </w:p>
        </w:tc>
        <w:tc>
          <w:tcPr>
            <w:tcW w:w="3360" w:type="dxa"/>
            <w:vAlign w:val="bottom"/>
            <w:gridSpan w:val="4"/>
          </w:tcPr>
          <w:p>
            <w:pPr>
              <w:jc w:val="center"/>
              <w:ind w:left="968"/>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1800" w:type="dxa"/>
            <w:vAlign w:val="bottom"/>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Exercise price</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0.70</w:t>
            </w:r>
          </w:p>
        </w:tc>
        <w:tc>
          <w:tcPr>
            <w:tcW w:w="6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Contractual term (years)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Risk-free rate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0"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3"/>
              </w:rPr>
              <w:t>As of March 31, 2016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29,489,000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29,489,000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29,489,000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c>
          <w:tcPr>
            <w:tcW w:w="100" w:type="dxa"/>
            <w:vAlign w:val="bottom"/>
          </w:tcPr>
          <w:p>
            <w:pPr>
              <w:spacing w:after="0"/>
              <w:rPr>
                <w:sz w:val="19"/>
                <w:szCs w:val="19"/>
                <w:color w:val="auto"/>
              </w:rPr>
            </w:pPr>
          </w:p>
        </w:tc>
      </w:tr>
      <w:tr>
        <w:trPr>
          <w:trHeight w:val="399"/>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As of December 31, 2015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26,493,000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26,493,000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three months ended March 31, 2016:</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340" w:type="dxa"/>
            <w:vAlign w:val="bottom"/>
            <w:gridSpan w:val="4"/>
          </w:tcPr>
          <w:p>
            <w:pPr>
              <w:ind w:left="1580"/>
              <w:spacing w:after="0"/>
              <w:rPr>
                <w:sz w:val="20"/>
                <w:szCs w:val="20"/>
                <w:color w:val="auto"/>
              </w:rPr>
            </w:pPr>
            <w:r>
              <w:rPr>
                <w:rFonts w:ascii="Arial" w:cs="Arial" w:eastAsia="Arial" w:hAnsi="Arial"/>
                <w:sz w:val="14"/>
                <w:szCs w:val="14"/>
                <w:color w:val="auto"/>
              </w:rPr>
              <w:t>Derivative liability –warrants</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1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2016</w:t>
            </w:r>
          </w:p>
        </w:tc>
        <w:tc>
          <w:tcPr>
            <w:tcW w:w="20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3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7:</w:t>
      </w:r>
      <w:r>
        <w:rPr>
          <w:sz w:val="20"/>
          <w:szCs w:val="20"/>
          <w:color w:val="auto"/>
        </w:rPr>
        <w:tab/>
      </w:r>
      <w:r>
        <w:rPr>
          <w:rFonts w:ascii="Arial" w:cs="Arial" w:eastAsia="Arial" w:hAnsi="Arial"/>
          <w:sz w:val="17"/>
          <w:szCs w:val="17"/>
          <w:b w:val="1"/>
          <w:bCs w:val="1"/>
          <w:u w:val="single" w:color="auto"/>
          <w:color w:val="auto"/>
        </w:rPr>
        <w:t>PROMISSORY NOTES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outstanding promissory notes in the amount of $5,000 (December 31, 2015 - $30,000). The promissory note bears 10% annual interest and was due in 2012. As of March 31, 2016, the note is in default and there has been no request for payment.</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8:</w:t>
      </w:r>
      <w:r>
        <w:rPr>
          <w:sz w:val="20"/>
          <w:szCs w:val="20"/>
          <w:color w:val="auto"/>
        </w:rPr>
        <w:tab/>
      </w:r>
      <w:r>
        <w:rPr>
          <w:rFonts w:ascii="Arial" w:cs="Arial" w:eastAsia="Arial" w:hAnsi="Arial"/>
          <w:sz w:val="17"/>
          <w:szCs w:val="17"/>
          <w:b w:val="1"/>
          <w:bCs w:val="1"/>
          <w:u w:val="single" w:color="auto"/>
          <w:color w:val="auto"/>
        </w:rPr>
        <w:t>PROMISSORY NOTES, RELATED PARTY</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2015 - $23,000) owed to an officer and a director of the Company. The promissory note bears no interest charges and has no fixed repayment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9:</w:t>
      </w:r>
      <w:r>
        <w:rPr>
          <w:sz w:val="20"/>
          <w:szCs w:val="20"/>
          <w:color w:val="auto"/>
        </w:rPr>
        <w:tab/>
      </w:r>
      <w:r>
        <w:rPr>
          <w:rFonts w:ascii="Arial" w:cs="Arial" w:eastAsia="Arial" w:hAnsi="Arial"/>
          <w:sz w:val="18"/>
          <w:szCs w:val="18"/>
          <w:b w:val="1"/>
          <w:bCs w:val="1"/>
          <w:u w:val="single" w:color="auto"/>
          <w:color w:val="auto"/>
        </w:rPr>
        <w:t>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2015, the Company entered into an employment agreement with Dr. Glynn Wilson, the Company’s Chief Executive Officer, President and Chairman of the Company. As part of the agreement, Dr. Wilson was awarded 0.3 million fully vested common shares at consummation of the agreement. The Company recorded an obligation to deliver the shares of $0.2 million based on the fair value of the Common stock at December 31, 2015. The Company issued the shares in March 2016 and reclassified the accrued liability to stockholders’ equity (deficit).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arrangements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March 2016, the Company issued 0.1 million common shares as part of consulting agreements from 2015. The fair value of the common stock of approximately $0.1 million was recognized as stock-based compensation in general and administrative expense.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NOTE 10:</w:t>
      </w:r>
      <w:r>
        <w:rPr>
          <w:sz w:val="20"/>
          <w:szCs w:val="20"/>
          <w:color w:val="auto"/>
        </w:rPr>
        <w:tab/>
      </w:r>
      <w:r>
        <w:rPr>
          <w:rFonts w:ascii="Arial" w:cs="Arial" w:eastAsia="Arial" w:hAnsi="Arial"/>
          <w:sz w:val="18"/>
          <w:szCs w:val="18"/>
          <w:b w:val="1"/>
          <w:bCs w:val="1"/>
          <w:u w:val="single" w:color="auto"/>
          <w:color w:val="auto"/>
        </w:rPr>
        <w:t>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FAU Project Agreement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March 2016, the Company entered into a research project agreement with Florida Atlantic University regarding immune monitoring for study protocol FRV-002. The project is expected to end in December 2018. The Company has incurred approximately $0.2 million in research and development costs through March 31, 2016.</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0" w:right="319" w:bottom="1440" w:gutter="0" w:footer="0" w:header="0"/>
        </w:sectPr>
      </w:pPr>
    </w:p>
    <w:bookmarkStart w:id="11" w:name="page12"/>
    <w:bookmarkEnd w:id="1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months ended March 31, 2016 included in this quarterly report, as well as our Annual Report on Form 10-K for the year ended December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an immune-oncology company specializing in the development of innovative peptide and gene-based immunotherapeutics and vaccines for the treatment of cancer. We combine a set of proprietary technologies to improve the ability of the cellular immune system to destroy diseased cells. These are peptide antigen technologies and DNA expression technologies, Polystart and TAP.</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and to continue to develop the TAP-based franchise as an integral component of our prime-and-boost vaccine methodology.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Immuno-oncology has become the most rapidly growing sector in the pharmaceutical and biotech industry. The approval and success of checkpoint inhibitors Yervoy</w:t>
      </w:r>
      <w:r>
        <w:rPr>
          <w:rFonts w:ascii="Arial" w:cs="Arial" w:eastAsia="Arial" w:hAnsi="Arial"/>
          <w:sz w:val="13"/>
          <w:szCs w:val="13"/>
          <w:color w:val="auto"/>
        </w:rPr>
        <w:t>®</w:t>
      </w:r>
      <w:r>
        <w:rPr>
          <w:rFonts w:ascii="Arial" w:cs="Arial" w:eastAsia="Arial" w:hAnsi="Arial"/>
          <w:sz w:val="16"/>
          <w:szCs w:val="16"/>
          <w:color w:val="auto"/>
        </w:rPr>
        <w:t xml:space="preserve"> and Opdivo</w:t>
      </w:r>
      <w:r>
        <w:rPr>
          <w:rFonts w:ascii="Arial" w:cs="Arial" w:eastAsia="Arial" w:hAnsi="Arial"/>
          <w:sz w:val="13"/>
          <w:szCs w:val="13"/>
          <w:color w:val="auto"/>
        </w:rPr>
        <w:t>®</w:t>
      </w:r>
      <w:r>
        <w:rPr>
          <w:rFonts w:ascii="Arial" w:cs="Arial" w:eastAsia="Arial" w:hAnsi="Arial"/>
          <w:sz w:val="16"/>
          <w:szCs w:val="16"/>
          <w:color w:val="auto"/>
        </w:rPr>
        <w:t xml:space="preserve"> (Bristol Myers Squibb) and Keytruda</w:t>
      </w:r>
      <w:r>
        <w:rPr>
          <w:rFonts w:ascii="Arial" w:cs="Arial" w:eastAsia="Arial" w:hAnsi="Arial"/>
          <w:sz w:val="13"/>
          <w:szCs w:val="13"/>
          <w:color w:val="auto"/>
        </w:rPr>
        <w:t>®</w:t>
      </w:r>
      <w:r>
        <w:rPr>
          <w:rFonts w:ascii="Arial" w:cs="Arial" w:eastAsia="Arial" w:hAnsi="Arial"/>
          <w:sz w:val="16"/>
          <w:szCs w:val="16"/>
          <w:color w:val="auto"/>
        </w:rPr>
        <w:t xml:space="preserve"> (Merck) together with the development of CAR T-cell therapies (Juno Therapeutics, Inc., Kite Pharma, Inc.)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I Human Clinical Trials – Folate Alpha Breast and Ovarian Cancer – Mayo Clinic</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from for the folate receptor alpha Phase I trial was transferred from Mayo to TapImmune for amendment for the Company’s Phase II Clinical Trials on our lead product.</w:t>
      </w:r>
    </w:p>
    <w:p>
      <w:pPr>
        <w:spacing w:after="0" w:line="19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0" w:right="299" w:bottom="1440" w:gutter="0" w:footer="0" w:header="0"/>
        </w:sectPr>
      </w:pPr>
    </w:p>
    <w:bookmarkStart w:id="12" w:name="page13"/>
    <w:bookmarkEnd w:id="1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 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is a two year follow on recording time to disease recurrence in the participating breast cancer patients.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Polystart</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converted the previously filed U.S. Provisional Patent Application on Polystart into a full Patent Application, and expect to extend technology constructs as boost strategies for the current clinical programs in breast and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expected to be totally funded by a $13.3 million grant from the US Department of Defense to our collaborators at the Mayo Clinic in Jacksonville, FL. We believe that our development pipeline is strong and provides us the opportunity to continue to expand on collaborations with leading institutions and corporations.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fiscal year 2015, we strengthened our cash position by raising approximately $11.0 million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 resulting in valuations in the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in breast and ovarian cancer have been completed and strong immune responses in over 90% of patients treated has provided the rationale and catalyst to advance these programs to Phase II clinical trials.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ectPr>
          <w:pgSz w:w="11900" w:h="16838" w:orient="portrait"/>
          <w:cols w:equalWidth="0" w:num="1">
            <w:col w:w="11400"/>
          </w:cols>
          <w:pgMar w:left="240" w:top="274" w:right="259" w:bottom="1440"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274" w:right="259" w:bottom="1440" w:gutter="0" w:footer="0" w:header="0"/>
          <w:type w:val="continuous"/>
        </w:sectPr>
      </w:pPr>
    </w:p>
    <w:bookmarkStart w:id="13" w:name="page14"/>
    <w:bookmarkEnd w:id="13"/>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On February 3, 2016 we announced that that the U.S. Food &amp; Drug Administration (FDA) has granted Fast Track Designation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cancer vaccine TPIV 200 in the treatment of ovarian cancer.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Polystart Patent. </w:t>
      </w:r>
      <w:r>
        <w:rPr>
          <w:rFonts w:ascii="Arial" w:cs="Arial" w:eastAsia="Arial" w:hAnsi="Arial"/>
          <w:sz w:val="18"/>
          <w:szCs w:val="18"/>
          <w:color w:val="auto"/>
        </w:rPr>
        <w:t>On February 11, 2016 the United States Patent and Trademark Office issued a Notice of Allowance.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Manufacturing</w:t>
      </w:r>
      <w:r>
        <w:rPr>
          <w:rFonts w:ascii="Arial" w:cs="Arial" w:eastAsia="Arial" w:hAnsi="Arial"/>
          <w:sz w:val="18"/>
          <w:szCs w:val="18"/>
          <w:color w:val="auto"/>
        </w:rPr>
        <w:t>. On April 7, 2016, the Company announced that it has successfully completed formulation development, scale-up, GMP (Good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manufacturing, and the release of TPIV 200, its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August 2014, January and March of 2015 and from warrants issued in connection with our January and March,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2014 Financing</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August, 2014, we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August, 2014, we received subscription proceeds of $265,000 for 265,000 units. Each unit consists of one share of common stock and one share purchase warrant exercisable at $2.50 for a period of 3 years. We also issued 5,250 shares of common stock as finders’ fee relating to the subscription proceeds.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2015 Financing</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January, 2015, we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right="100" w:firstLine="8"/>
        <w:spacing w:after="0" w:line="252"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366,000 common shares with substantially the same terms as the January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w:t>
      </w:r>
    </w:p>
    <w:p>
      <w:pPr>
        <w:ind w:right="60" w:firstLine="8"/>
        <w:spacing w:after="0" w:line="295"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125,000 common shares with substantially the same terms as the March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131"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restructuring agreement, we issued an additional 12,320,000 Series B warrants and 12,320,000 Series C Warrants. See—liquidity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Descriptions</w:t>
      </w:r>
    </w:p>
    <w:p>
      <w:pPr>
        <w:spacing w:after="0" w:line="127" w:lineRule="exact"/>
        <w:rPr>
          <w:sz w:val="20"/>
          <w:szCs w:val="20"/>
          <w:color w:val="auto"/>
        </w:rPr>
      </w:pPr>
    </w:p>
    <w:p>
      <w:pPr>
        <w:ind w:left="900" w:right="240" w:hanging="325"/>
        <w:spacing w:after="0" w:line="26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Series A and Series A-1 Warrants. </w:t>
      </w:r>
      <w:r>
        <w:rPr>
          <w:rFonts w:ascii="Arial" w:cs="Arial" w:eastAsia="Arial" w:hAnsi="Arial"/>
          <w:sz w:val="18"/>
          <w:szCs w:val="18"/>
          <w:color w:val="auto"/>
        </w:rPr>
        <w:t>The Series A and Series A-1 Warrants have a five year term and exercise prices of $0.10. They have a</w:t>
      </w:r>
      <w:r>
        <w:rPr>
          <w:rFonts w:ascii="Arial" w:cs="Arial" w:eastAsia="Arial" w:hAnsi="Arial"/>
          <w:sz w:val="18"/>
          <w:szCs w:val="18"/>
          <w:b w:val="1"/>
          <w:bCs w:val="1"/>
          <w:color w:val="auto"/>
        </w:rPr>
        <w:t xml:space="preserve"> </w:t>
      </w:r>
      <w:r>
        <w:rPr>
          <w:rFonts w:ascii="Arial" w:cs="Arial" w:eastAsia="Arial" w:hAnsi="Arial"/>
          <w:sz w:val="18"/>
          <w:szCs w:val="18"/>
          <w:color w:val="auto"/>
        </w:rPr>
        <w:t>cashless exercise only if not freely tradable upon exercise. The Series A and Series A-1 Warrants have anti-dilution protection which provides that the exercise price of the Series A and Series A-1 warrants would adjust to the price of any securities sold by us below the warrant exercise price.</w:t>
      </w:r>
    </w:p>
    <w:p>
      <w:pPr>
        <w:spacing w:after="0" w:line="85" w:lineRule="exact"/>
        <w:rPr>
          <w:rFonts w:ascii="Arial" w:cs="Arial" w:eastAsia="Arial" w:hAnsi="Arial"/>
          <w:sz w:val="18"/>
          <w:szCs w:val="18"/>
          <w:color w:val="auto"/>
        </w:rPr>
      </w:pPr>
    </w:p>
    <w:p>
      <w:pPr>
        <w:ind w:left="900" w:right="380" w:hanging="325"/>
        <w:spacing w:after="0" w:line="282"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Series B and Series B-1 Warrants</w:t>
      </w:r>
      <w:r>
        <w:rPr>
          <w:rFonts w:ascii="Arial" w:cs="Arial" w:eastAsia="Arial" w:hAnsi="Arial"/>
          <w:sz w:val="18"/>
          <w:szCs w:val="18"/>
          <w:color w:val="auto"/>
        </w:rPr>
        <w:t>. The Series B and B-1 Warrants had a six month term and an exercise price of $0.20. These Series B and</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Warrants were exercised prior to expiration.</w:t>
      </w:r>
    </w:p>
    <w:p>
      <w:pPr>
        <w:spacing w:after="0" w:line="67" w:lineRule="exact"/>
        <w:rPr>
          <w:rFonts w:ascii="Arial" w:cs="Arial" w:eastAsia="Arial" w:hAnsi="Arial"/>
          <w:sz w:val="18"/>
          <w:szCs w:val="18"/>
          <w:color w:val="auto"/>
        </w:rPr>
      </w:pPr>
    </w:p>
    <w:p>
      <w:pPr>
        <w:ind w:left="900" w:right="160" w:hanging="325"/>
        <w:spacing w:after="0" w:line="26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Series C and Series C-1 Warrants</w:t>
      </w:r>
      <w:r>
        <w:rPr>
          <w:rFonts w:ascii="Arial" w:cs="Arial" w:eastAsia="Arial" w:hAnsi="Arial"/>
          <w:sz w:val="18"/>
          <w:szCs w:val="18"/>
          <w:color w:val="auto"/>
        </w:rPr>
        <w:t>. The Series C and Series C-1 Warrants have a 5 year term and an exercise price of $0.50.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mandatory exercise if the stock trades at or above $1.00 for 10 trading days. These warrants have anti-dilution protection for subsequent securities issuances by us at prices below the exercise price which would require an adjustment to the warrant exercise price (excluding warrant exercises).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ind w:left="900" w:right="120" w:hanging="325"/>
        <w:spacing w:after="0" w:line="314"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Series D and Series D-1 Warrants. </w:t>
      </w:r>
      <w:r>
        <w:rPr>
          <w:rFonts w:ascii="Arial" w:cs="Arial" w:eastAsia="Arial" w:hAnsi="Arial"/>
          <w:sz w:val="16"/>
          <w:szCs w:val="16"/>
          <w:color w:val="auto"/>
        </w:rPr>
        <w:t>The Series D and Series D-1 Warrants have a term of 5 years from the date of the exercise of the Series B</w:t>
      </w:r>
      <w:r>
        <w:rPr>
          <w:rFonts w:ascii="Arial" w:cs="Arial" w:eastAsia="Arial" w:hAnsi="Arial"/>
          <w:sz w:val="16"/>
          <w:szCs w:val="16"/>
          <w:b w:val="1"/>
          <w:bCs w:val="1"/>
          <w:color w:val="auto"/>
        </w:rPr>
        <w:t xml:space="preserve"> </w:t>
      </w:r>
      <w:r>
        <w:rPr>
          <w:rFonts w:ascii="Arial" w:cs="Arial" w:eastAsia="Arial" w:hAnsi="Arial"/>
          <w:sz w:val="16"/>
          <w:szCs w:val="16"/>
          <w:color w:val="auto"/>
        </w:rPr>
        <w:t>and Series B-1 Warrants and an exercise price of $0.75.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right="20" w:hanging="325"/>
        <w:spacing w:after="0" w:line="314"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Series E and Series E-1 Warrants. </w:t>
      </w:r>
      <w:r>
        <w:rPr>
          <w:rFonts w:ascii="Arial" w:cs="Arial" w:eastAsia="Arial" w:hAnsi="Arial"/>
          <w:sz w:val="16"/>
          <w:szCs w:val="16"/>
          <w:color w:val="auto"/>
        </w:rPr>
        <w:t>The Series E and Series E-1 warrants have a term of 5 years from the date of the exercise of the Series C and</w:t>
      </w:r>
      <w:r>
        <w:rPr>
          <w:rFonts w:ascii="Arial" w:cs="Arial" w:eastAsia="Arial" w:hAnsi="Arial"/>
          <w:sz w:val="16"/>
          <w:szCs w:val="16"/>
          <w:b w:val="1"/>
          <w:bCs w:val="1"/>
          <w:color w:val="auto"/>
        </w:rPr>
        <w:t xml:space="preserve"> </w:t>
      </w:r>
      <w:r>
        <w:rPr>
          <w:rFonts w:ascii="Arial" w:cs="Arial" w:eastAsia="Arial" w:hAnsi="Arial"/>
          <w:sz w:val="16"/>
          <w:szCs w:val="16"/>
          <w:color w:val="auto"/>
        </w:rPr>
        <w:t>Series C-1 Warrants and an exercise price of $1.25.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right="80" w:hanging="325"/>
        <w:spacing w:after="0" w:line="293"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Warrant Holder Contingent Put Right. </w:t>
      </w:r>
      <w:r>
        <w:rPr>
          <w:rFonts w:ascii="Arial" w:cs="Arial" w:eastAsia="Arial" w:hAnsi="Arial"/>
          <w:sz w:val="16"/>
          <w:szCs w:val="16"/>
          <w:color w:val="auto"/>
        </w:rPr>
        <w:t>Each of the warrants provide that at the request of a Warrant holder delivered at any time commencing</w:t>
      </w:r>
      <w:r>
        <w:rPr>
          <w:rFonts w:ascii="Arial" w:cs="Arial" w:eastAsia="Arial" w:hAnsi="Arial"/>
          <w:sz w:val="16"/>
          <w:szCs w:val="16"/>
          <w:b w:val="1"/>
          <w:bCs w:val="1"/>
          <w:color w:val="auto"/>
        </w:rPr>
        <w:t xml:space="preserve"> </w:t>
      </w:r>
      <w:r>
        <w:rPr>
          <w:rFonts w:ascii="Arial" w:cs="Arial" w:eastAsia="Arial" w:hAnsi="Arial"/>
          <w:sz w:val="16"/>
          <w:szCs w:val="16"/>
          <w:color w:val="auto"/>
        </w:rPr>
        <w:t>on the earliest to occur of (x) the public disclosure of any Fundamental Transaction, (y) the consummation of any Fundamental Transaction and</w:t>
      </w:r>
    </w:p>
    <w:p>
      <w:pPr>
        <w:spacing w:after="0" w:line="1" w:lineRule="exact"/>
        <w:rPr>
          <w:rFonts w:ascii="Arial" w:cs="Arial" w:eastAsia="Arial" w:hAnsi="Arial"/>
          <w:sz w:val="16"/>
          <w:szCs w:val="16"/>
          <w:color w:val="auto"/>
        </w:rPr>
      </w:pPr>
    </w:p>
    <w:p>
      <w:pPr>
        <w:jc w:val="both"/>
        <w:ind w:left="900" w:right="40" w:hanging="1"/>
        <w:spacing w:after="0" w:line="254" w:lineRule="auto"/>
        <w:tabs>
          <w:tab w:leader="none" w:pos="1145"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such Warrant holder first becoming aware of any Fundamental Transaction through the date that is ninety (90) days after the public disclosure of the consummation of such Fundamental Transaction by the Company, the Company or the successor entity (as the case may be) shall purchase the Warrant from such Warrant holder on the date of such request by paying to the holder cash in an amount equal to the Black Scholes Value. A </w:t>
      </w:r>
      <w:r>
        <w:rPr>
          <w:rFonts w:ascii="Arial" w:cs="Arial" w:eastAsia="Arial" w:hAnsi="Arial"/>
          <w:sz w:val="18"/>
          <w:szCs w:val="18"/>
          <w:b w:val="1"/>
          <w:bCs w:val="1"/>
          <w:color w:val="auto"/>
        </w:rPr>
        <w:t xml:space="preserve">Fundamental Transaction </w:t>
      </w:r>
      <w:r>
        <w:rPr>
          <w:rFonts w:ascii="Arial" w:cs="Arial" w:eastAsia="Arial" w:hAnsi="Arial"/>
          <w:sz w:val="18"/>
          <w:szCs w:val="18"/>
          <w:color w:val="auto"/>
        </w:rPr>
        <w:t>means:</w:t>
      </w:r>
    </w:p>
    <w:p>
      <w:pPr>
        <w:spacing w:after="0" w:line="81" w:lineRule="exact"/>
        <w:rPr>
          <w:rFonts w:ascii="Arial" w:cs="Arial" w:eastAsia="Arial" w:hAnsi="Arial"/>
          <w:sz w:val="18"/>
          <w:szCs w:val="18"/>
          <w:color w:val="auto"/>
        </w:rPr>
      </w:pPr>
    </w:p>
    <w:p>
      <w:pPr>
        <w:ind w:left="680" w:hanging="21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or any of its Subsidiaries shall, directly or indirectly, in one or more related transactions,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3"/>
          <w:numId w:val="9"/>
        </w:numPr>
        <w:rPr>
          <w:rFonts w:ascii="Arial" w:cs="Arial" w:eastAsia="Arial" w:hAnsi="Arial"/>
          <w:sz w:val="16"/>
          <w:szCs w:val="16"/>
          <w:color w:val="auto"/>
        </w:rPr>
      </w:pPr>
      <w:r>
        <w:rPr>
          <w:rFonts w:ascii="Arial" w:cs="Arial" w:eastAsia="Arial" w:hAnsi="Arial"/>
          <w:sz w:val="16"/>
          <w:szCs w:val="16"/>
          <w:color w:val="auto"/>
        </w:rPr>
        <w:t>consolidate or merge with or into (whether or not the Company or any of its Subsidiaries is the surviving corporation) any other Person,</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920" w:right="320" w:firstLine="421"/>
        <w:spacing w:after="0" w:line="277" w:lineRule="auto"/>
        <w:tabs>
          <w:tab w:leader="none" w:pos="1595" w:val="left"/>
        </w:tabs>
        <w:numPr>
          <w:ilvl w:val="3"/>
          <w:numId w:val="9"/>
        </w:numPr>
        <w:rPr>
          <w:rFonts w:ascii="Arial" w:cs="Arial" w:eastAsia="Arial" w:hAnsi="Arial"/>
          <w:sz w:val="18"/>
          <w:szCs w:val="18"/>
          <w:color w:val="auto"/>
        </w:rPr>
      </w:pPr>
      <w:r>
        <w:rPr>
          <w:rFonts w:ascii="Arial" w:cs="Arial" w:eastAsia="Arial" w:hAnsi="Arial"/>
          <w:sz w:val="18"/>
          <w:szCs w:val="18"/>
          <w:color w:val="auto"/>
        </w:rPr>
        <w:t>sell, lease, license, assign, transfer, convey or otherwise dispose of all or substantially all of its respective properties or assets to any other Person, or</w:t>
      </w:r>
    </w:p>
    <w:p>
      <w:pPr>
        <w:spacing w:after="0" w:line="62" w:lineRule="exact"/>
        <w:rPr>
          <w:rFonts w:ascii="Arial" w:cs="Arial" w:eastAsia="Arial" w:hAnsi="Arial"/>
          <w:sz w:val="18"/>
          <w:szCs w:val="18"/>
          <w:color w:val="auto"/>
        </w:rPr>
      </w:pPr>
    </w:p>
    <w:p>
      <w:pPr>
        <w:ind w:left="920" w:right="400" w:firstLine="421"/>
        <w:spacing w:after="0" w:line="312" w:lineRule="auto"/>
        <w:tabs>
          <w:tab w:leader="none" w:pos="1595" w:val="left"/>
        </w:tabs>
        <w:numPr>
          <w:ilvl w:val="3"/>
          <w:numId w:val="9"/>
        </w:numPr>
        <w:rPr>
          <w:rFonts w:ascii="Arial" w:cs="Arial" w:eastAsia="Arial" w:hAnsi="Arial"/>
          <w:sz w:val="16"/>
          <w:szCs w:val="16"/>
          <w:color w:val="auto"/>
        </w:rPr>
      </w:pPr>
      <w:r>
        <w:rPr>
          <w:rFonts w:ascii="Arial" w:cs="Arial" w:eastAsia="Arial" w:hAnsi="Arial"/>
          <w:sz w:val="16"/>
          <w:szCs w:val="16"/>
          <w:color w:val="auto"/>
        </w:rPr>
        <w:t>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w:t>
      </w:r>
    </w:p>
    <w:p>
      <w:pPr>
        <w:spacing w:after="0" w:line="38" w:lineRule="exact"/>
        <w:rPr>
          <w:rFonts w:ascii="Arial" w:cs="Arial" w:eastAsia="Arial" w:hAnsi="Arial"/>
          <w:sz w:val="16"/>
          <w:szCs w:val="16"/>
          <w:color w:val="auto"/>
        </w:rPr>
      </w:pPr>
    </w:p>
    <w:p>
      <w:pPr>
        <w:ind w:left="920" w:firstLine="421"/>
        <w:spacing w:after="0" w:line="257" w:lineRule="auto"/>
        <w:tabs>
          <w:tab w:leader="none" w:pos="1595" w:val="left"/>
        </w:tabs>
        <w:numPr>
          <w:ilvl w:val="3"/>
          <w:numId w:val="9"/>
        </w:numPr>
        <w:rPr>
          <w:rFonts w:ascii="Arial" w:cs="Arial" w:eastAsia="Arial" w:hAnsi="Arial"/>
          <w:sz w:val="18"/>
          <w:szCs w:val="18"/>
          <w:color w:val="auto"/>
        </w:rPr>
      </w:pPr>
      <w:r>
        <w:rPr>
          <w:rFonts w:ascii="Arial" w:cs="Arial" w:eastAsia="Arial" w:hAnsi="Arial"/>
          <w:sz w:val="18"/>
          <w:szCs w:val="18"/>
          <w:color w:val="auto"/>
        </w:rPr>
        <w:t>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w:t>
      </w:r>
    </w:p>
    <w:p>
      <w:pPr>
        <w:spacing w:after="0" w:line="80" w:lineRule="exact"/>
        <w:rPr>
          <w:rFonts w:ascii="Arial" w:cs="Arial" w:eastAsia="Arial" w:hAnsi="Arial"/>
          <w:sz w:val="18"/>
          <w:szCs w:val="18"/>
          <w:color w:val="auto"/>
        </w:rPr>
      </w:pPr>
    </w:p>
    <w:p>
      <w:pPr>
        <w:ind w:left="920" w:firstLine="421"/>
        <w:spacing w:after="0" w:line="255" w:lineRule="auto"/>
        <w:tabs>
          <w:tab w:leader="none" w:pos="1595" w:val="left"/>
        </w:tabs>
        <w:numPr>
          <w:ilvl w:val="3"/>
          <w:numId w:val="9"/>
        </w:numPr>
        <w:rPr>
          <w:rFonts w:ascii="Arial" w:cs="Arial" w:eastAsia="Arial" w:hAnsi="Arial"/>
          <w:sz w:val="18"/>
          <w:szCs w:val="18"/>
          <w:color w:val="auto"/>
        </w:rPr>
      </w:pPr>
      <w:r>
        <w:rPr>
          <w:rFonts w:ascii="Arial" w:cs="Arial" w:eastAsia="Arial" w:hAnsi="Arial"/>
          <w:sz w:val="18"/>
          <w:szCs w:val="18"/>
          <w:color w:val="auto"/>
        </w:rPr>
        <w:t>(I) reorganize, recapitalize or reclassify the common stock, (II) effect or consummate a stock combination, reverse stock split or other similar transaction involving the common stock or (III) 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shareholder approval thereof, or the intention of the Company to seek board or shareholder approval of any stock combination, reverse stock split or other similar transaction involving the common stock), or</w:t>
      </w:r>
    </w:p>
    <w:p>
      <w:pPr>
        <w:spacing w:after="0" w:line="85" w:lineRule="exact"/>
        <w:rPr>
          <w:rFonts w:ascii="Arial" w:cs="Arial" w:eastAsia="Arial" w:hAnsi="Arial"/>
          <w:sz w:val="18"/>
          <w:szCs w:val="18"/>
          <w:color w:val="auto"/>
        </w:rPr>
      </w:pPr>
    </w:p>
    <w:p>
      <w:pPr>
        <w:ind w:left="460" w:right="140" w:firstLine="4"/>
        <w:spacing w:after="0" w:line="264" w:lineRule="auto"/>
        <w:tabs>
          <w:tab w:leader="none" w:pos="72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Assuming a Fundamental Transaction occurs we estimate, using the Black Scholes value method required by the terms of the warrants and assuming all warrant holders exercise their rights to require us to purchase their warrants, the aggregate amount we would be obligated to pay would be approximately $29 million.</w:t>
      </w:r>
    </w:p>
    <w:p>
      <w:pPr>
        <w:spacing w:after="0" w:line="87" w:lineRule="exact"/>
        <w:rPr>
          <w:sz w:val="20"/>
          <w:szCs w:val="20"/>
          <w:color w:val="auto"/>
        </w:rPr>
      </w:pPr>
    </w:p>
    <w:p>
      <w:pPr>
        <w:ind w:left="900" w:right="3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Variable Rate Transaction Prohibition</w:t>
      </w:r>
      <w:r>
        <w:rPr>
          <w:rFonts w:ascii="Arial" w:cs="Arial" w:eastAsia="Arial" w:hAnsi="Arial"/>
          <w:sz w:val="18"/>
          <w:szCs w:val="18"/>
          <w:color w:val="auto"/>
        </w:rPr>
        <w:t>. During the two year period commencing on the closing date under both the January 2015 and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Financings (dated January 12, 2015 and March 9, 2015, respectively),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6" w:name="page17"/>
    <w:bookmarkEnd w:id="16"/>
    <w:p>
      <w:pPr>
        <w:ind w:left="46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each subsidiary are prohibited from entering into an agreement related to any subsequent issuance of securities involving a Variable Rate Transaction. A </w:t>
      </w:r>
      <w:r>
        <w:rPr>
          <w:rFonts w:ascii="Arial" w:cs="Arial" w:eastAsia="Arial" w:hAnsi="Arial"/>
          <w:sz w:val="18"/>
          <w:szCs w:val="18"/>
          <w:b w:val="1"/>
          <w:bCs w:val="1"/>
          <w:color w:val="auto"/>
        </w:rPr>
        <w:t>Variable Rate Transaction</w:t>
      </w:r>
      <w:r>
        <w:rPr>
          <w:rFonts w:ascii="Arial" w:cs="Arial" w:eastAsia="Arial" w:hAnsi="Arial"/>
          <w:sz w:val="18"/>
          <w:szCs w:val="18"/>
          <w:color w:val="auto"/>
        </w:rPr>
        <w:t xml:space="preserve"> means: a transaction in which the Company or any subsidiary:</w:t>
      </w:r>
    </w:p>
    <w:p>
      <w:pPr>
        <w:spacing w:after="0" w:line="62" w:lineRule="exact"/>
        <w:rPr>
          <w:sz w:val="20"/>
          <w:szCs w:val="20"/>
          <w:color w:val="auto"/>
        </w:rPr>
      </w:pPr>
    </w:p>
    <w:p>
      <w:pPr>
        <w:ind w:left="220" w:hanging="216"/>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or sells any securities convertible into shares of Common Stock either</w:t>
      </w:r>
    </w:p>
    <w:p>
      <w:pPr>
        <w:spacing w:after="0" w:line="117" w:lineRule="exact"/>
        <w:rPr>
          <w:rFonts w:ascii="Arial" w:cs="Arial" w:eastAsia="Arial" w:hAnsi="Arial"/>
          <w:sz w:val="18"/>
          <w:szCs w:val="18"/>
          <w:color w:val="auto"/>
        </w:rPr>
      </w:pPr>
    </w:p>
    <w:p>
      <w:pPr>
        <w:ind w:right="400" w:firstLine="443"/>
        <w:spacing w:after="0" w:line="277" w:lineRule="auto"/>
        <w:tabs>
          <w:tab w:leader="none" w:pos="733" w:val="left"/>
        </w:tabs>
        <w:numPr>
          <w:ilvl w:val="2"/>
          <w:numId w:val="11"/>
        </w:numPr>
        <w:rPr>
          <w:rFonts w:ascii="Arial" w:cs="Arial" w:eastAsia="Arial" w:hAnsi="Arial"/>
          <w:sz w:val="18"/>
          <w:szCs w:val="18"/>
          <w:color w:val="auto"/>
        </w:rPr>
      </w:pPr>
      <w:r>
        <w:rPr>
          <w:rFonts w:ascii="Arial" w:cs="Arial" w:eastAsia="Arial" w:hAnsi="Arial"/>
          <w:sz w:val="18"/>
          <w:szCs w:val="18"/>
          <w:color w:val="auto"/>
        </w:rPr>
        <w:t>at a conversion, exercise or exchange rate or other price that is based upon and/or varies with the trading prices of, or quotations for, the shares of Common Stock at any time after the initial issuance of such convertible securities, or</w:t>
      </w:r>
    </w:p>
    <w:p>
      <w:pPr>
        <w:spacing w:after="0" w:line="62" w:lineRule="exact"/>
        <w:rPr>
          <w:rFonts w:ascii="Arial" w:cs="Arial" w:eastAsia="Arial" w:hAnsi="Arial"/>
          <w:sz w:val="18"/>
          <w:szCs w:val="18"/>
          <w:color w:val="auto"/>
        </w:rPr>
      </w:pPr>
    </w:p>
    <w:p>
      <w:pPr>
        <w:ind w:right="260" w:firstLine="443"/>
        <w:spacing w:after="0" w:line="264" w:lineRule="auto"/>
        <w:tabs>
          <w:tab w:leader="none" w:pos="723" w:val="left"/>
        </w:tabs>
        <w:numPr>
          <w:ilvl w:val="2"/>
          <w:numId w:val="11"/>
        </w:numPr>
        <w:rPr>
          <w:rFonts w:ascii="Arial" w:cs="Arial" w:eastAsia="Arial" w:hAnsi="Arial"/>
          <w:sz w:val="18"/>
          <w:szCs w:val="18"/>
          <w:color w:val="auto"/>
        </w:rPr>
      </w:pPr>
      <w:r>
        <w:rPr>
          <w:rFonts w:ascii="Arial" w:cs="Arial" w:eastAsia="Arial" w:hAnsi="Arial"/>
          <w:sz w:val="18"/>
          <w:szCs w:val="18"/>
          <w:color w:val="auto"/>
        </w:rPr>
        <w:t>with a conversion, exercise or exchange price that is subject to being reset at some future date after the initial issuance of such convertible securities or upon the occurrence of specified contingent events directly or indirectly related to the business of the Company or the market for the Common Stock, other than pursuant to a customary “weighted average” anti-dilution provision or</w:t>
      </w:r>
    </w:p>
    <w:p>
      <w:pPr>
        <w:spacing w:after="0" w:line="73" w:lineRule="exact"/>
        <w:rPr>
          <w:rFonts w:ascii="Arial" w:cs="Arial" w:eastAsia="Arial" w:hAnsi="Arial"/>
          <w:sz w:val="18"/>
          <w:szCs w:val="18"/>
          <w:color w:val="auto"/>
        </w:rPr>
      </w:pPr>
    </w:p>
    <w:p>
      <w:pPr>
        <w:ind w:right="220" w:firstLine="4"/>
        <w:spacing w:after="0" w:line="277"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enters into any agreement (including, without limitation, an equity line of credit) whereby the Company or any subsidiary may sell securities at a future determined price (other than standard and customary “preemptive” or “participation” rights).</w:t>
      </w:r>
    </w:p>
    <w:p>
      <w:pPr>
        <w:spacing w:after="0" w:line="75" w:lineRule="exact"/>
        <w:rPr>
          <w:rFonts w:ascii="Arial" w:cs="Arial" w:eastAsia="Arial" w:hAnsi="Arial"/>
          <w:sz w:val="18"/>
          <w:szCs w:val="18"/>
          <w:color w:val="auto"/>
        </w:rPr>
      </w:pPr>
    </w:p>
    <w:p>
      <w:pPr>
        <w:ind w:left="440" w:right="160" w:hanging="325"/>
        <w:spacing w:after="0" w:line="286" w:lineRule="auto"/>
        <w:tabs>
          <w:tab w:leader="none" w:pos="440"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Timely Deliver Securities. </w:t>
      </w:r>
      <w:r>
        <w:rPr>
          <w:rFonts w:ascii="Arial" w:cs="Arial" w:eastAsia="Arial" w:hAnsi="Arial"/>
          <w:sz w:val="16"/>
          <w:szCs w:val="16"/>
          <w:color w:val="auto"/>
        </w:rPr>
        <w:t>If we fail, to issue to a warrant holder within three (3) trading days after receipt of the applicable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a certificate for the number of shares of our common stock to which the warrant holder is entitled upon the holder’s exercise of the warrant, then, in addition to all other remedies available to the warrant holder, we shall pay in cash to the holder on each trading day after such third (3rd) trading day that the issuance of such shares of our common stock is not timely effected an amount equal to 1% of the product of</w:t>
      </w:r>
    </w:p>
    <w:p>
      <w:pPr>
        <w:spacing w:after="0" w:line="1" w:lineRule="exact"/>
        <w:rPr>
          <w:rFonts w:ascii="Arial" w:cs="Arial" w:eastAsia="Arial" w:hAnsi="Arial"/>
          <w:sz w:val="16"/>
          <w:szCs w:val="16"/>
          <w:color w:val="auto"/>
        </w:rPr>
      </w:pPr>
    </w:p>
    <w:p>
      <w:pPr>
        <w:ind w:left="440" w:hanging="1"/>
        <w:spacing w:after="0" w:line="284" w:lineRule="auto"/>
        <w:tabs>
          <w:tab w:leader="none" w:pos="735"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aggregate number of shares of our common stock not issued to the warrant holder on a timely basis and to which the warrant holder is entitled and (B) the closing sale price of our common stock on the trading day immediately preceding the last possible date on which we could have issued such shares of our common stock to the warrant holder without violating the exercise provision of the warrant. In addition, if within three (3) trading days after our receipt of the applicable exercise notice, we shall fail to issue and deliver a certificate to the warrant holder without restrictive legend to which the holder is entitled upon the holder’s exercise, and (Y) on or after such third (3rd ) trading day the warrant holder purchases (in an open market transaction or otherwise) shares of our common stock to deliver in satisfaction of a sale by the warrant holder of all or any portion of the number of shares of our common stock, or a sale of a number of shares of our common stock equal to all or any portion of the number of shares of our common stock, issuable upon such exercise that the warrant holder so anticipated receiving from us, then, in addition to all other remedies available to the warrant holder, we shall within three (3) business days after the holder’s request and in the holder’s discretion, either (i) pay cash to the warrant holder in an amount equal to the warrant holder’s total purchase price (including brokerage commissions and reasonable out-of-pocket expenses, if any) for the shares of our common stock so purchased (the “Buy-In Price”), at which point our obligation to so issue and deliver such certificate or credit the warrant holder’s balance account with DTC for the number of shares of our common stock to which the warrant holder is entitled upon the holder’s exercise hereunder (as the case may be) (and to issue such shares of our common stock) shall terminate, or (ii) promptly honor our obligation to so issue and deliver to the warrant holder a certificate or certificates representing such shares of our common stock or credit the holder’s balance account with DTC for the number of shares of common stock to which the holder is entitled upon the warrant holder’s exercise and pay cash to the holder in an amount equal to the excess (if any) of the Buy-In Price over the product of (A) such number of shares of common stock multiplied by (B) “B” as set out in the formula above.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7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to Three Months Ended March 31, 2015</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recorded a net loss of $4,750,000 or ($0.07) per share during the three months ended March 31, 2016 compared to $701,000 or ($0.03) per share for the three months ended March 31, 2015.</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Operating costs increased to $1,754,000 during the three months ended March 31, 2016 compared to $1,028,000 in the prior period. Significant changes in operating expenses are outlined as follows:</w:t>
      </w:r>
    </w:p>
    <w:p>
      <w:pPr>
        <w:spacing w:after="0" w:line="76" w:lineRule="exact"/>
        <w:rPr>
          <w:sz w:val="20"/>
          <w:szCs w:val="20"/>
          <w:color w:val="auto"/>
        </w:rPr>
      </w:pPr>
    </w:p>
    <w:p>
      <w:pPr>
        <w:ind w:left="900" w:right="80" w:hanging="325"/>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General and administrative expenses increased to $768,000 during the three months ended March 31, 2016 from $419,000 during the prior period. The increase was primarily due to non-cash consulting and compensation expenses paid as stock-based compensation of $214,000 during the three months ended March 31, 2016 from $4,000 during the prior period. The increase in non-cash consulting and compensation expenses from the prior year was due to the Company expensing the increased vesting options in the current period.</w:t>
      </w:r>
    </w:p>
    <w:p>
      <w:pPr>
        <w:spacing w:after="0" w:line="76" w:lineRule="exact"/>
        <w:rPr>
          <w:rFonts w:ascii="Arial" w:cs="Arial" w:eastAsia="Arial" w:hAnsi="Arial"/>
          <w:sz w:val="17"/>
          <w:szCs w:val="17"/>
          <w:color w:val="auto"/>
        </w:rPr>
      </w:pPr>
    </w:p>
    <w:p>
      <w:pPr>
        <w:ind w:left="900" w:right="26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Research and development costs during the three months ended March 31, 2016 were $986,000 compared to $609,000 during the prior period. The increase was primarily due to the Company expensing the Mayo Foundation upfront license fee payments in the current period.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70,593,236 for the three months ended March 31, 2016 compared to 27,611,255 for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March 31, 2016 and December 31,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March 31, 2016</w:t>
            </w: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reserves</w:t>
            </w:r>
          </w:p>
        </w:tc>
        <w:tc>
          <w:tcPr>
            <w:tcW w:w="2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(25,705,000)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(21,360,000)</w:t>
            </w:r>
          </w:p>
        </w:tc>
      </w:tr>
    </w:tbl>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Subject to the availability of additional financing, we intend to spend approximately $7,500,000 over the next twelve months in carrying out our plan of operations. At March 31, 2016, we had $5,722,000 of cash on hand and a working capital deficit of $25,705,000. 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2016 was $830,000 compared to $1,014,000 during the prior period. We had no revenues during the current or prior periods. Operating expenditures, excluding non-cash interest and stock-based charges during the current period primarily consisted of consulting and compensation expense, office and general expenditures, and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cash used by financing activities during the three months ended March 31, 2016 was $25,000 compared to net cash provided by financing activities of $2,326,000 during the prior period. In the current period we repaid a promissory note while prior period financing relates to proceeds from private placements.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2016, we anticipate that we will need significant financing to enable us to meet our anticipated expenditures for the next twelve months, which are expected to be in the range of $7,500,000 for the funding of multiple small Phase 2 clinical trials. We believe that this will be achieved through the exercise of warrants from our January and March Financings in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of our financing activities for the periods reflected in this report are provided below: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2014 Financing. </w:t>
      </w:r>
      <w:r>
        <w:rPr>
          <w:rFonts w:ascii="Arial" w:cs="Arial" w:eastAsia="Arial" w:hAnsi="Arial"/>
          <w:sz w:val="17"/>
          <w:szCs w:val="17"/>
          <w:color w:val="auto"/>
        </w:rPr>
        <w:t>In fiscal year 2014, we raised $2,097,500 and issued warrants to acquire an aggregate of up to 2,151,792 shares of common stock.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8" w:name="page19"/>
    <w:bookmarkEnd w:id="18"/>
    <w:p>
      <w:pPr>
        <w:ind w:right="40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2015 Financings. </w:t>
      </w:r>
      <w:r>
        <w:rPr>
          <w:rFonts w:ascii="Arial" w:cs="Arial" w:eastAsia="Arial" w:hAnsi="Arial"/>
          <w:sz w:val="18"/>
          <w:szCs w:val="18"/>
          <w:color w:val="auto"/>
        </w:rPr>
        <w:t>In the first quarter of fiscal year 2015, we raised $2,200,000 and issued warrants to acquire an aggregate of up to 61,600,000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the warrants we issued pursuant to the restructuring of the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Between June 16, 2015 and December 9, 2015, 37,080,000 shares were issued upon exercise of certain warrants we issued in connection with our 2015 financings, providing $9.22 million in proceeds. The following table reflects the remaining outstanding warrants from the August 2014, January and March 2015 Financings (including placement agent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1440" w:type="dxa"/>
            <w:vAlign w:val="bottom"/>
            <w:vMerge w:val="restart"/>
          </w:tcPr>
          <w:p>
            <w:pPr>
              <w:spacing w:after="0"/>
              <w:rPr>
                <w:sz w:val="14"/>
                <w:szCs w:val="14"/>
                <w:color w:val="auto"/>
              </w:rPr>
            </w:pPr>
          </w:p>
        </w:tc>
        <w:tc>
          <w:tcPr>
            <w:tcW w:w="18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6"/>
              </w:rPr>
              <w:t>Outstanding</w:t>
            </w:r>
          </w:p>
        </w:tc>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598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800" w:type="dxa"/>
            <w:vAlign w:val="bottom"/>
            <w:gridSpan w:val="2"/>
          </w:tcPr>
          <w:p>
            <w:pPr>
              <w:jc w:val="right"/>
              <w:ind w:right="1080"/>
              <w:spacing w:after="0" w:line="158" w:lineRule="exact"/>
              <w:rPr>
                <w:sz w:val="20"/>
                <w:szCs w:val="20"/>
                <w:color w:val="auto"/>
              </w:rPr>
            </w:pPr>
            <w:r>
              <w:rPr>
                <w:rFonts w:ascii="Arial" w:cs="Arial" w:eastAsia="Arial" w:hAnsi="Arial"/>
                <w:sz w:val="14"/>
                <w:szCs w:val="14"/>
                <w:b w:val="1"/>
                <w:bCs w:val="1"/>
                <w:color w:val="auto"/>
              </w:rPr>
              <w:t>Warrants</w:t>
            </w:r>
          </w:p>
        </w:tc>
        <w:tc>
          <w:tcPr>
            <w:tcW w:w="1820" w:type="dxa"/>
            <w:vAlign w:val="bottom"/>
            <w:gridSpan w:val="3"/>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2,573,200</w:t>
            </w:r>
          </w:p>
        </w:tc>
        <w:tc>
          <w:tcPr>
            <w:tcW w:w="9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0.10</w:t>
            </w:r>
          </w:p>
        </w:tc>
        <w:tc>
          <w:tcPr>
            <w:tcW w:w="94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C</w:t>
            </w: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w w:val="93"/>
              </w:rPr>
              <w:t>12,093,200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0.50</w:t>
            </w:r>
          </w:p>
        </w:tc>
        <w:tc>
          <w:tcPr>
            <w:tcW w:w="5980" w:type="dxa"/>
            <w:vAlign w:val="bottom"/>
          </w:tcPr>
          <w:p>
            <w:pPr>
              <w:spacing w:after="0"/>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7,320,000</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0.75</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Between 07/16/2020 and 08/13/2020 and 08/19/2020 and 09/09/2020</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E</w:t>
            </w:r>
          </w:p>
        </w:tc>
        <w:tc>
          <w:tcPr>
            <w:tcW w:w="860" w:type="dxa"/>
            <w:vAlign w:val="bottom"/>
          </w:tcPr>
          <w:p>
            <w:pPr>
              <w:jc w:val="right"/>
              <w:spacing w:after="0"/>
              <w:rPr>
                <w:sz w:val="20"/>
                <w:szCs w:val="20"/>
                <w:color w:val="auto"/>
              </w:rPr>
            </w:pPr>
            <w:r>
              <w:rPr>
                <w:rFonts w:ascii="Arial" w:cs="Arial" w:eastAsia="Arial" w:hAnsi="Arial"/>
                <w:sz w:val="18"/>
                <w:szCs w:val="18"/>
                <w:color w:val="auto"/>
              </w:rPr>
              <w:t>7,393,200</w:t>
            </w:r>
          </w:p>
        </w:tc>
        <w:tc>
          <w:tcPr>
            <w:tcW w:w="9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1.25</w:t>
            </w:r>
          </w:p>
        </w:tc>
        <w:tc>
          <w:tcPr>
            <w:tcW w:w="5980" w:type="dxa"/>
            <w:vAlign w:val="bottom"/>
          </w:tcPr>
          <w:p>
            <w:pPr>
              <w:spacing w:after="0"/>
              <w:rPr>
                <w:sz w:val="20"/>
                <w:szCs w:val="20"/>
                <w:color w:val="auto"/>
              </w:rPr>
            </w:pPr>
            <w:r>
              <w:rPr>
                <w:rFonts w:ascii="Arial" w:cs="Arial" w:eastAsia="Arial" w:hAnsi="Arial"/>
                <w:sz w:val="18"/>
                <w:szCs w:val="18"/>
                <w:color w:val="auto"/>
              </w:rPr>
              <w:t>Between 10/01/2020 and 11/12/2020 and 11/30/2020 and 12/09/2020</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0.10</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C-1</w:t>
            </w:r>
          </w:p>
        </w:tc>
        <w:tc>
          <w:tcPr>
            <w:tcW w:w="860" w:type="dxa"/>
            <w:vAlign w:val="bottom"/>
          </w:tcPr>
          <w:p>
            <w:pPr>
              <w:jc w:val="right"/>
              <w:spacing w:after="0"/>
              <w:rPr>
                <w:sz w:val="20"/>
                <w:szCs w:val="20"/>
                <w:color w:val="auto"/>
              </w:rPr>
            </w:pPr>
            <w:r>
              <w:rPr>
                <w:rFonts w:ascii="Arial" w:cs="Arial" w:eastAsia="Arial" w:hAnsi="Arial"/>
                <w:sz w:val="18"/>
                <w:szCs w:val="18"/>
                <w:color w:val="auto"/>
              </w:rPr>
              <w:t>5,025,000</w:t>
            </w:r>
          </w:p>
        </w:tc>
        <w:tc>
          <w:tcPr>
            <w:tcW w:w="9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0.50</w:t>
            </w:r>
          </w:p>
        </w:tc>
        <w:tc>
          <w:tcPr>
            <w:tcW w:w="5980" w:type="dxa"/>
            <w:vAlign w:val="bottom"/>
          </w:tcPr>
          <w:p>
            <w:pPr>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0.75</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Between 08/19/2020 and 09/09/2020</w:t>
            </w: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E-1</w:t>
            </w:r>
          </w:p>
        </w:tc>
        <w:tc>
          <w:tcPr>
            <w:tcW w:w="860" w:type="dxa"/>
            <w:vAlign w:val="bottom"/>
          </w:tcPr>
          <w:p>
            <w:pPr>
              <w:jc w:val="right"/>
              <w:spacing w:after="0"/>
              <w:rPr>
                <w:sz w:val="20"/>
                <w:szCs w:val="20"/>
                <w:color w:val="auto"/>
              </w:rPr>
            </w:pPr>
            <w:r>
              <w:rPr>
                <w:rFonts w:ascii="Arial" w:cs="Arial" w:eastAsia="Arial" w:hAnsi="Arial"/>
                <w:sz w:val="18"/>
                <w:szCs w:val="18"/>
                <w:color w:val="auto"/>
              </w:rPr>
              <w:t>5,025,000</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1.25</w:t>
            </w:r>
          </w:p>
        </w:tc>
        <w:tc>
          <w:tcPr>
            <w:tcW w:w="5980" w:type="dxa"/>
            <w:vAlign w:val="bottom"/>
          </w:tcPr>
          <w:p>
            <w:pPr>
              <w:spacing w:after="0"/>
              <w:rPr>
                <w:sz w:val="20"/>
                <w:szCs w:val="20"/>
                <w:color w:val="auto"/>
              </w:rPr>
            </w:pPr>
            <w:r>
              <w:rPr>
                <w:rFonts w:ascii="Arial" w:cs="Arial" w:eastAsia="Arial" w:hAnsi="Arial"/>
                <w:sz w:val="18"/>
                <w:szCs w:val="18"/>
                <w:color w:val="auto"/>
              </w:rPr>
              <w:t>06/16/2020</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capital requirements for 2016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will require substantial funds to conduct research and development and nonclinical and Phase</w:t>
      </w:r>
    </w:p>
    <w:p>
      <w:pPr>
        <w:spacing w:after="0" w:line="2" w:lineRule="exact"/>
        <w:rPr>
          <w:sz w:val="20"/>
          <w:szCs w:val="20"/>
          <w:color w:val="auto"/>
        </w:rPr>
      </w:pPr>
    </w:p>
    <w:p>
      <w:pPr>
        <w:jc w:val="both"/>
        <w:ind w:right="260" w:firstLine="8"/>
        <w:spacing w:after="0" w:line="277" w:lineRule="auto"/>
        <w:tabs>
          <w:tab w:leader="none" w:pos="1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current available cash and cash equivalents are insufficient to satisfy our liquidity requirements. We believe our existing cash and cash equivalents will allow us to fund our operating plan through the end of 2016. 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2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30" w:lineRule="exact"/>
        <w:rPr>
          <w:rFonts w:ascii="Arial" w:cs="Arial" w:eastAsia="Arial" w:hAnsi="Arial"/>
          <w:sz w:val="18"/>
          <w:szCs w:val="18"/>
          <w:color w:val="auto"/>
        </w:rPr>
      </w:pPr>
    </w:p>
    <w:p>
      <w:pPr>
        <w:ind w:left="900" w:right="48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timing, receipt and amount of sales of, or royalties on, our future products, if any.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2016 that have materially affected, or are reasonably likely to materially affect, our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is not aware of any material legal proceedings and there are no pending material procedures that would affect the property of the Company. Management is not aware of any legal proceedings and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35" w:lineRule="exact"/>
        <w:rPr>
          <w:sz w:val="20"/>
          <w:szCs w:val="20"/>
          <w:color w:val="auto"/>
        </w:rPr>
      </w:pPr>
    </w:p>
    <w:p>
      <w:pPr>
        <w:ind w:left="460" w:right="54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issued the following 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February 2, 2016 the Company issued 150,000 shares to Caro Capital, LLC pursuant to an investor relations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1, 2016 the Company issued 100,000 shares to Proactive Capital Resource Group, LLC, pursuant to an investor relations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March 9, 2016 the Company issued 25,000 shares to Financial Insights, pursuant to a financial consulting agreement.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March 11, 2016 the Company issued 315,000 shares to Glynn Wilson, Ph.D., pursuant to an equity award under the Company’s incentive plan and approved by the Board.</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270" w:right="379" w:bottom="1440" w:gutter="0" w:footer="0" w:header="0"/>
        </w:sectPr>
      </w:pPr>
    </w:p>
    <w:bookmarkStart w:id="22" w:name="page23"/>
    <w:bookmarkEnd w:id="22"/>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u w:val="single" w:color="auto"/>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16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10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303"/>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1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Rule 13a-14(a) or 15d-14(a)</w:t>
            </w:r>
          </w:p>
        </w:tc>
      </w:tr>
      <w:tr>
        <w:trPr>
          <w:trHeight w:val="230"/>
        </w:trPr>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of the Securities Exchange Act of 1933, as amended.</w:t>
            </w:r>
          </w:p>
        </w:tc>
      </w:tr>
      <w:tr>
        <w:trPr>
          <w:trHeight w:val="3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16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Certification of Principal Executive Officer and Acting Principal Accounting Officer pursuant to 18 U.S.C. 1350 as adopted</w:t>
            </w:r>
          </w:p>
        </w:tc>
      </w:tr>
      <w:tr>
        <w:trPr>
          <w:trHeight w:val="230"/>
        </w:trPr>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270" w:right="43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Chief Executive Officer, Principal</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Executive Officer and Chief Financial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May 16, 2016</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240" w:top="270" w:right="7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2016 of TapImmune Inc.;</w:t>
      </w:r>
    </w:p>
    <w:p>
      <w:pPr>
        <w:spacing w:after="0" w:line="130" w:lineRule="exact"/>
        <w:rPr>
          <w:rFonts w:ascii="Arial" w:cs="Arial" w:eastAsia="Arial" w:hAnsi="Arial"/>
          <w:sz w:val="18"/>
          <w:szCs w:val="18"/>
          <w:color w:val="auto"/>
        </w:rPr>
      </w:pPr>
    </w:p>
    <w:p>
      <w:pPr>
        <w:ind w:left="460" w:right="4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4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Chief Executive Officer, Principal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Executive Officer and Acting Principal Accounting</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the Report on Form 10-Q of TapImmune Inc., for the quarterly period ended March 31, 2016,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2016</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 and Acting Principal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Roman"/>
      <w:start w:val="6"/>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Roman"/>
      <w:start w:val="1"/>
    </w:lvl>
    <w:lvl w:ilvl="1">
      <w:lvlJc w:val="left"/>
      <w:lvlText w:val="•"/>
      <w:numFmt w:val="bullet"/>
      <w:start w:val="1"/>
    </w:lvl>
    <w:lvl w:ilvl="2">
      <w:lvlJc w:val="left"/>
      <w:lvlText w:val="(%3)"/>
      <w:numFmt w:val="lowerLetter"/>
      <w:start w:val="26"/>
    </w:lvl>
    <w:lvl w:ilvl="3">
      <w:lvlJc w:val="left"/>
      <w:lvlText w:val="%4"/>
      <w:numFmt w:val="decimal"/>
      <w:start w:val="1"/>
    </w:lvl>
  </w:abstractNum>
  <w:abstractNum w:abstractNumId="8">
    <w:nsid w:val="3352255A"/>
    <w:multiLevelType w:val="hybridMultilevel"/>
    <w:lvl w:ilvl="0">
      <w:lvlJc w:val="left"/>
      <w:lvlText w:val="(%1)"/>
      <w:numFmt w:val="lowerRoman"/>
      <w:start w:val="1"/>
    </w:lvl>
    <w:lvl w:ilvl="1">
      <w:lvlJc w:val="left"/>
      <w:lvlText w:val="•"/>
      <w:numFmt w:val="bullet"/>
      <w:start w:val="1"/>
    </w:lvl>
    <w:lvl w:ilvl="2">
      <w:lvlJc w:val="left"/>
      <w:lvlText w:val="%3"/>
      <w:numFmt w:val="lowerLetter"/>
      <w:start w:val="1"/>
    </w:lvl>
    <w:lvl w:ilvl="3">
      <w:lvlJc w:val="left"/>
      <w:lvlText w:val="(%4)"/>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1"/>
    </w:lvl>
    <w:lvl w:ilvl="1">
      <w:lvlJc w:val="left"/>
      <w:lvlText w:val="•"/>
      <w:numFmt w:val="bullet"/>
      <w:start w:val="1"/>
    </w:lvl>
    <w:lvl w:ilvl="2">
      <w:lvlJc w:val="left"/>
      <w:lvlText w:val="(%3)"/>
      <w:numFmt w:val="upp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upperLetter"/>
      <w:start w:val="35"/>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2020-01-20T12:38:03Z</dcterms:created>
  <dcterms:modified xsi:type="dcterms:W3CDTF">2020-01-20T12:38:03Z</dcterms:modified>
</cp:coreProperties>
</file>