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57055L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 Leen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3200 Southwest Freeway, Suite 2240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400-6400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218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16"/>
        </w:trPr>
        <w:tc>
          <w:tcPr>
            <w:tcW w:w="6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Borders>
              <w:top w:val="single" w:sz="8" w:color="auto"/>
              <w:left w:val="single" w:sz="8" w:color="auto"/>
              <w:bottom w:val="single" w:sz="8" w:color="auto"/>
            </w:tcBorders>
            <w:gridSpan w:val="3"/>
          </w:tcPr>
          <w:p>
            <w:pPr>
              <w:ind w:left="20"/>
              <w:spacing w:after="0" w:line="237" w:lineRule="exact"/>
              <w:rPr>
                <w:sz w:val="20"/>
                <w:szCs w:val="20"/>
                <w:color w:val="auto"/>
              </w:rPr>
            </w:pPr>
            <w:r>
              <w:rPr>
                <w:rFonts w:ascii="Arial" w:cs="Arial" w:eastAsia="Arial" w:hAnsi="Arial"/>
                <w:sz w:val="22"/>
                <w:szCs w:val="22"/>
                <w:b w:val="1"/>
                <w:bCs w:val="1"/>
                <w:color w:val="auto"/>
              </w:rPr>
              <w:t>CUSIP No.</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57055L 107</w:t>
            </w: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Borders>
              <w:left w:val="single" w:sz="8" w:color="auto"/>
            </w:tcBorders>
          </w:tcPr>
          <w:p>
            <w:pPr>
              <w:ind w:left="120"/>
              <w:spacing w:after="0" w:line="222" w:lineRule="exact"/>
              <w:rPr>
                <w:sz w:val="20"/>
                <w:szCs w:val="20"/>
                <w:color w:val="auto"/>
              </w:rPr>
            </w:pPr>
            <w:r>
              <w:rPr>
                <w:rFonts w:ascii="Arial" w:cs="Arial" w:eastAsia="Arial" w:hAnsi="Arial"/>
                <w:sz w:val="22"/>
                <w:szCs w:val="22"/>
                <w:b w:val="1"/>
                <w:bCs w:val="1"/>
                <w:color w:val="auto"/>
              </w:rPr>
              <w:t>1</w:t>
            </w:r>
          </w:p>
        </w:tc>
        <w:tc>
          <w:tcPr>
            <w:tcW w:w="2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70"/>
        </w:trPr>
        <w:tc>
          <w:tcPr>
            <w:tcW w:w="380" w:type="dxa"/>
            <w:vAlign w:val="bottom"/>
            <w:tcBorders>
              <w:left w:val="single" w:sz="8" w:color="auto"/>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Ann Leen</w:t>
            </w:r>
          </w:p>
        </w:tc>
        <w:tc>
          <w:tcPr>
            <w:tcW w:w="780" w:type="dxa"/>
            <w:vAlign w:val="bottom"/>
            <w:tcBorders>
              <w:bottom w:val="single" w:sz="8" w:color="auto"/>
            </w:tcBorders>
          </w:tcPr>
          <w:p>
            <w:pPr>
              <w:spacing w:after="0"/>
              <w:rPr>
                <w:sz w:val="23"/>
                <w:szCs w:val="23"/>
                <w:color w:val="auto"/>
              </w:rPr>
            </w:pPr>
          </w:p>
        </w:tc>
        <w:tc>
          <w:tcPr>
            <w:tcW w:w="85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0" w:type="dxa"/>
            <w:vAlign w:val="bottom"/>
            <w:tcBorders>
              <w:left w:val="single" w:sz="8" w:color="auto"/>
            </w:tcBorders>
          </w:tcPr>
          <w:p>
            <w:pPr>
              <w:ind w:left="120"/>
              <w:spacing w:after="0" w:line="209" w:lineRule="exact"/>
              <w:rPr>
                <w:sz w:val="20"/>
                <w:szCs w:val="20"/>
                <w:color w:val="auto"/>
              </w:rPr>
            </w:pPr>
            <w:r>
              <w:rPr>
                <w:rFonts w:ascii="Arial" w:cs="Arial" w:eastAsia="Arial" w:hAnsi="Arial"/>
                <w:sz w:val="22"/>
                <w:szCs w:val="22"/>
                <w:b w:val="1"/>
                <w:bCs w:val="1"/>
                <w:color w:val="auto"/>
              </w:rPr>
              <w:t>2</w:t>
            </w:r>
          </w:p>
        </w:tc>
        <w:tc>
          <w:tcPr>
            <w:tcW w:w="220" w:type="dxa"/>
            <w:vAlign w:val="bottom"/>
            <w:tcBorders>
              <w:right w:val="single" w:sz="8" w:color="auto"/>
            </w:tcBorders>
          </w:tcPr>
          <w:p>
            <w:pPr>
              <w:spacing w:after="0"/>
              <w:rPr>
                <w:sz w:val="18"/>
                <w:szCs w:val="18"/>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00" w:type="dxa"/>
            <w:vAlign w:val="bottom"/>
          </w:tcPr>
          <w:p>
            <w:pPr>
              <w:ind w:left="420"/>
              <w:spacing w:after="0" w:line="196" w:lineRule="exact"/>
              <w:rPr>
                <w:sz w:val="20"/>
                <w:szCs w:val="20"/>
                <w:color w:val="auto"/>
              </w:rPr>
            </w:pPr>
            <w:r>
              <w:rPr>
                <w:rFonts w:ascii="Arial" w:cs="Arial" w:eastAsia="Arial" w:hAnsi="Arial"/>
                <w:sz w:val="18"/>
                <w:szCs w:val="18"/>
                <w:color w:val="auto"/>
              </w:rPr>
              <w:t>(a)</w:t>
            </w:r>
          </w:p>
        </w:tc>
        <w:tc>
          <w:tcPr>
            <w:tcW w:w="7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(b)</w:t>
            </w:r>
          </w:p>
        </w:tc>
        <w:tc>
          <w:tcPr>
            <w:tcW w:w="78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220" w:type="dxa"/>
            <w:vAlign w:val="bottom"/>
            <w:tcBorders>
              <w:right w:val="single" w:sz="8" w:color="auto"/>
            </w:tcBorders>
          </w:tcPr>
          <w:p>
            <w:pPr>
              <w:spacing w:after="0"/>
              <w:rPr>
                <w:sz w:val="23"/>
                <w:szCs w:val="23"/>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3"/>
                <w:szCs w:val="23"/>
                <w:color w:val="auto"/>
              </w:rPr>
            </w:pPr>
          </w:p>
        </w:tc>
        <w:tc>
          <w:tcPr>
            <w:tcW w:w="8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 w:type="dxa"/>
            <w:vAlign w:val="bottom"/>
            <w:tcBorders>
              <w:left w:val="single" w:sz="8" w:color="auto"/>
            </w:tcBorders>
          </w:tcPr>
          <w:p>
            <w:pPr>
              <w:ind w:left="120"/>
              <w:spacing w:after="0" w:line="244" w:lineRule="exact"/>
              <w:rPr>
                <w:sz w:val="20"/>
                <w:szCs w:val="20"/>
                <w:color w:val="auto"/>
              </w:rPr>
            </w:pPr>
            <w:r>
              <w:rPr>
                <w:rFonts w:ascii="Arial" w:cs="Arial" w:eastAsia="Arial" w:hAnsi="Arial"/>
                <w:sz w:val="22"/>
                <w:szCs w:val="22"/>
                <w:b w:val="1"/>
                <w:bCs w:val="1"/>
                <w:color w:val="auto"/>
              </w:rPr>
              <w:t>5</w:t>
            </w:r>
          </w:p>
        </w:tc>
        <w:tc>
          <w:tcPr>
            <w:tcW w:w="22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6</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Ireland</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Borders>
              <w:left w:val="single" w:sz="8" w:color="auto"/>
            </w:tcBorders>
            <w:gridSpan w:val="3"/>
            <w:vMerge w:val="restart"/>
          </w:tcPr>
          <w:p>
            <w:pPr>
              <w:jc w:val="center"/>
              <w:ind w:left="117"/>
              <w:spacing w:after="0"/>
              <w:rPr>
                <w:sz w:val="20"/>
                <w:szCs w:val="20"/>
                <w:color w:val="auto"/>
              </w:rPr>
            </w:pPr>
            <w:r>
              <w:rPr>
                <w:rFonts w:ascii="Arial" w:cs="Arial" w:eastAsia="Arial" w:hAnsi="Arial"/>
                <w:sz w:val="18"/>
                <w:szCs w:val="18"/>
                <w:color w:val="auto"/>
                <w:w w:val="96"/>
              </w:rPr>
              <w:t>NUMBER OF</w:t>
            </w:r>
          </w:p>
        </w:tc>
        <w:tc>
          <w:tcPr>
            <w:tcW w:w="22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93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7"/>
        </w:trPr>
        <w:tc>
          <w:tcPr>
            <w:tcW w:w="1300" w:type="dxa"/>
            <w:vAlign w:val="bottom"/>
            <w:tcBorders>
              <w:left w:val="single" w:sz="8" w:color="auto"/>
            </w:tcBorders>
            <w:gridSpan w:val="3"/>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3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2,715,842</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1"/>
              </w:rPr>
              <w:t>SHARES</w:t>
            </w:r>
          </w:p>
        </w:tc>
        <w:tc>
          <w:tcPr>
            <w:tcW w:w="220" w:type="dxa"/>
            <w:vAlign w:val="bottom"/>
            <w:tcBorders>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93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18"/>
                <w:szCs w:val="18"/>
                <w:color w:val="auto"/>
              </w:rPr>
            </w:pPr>
          </w:p>
        </w:tc>
        <w:tc>
          <w:tcPr>
            <w:tcW w:w="93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117"/>
              <w:spacing w:after="0"/>
              <w:rPr>
                <w:sz w:val="20"/>
                <w:szCs w:val="20"/>
                <w:color w:val="auto"/>
              </w:rPr>
            </w:pPr>
            <w:r>
              <w:rPr>
                <w:rFonts w:ascii="Arial" w:cs="Arial" w:eastAsia="Arial" w:hAnsi="Arial"/>
                <w:sz w:val="18"/>
                <w:szCs w:val="18"/>
                <w:color w:val="auto"/>
                <w:w w:val="97"/>
              </w:rPr>
              <w:t>OWNED BY</w:t>
            </w:r>
          </w:p>
        </w:tc>
        <w:tc>
          <w:tcPr>
            <w:tcW w:w="2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tcPr>
          <w:p>
            <w:pPr>
              <w:spacing w:after="0"/>
              <w:rPr>
                <w:sz w:val="17"/>
                <w:szCs w:val="17"/>
                <w:color w:val="auto"/>
              </w:rPr>
            </w:pPr>
          </w:p>
        </w:tc>
        <w:tc>
          <w:tcPr>
            <w:tcW w:w="920" w:type="dxa"/>
            <w:vAlign w:val="bottom"/>
            <w:gridSpan w:val="2"/>
          </w:tcPr>
          <w:p>
            <w:pPr>
              <w:jc w:val="center"/>
              <w:ind w:right="70"/>
              <w:spacing w:after="0" w:line="198" w:lineRule="exact"/>
              <w:rPr>
                <w:sz w:val="20"/>
                <w:szCs w:val="20"/>
                <w:color w:val="auto"/>
              </w:rPr>
            </w:pPr>
            <w:r>
              <w:rPr>
                <w:rFonts w:ascii="Arial" w:cs="Arial" w:eastAsia="Arial" w:hAnsi="Arial"/>
                <w:sz w:val="18"/>
                <w:szCs w:val="18"/>
                <w:color w:val="auto"/>
                <w:w w:val="95"/>
              </w:rPr>
              <w:t>EACH</w:t>
            </w:r>
          </w:p>
        </w:tc>
        <w:tc>
          <w:tcPr>
            <w:tcW w:w="2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22"/>
                <w:szCs w:val="22"/>
                <w:b w:val="1"/>
                <w:bCs w:val="1"/>
                <w:color w:val="auto"/>
              </w:rPr>
              <w:t>9</w:t>
            </w:r>
          </w:p>
        </w:tc>
        <w:tc>
          <w:tcPr>
            <w:tcW w:w="9340" w:type="dxa"/>
            <w:vAlign w:val="bottom"/>
            <w:tcBorders>
              <w:right w:val="single" w:sz="8" w:color="auto"/>
            </w:tcBorders>
            <w:gridSpan w:val="2"/>
          </w:tcPr>
          <w:p>
            <w:pPr>
              <w:ind w:left="100"/>
              <w:spacing w:after="0" w:line="19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300" w:type="dxa"/>
            <w:vAlign w:val="bottom"/>
            <w:tcBorders>
              <w:left w:val="single" w:sz="8" w:color="auto"/>
            </w:tcBorders>
            <w:gridSpan w:val="3"/>
          </w:tcPr>
          <w:p>
            <w:pPr>
              <w:jc w:val="center"/>
              <w:ind w:left="117"/>
              <w:spacing w:after="0" w:line="200" w:lineRule="exact"/>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3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2,715,842</w:t>
            </w:r>
          </w:p>
        </w:tc>
        <w:tc>
          <w:tcPr>
            <w:tcW w:w="0" w:type="dxa"/>
            <w:vAlign w:val="bottom"/>
          </w:tcPr>
          <w:p>
            <w:pPr>
              <w:spacing w:after="0"/>
              <w:rPr>
                <w:sz w:val="1"/>
                <w:szCs w:val="1"/>
                <w:color w:val="auto"/>
              </w:rPr>
            </w:pPr>
          </w:p>
        </w:tc>
      </w:tr>
      <w:tr>
        <w:trPr>
          <w:trHeight w:val="109"/>
        </w:trPr>
        <w:tc>
          <w:tcPr>
            <w:tcW w:w="380" w:type="dxa"/>
            <w:vAlign w:val="bottom"/>
            <w:tcBorders>
              <w:left w:val="single" w:sz="8" w:color="auto"/>
            </w:tcBorders>
          </w:tcPr>
          <w:p>
            <w:pPr>
              <w:spacing w:after="0"/>
              <w:rPr>
                <w:sz w:val="9"/>
                <w:szCs w:val="9"/>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9"/>
              </w:rPr>
              <w:t>PERSON</w:t>
            </w:r>
          </w:p>
        </w:tc>
        <w:tc>
          <w:tcPr>
            <w:tcW w:w="22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34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0" w:type="dxa"/>
            <w:vAlign w:val="bottom"/>
            <w:tcBorders>
              <w:left w:val="single" w:sz="8" w:color="auto"/>
            </w:tcBorders>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10</w:t>
            </w:r>
          </w:p>
        </w:tc>
        <w:tc>
          <w:tcPr>
            <w:tcW w:w="93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920" w:type="dxa"/>
            <w:vAlign w:val="bottom"/>
            <w:gridSpan w:val="2"/>
          </w:tcPr>
          <w:p>
            <w:pPr>
              <w:jc w:val="center"/>
              <w:ind w:right="70"/>
              <w:spacing w:after="0" w:line="189" w:lineRule="exact"/>
              <w:rPr>
                <w:sz w:val="20"/>
                <w:szCs w:val="20"/>
                <w:color w:val="auto"/>
              </w:rPr>
            </w:pPr>
            <w:r>
              <w:rPr>
                <w:rFonts w:ascii="Arial" w:cs="Arial" w:eastAsia="Arial" w:hAnsi="Arial"/>
                <w:sz w:val="18"/>
                <w:szCs w:val="18"/>
                <w:color w:val="auto"/>
              </w:rPr>
              <w:t>WITH</w:t>
            </w:r>
          </w:p>
        </w:tc>
        <w:tc>
          <w:tcPr>
            <w:tcW w:w="2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93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11</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2,715,842</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 w:type="dxa"/>
            <w:vAlign w:val="bottom"/>
            <w:tcBorders>
              <w:left w:val="single" w:sz="8" w:color="auto"/>
            </w:tcBorders>
          </w:tcPr>
          <w:p>
            <w:pPr>
              <w:ind w:left="120"/>
              <w:spacing w:after="0" w:line="244" w:lineRule="exact"/>
              <w:rPr>
                <w:sz w:val="20"/>
                <w:szCs w:val="20"/>
                <w:color w:val="auto"/>
              </w:rPr>
            </w:pPr>
            <w:r>
              <w:rPr>
                <w:rFonts w:ascii="Arial" w:cs="Arial" w:eastAsia="Arial" w:hAnsi="Arial"/>
                <w:sz w:val="22"/>
                <w:szCs w:val="22"/>
                <w:b w:val="1"/>
                <w:bCs w:val="1"/>
                <w:color w:val="auto"/>
                <w:w w:val="97"/>
              </w:rPr>
              <w:t>12</w:t>
            </w:r>
          </w:p>
        </w:tc>
        <w:tc>
          <w:tcPr>
            <w:tcW w:w="22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ind w:left="8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13</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14</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*Includes (i) 1,993,059 shares received by the Reporting Person in connection with the Issuer’s consummation of the merger (the “Merger”) with Marker Cell Therapy, Inc. (“Marker Cell”) on October 17, 2018; and (ii) warrants to acquire 722,783 shares of Issuer’s common stock acquired in the Merger.</w:t>
      </w:r>
    </w:p>
    <w:p>
      <w:pPr>
        <w:spacing w:after="0" w:line="14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**Such percentage was calculated based upon an aggregate of 46,093,478 Issuer shares of common stock outstanding, consisting of (i) 45,370,695 Issuer shares of common stock outstanding as of November 8, 2018 as represented by the Issuer’s Report on Form 10-Q filed with the Securities and Exchange Commission on November 13, 2018, and (ii) 722,783 shares of common stock able to be acquired by the Reporting Person upon exercise of warrants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116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57055L 107</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on Schedule 13D (this “Schedule”) relates to the common stock, par value $0.001 per share (“Common Stock”), of Marker Therapeutics, Inc., a Delaware corporation (the “Issuer”). The principal executive offices of the Issuer are located at 3200 Southwest Freeway, Suite 2240, Houston, Texas.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is being filed by Dr. Ann Leen, an individual.</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Reporting Person’s business address is One Baylor Plaza BCM 210-600D Houston, Texas, 77030.</w:t>
      </w:r>
    </w:p>
    <w:p>
      <w:pPr>
        <w:spacing w:after="0" w:line="225" w:lineRule="exact"/>
        <w:rPr>
          <w:rFonts w:ascii="Arial" w:cs="Arial" w:eastAsia="Arial" w:hAnsi="Arial"/>
          <w:sz w:val="18"/>
          <w:szCs w:val="18"/>
          <w:b w:val="1"/>
          <w:bCs w:val="1"/>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employed by Baylor College of Medicine.</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has not been convicted in a criminal proceeding in the last five years (excluding traffic violations or similar misdemeanors).</w:t>
      </w:r>
    </w:p>
    <w:p>
      <w:pPr>
        <w:spacing w:after="0" w:line="170"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a citizen of Ireland.</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Reporting Person received 1,993,059 shares of Common Stock and 722,783 warrants to acquire shares of Common Stock of the Issuer as consideration pursuant to the consummation of a merger by and between the Issuer and Marker Cell Therapy, Inc. (“Marker Cell”) which the Reporting Person held an interest prior to the merger.</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3 and 6 is hereby incorporated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securities of the Issuer were acquired for investment purposes. The Reporting Person intends to review on a continuing basis the investment in the Issuer. Based on such review, the Reporting Person may acquire, or cause to be disposed, such securities at any time (subject to the Voting and Lock Up Agreement and any applicable Issuer policies) or formulate other purposes, plans or proposals regarding the Issuer or any of its securities, to the extent deemed advisable in light of general investment and trading policies of the Reporting Person, the Issuer’s business, financial condition and operating results, general market and industry conditions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116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57055L 107</w:t>
      </w:r>
    </w:p>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Except as otherwise described in this Schedule 13D, the Reporting Person currently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except as may be required for the Issuer to comply with exchange listing requirements with respect to the number of independent directors; (e) any material change in the present capitalization or dividend policy of the Issuer; (f) any other material change in the Issuer’s business or corporate structure; (g) any changes in the Issuer’s charter or by-laws or other actions which may impede the acquisition or control of the Issuer by any person; (h) causing a class of securities of the Issuer to be delisted from a national securities exchange or cease to be authorized to be quoted in an interdealer quotation system of a registered national securities association; (i) causing a class of equity securities of the Issuer to become eligible for termination of registration pursuant to Section 12(g)(4) of the Securities Exchange Act of 1934; or (j) any action similar to those enumerated above.</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beneficially owns 2,715,842 shares of Common Stock (including 722,783 shares issuable upon the exercise of warrants), which comprises 5.9% of the Common Stock of the Issuer. As of, November 8, 2018, there were 45,370,695 shares of Common Stock of the Issuer issued and outstanding as represented by the Issuer’s Report on Form 10-Q filed with the Securities and Exchange Commission on November 13, 2018.</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the sole power to vote the shares beneficially owned.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transactions have been effected during the past 60 days by the Reporting Person</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Only the Reporting Person has the right to receive or the power to direct the receipt of dividends from, or proceeds from the sale of, the shares of Common Stock reported by this statement.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On October 17, 2018, Issuer completed its business combination with Marker Cell Therapy, Inc., (formerly known as Marker</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Inc., a privately-held Delaware corporation “Marker Cell”), in accordance with the terms of an Agreement and Plan of Merger and Reorganization dated as of May 15, 2018 (the “Merger Agreement”) by and among the Issuer, Timberwolf Merger Sub, Inc., a Delaware corporation and wholly-owned subsidiary of the Issuer (“Merger Sub”), and Marker Cell. On October 17, 2018, pursuant to the Merger Agreement, Merger Sub was merged with and into Marker Cell (the “Merger”), with Marker Cell being the surviving corporation and becoming a wholly-owned subsidiary of the Issuer. At the effective time of the Merger, the former Marker Cell stockholders (inclusive of the Reporting Person) received (i) an aggregate of 13,914,255 shares of the Issuer’s Common Stock which equaled the number of shares of the Issuer’s Common Stock issued and outstanding immediately prior to the effective time of the Merger, and (ii) an aggregate of 5,046,003 warrants which equaled the number of the Issuer’s warrants and stock options issued and outstanding immediately prior to the effective time of the Merger.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Voting and Lock Up Agreement</w:t>
      </w:r>
      <w:r>
        <w:rPr>
          <w:rFonts w:ascii="Arial" w:cs="Arial" w:eastAsia="Arial" w:hAnsi="Arial"/>
          <w:sz w:val="18"/>
          <w:szCs w:val="18"/>
          <w:color w:val="auto"/>
        </w:rPr>
        <w:t>. On May 15, 2018, in connection with the execution of the Merger Agreement, the Reporting Person entered into a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lock up agreement which provided, the Reporting Person would vote in favor of the Merger and would be subject to a voting and lock-up agreement on the transfer of Issuer shares acquired by reason of the Merger for a 180-days after the consummation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116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57055L 107</w:t>
      </w:r>
    </w:p>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In connection with the Merger Agreement, the Issuer entered into a registration rights agreement with the former Marker Cell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inclusive of the Reporting Person, (the “Registration Rights Agreement”). Pursuant to the Registration Rights Agreement, if the Issuer registered any shares of Issuer’s common stock for resale pursuant to the financing transaction which occurred concurrently with the Merger, the former Marker Cell stockholders had the right to include in the registration statement their common stock issued or issuable to such stockholders pursuant to the Merger. Such Registration Statement was field by the Issuer on October 30, 2018 pursuant to Form S-3 and declared effective on November 16, 2018.</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 Agreement (incorporated by reference to Exhibit 2.1 to Current Report on Form 8-K filed by Issuer with the Securities and Exchange Commission on May 15, 2018).</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and Lock Up Agreement (incorporated by reference to Exhibit 2.1 to Current Report on Form 8-K filed by Issuer with the Securities and Exchange Commission on May 15, 2018).</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Registration Rights Agreement (incorporated by reference to Exhibit 2.1 to Current Report on Form 8-K filed by Issuer with the Securities and Exchange Commission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116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57055L 107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Ann Leen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2020-01-09T20:58:54Z</dcterms:created>
  <dcterms:modified xsi:type="dcterms:W3CDTF">2020-01-09T20:58:54Z</dcterms:modified>
</cp:coreProperties>
</file>