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August 16,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8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3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3200 Southwest Freeway</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40" w:type="dxa"/>
            <w:vAlign w:val="bottom"/>
            <w:gridSpan w:val="4"/>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Suite 2500</w:t>
            </w:r>
          </w:p>
        </w:tc>
        <w:tc>
          <w:tcPr>
            <w:tcW w:w="1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8"/>
        </w:trPr>
        <w:tc>
          <w:tcPr>
            <w:tcW w:w="1000" w:type="dxa"/>
            <w:vAlign w:val="bottom"/>
          </w:tcPr>
          <w:p>
            <w:pPr>
              <w:spacing w:after="0"/>
              <w:rPr>
                <w:sz w:val="17"/>
                <w:szCs w:val="17"/>
                <w:color w:val="auto"/>
              </w:rPr>
            </w:pPr>
          </w:p>
        </w:tc>
        <w:tc>
          <w:tcPr>
            <w:tcW w:w="1180" w:type="dxa"/>
            <w:vAlign w:val="bottom"/>
            <w:tcBorders>
              <w:bottom w:val="single" w:sz="8" w:color="auto"/>
            </w:tcBorders>
            <w:gridSpan w:val="3"/>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1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0" w:type="dxa"/>
            <w:vAlign w:val="bottom"/>
            <w:gridSpan w:val="4"/>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auto"/>
              </w:rPr>
              <w:t>77027</w:t>
            </w:r>
          </w:p>
        </w:tc>
        <w:tc>
          <w:tcPr>
            <w:tcW w:w="800" w:type="dxa"/>
            <w:vAlign w:val="bottom"/>
          </w:tcPr>
          <w:p>
            <w:pPr>
              <w:spacing w:after="0"/>
              <w:rPr>
                <w:sz w:val="17"/>
                <w:szCs w:val="17"/>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3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4"/>
        </w:trPr>
        <w:tc>
          <w:tcPr>
            <w:tcW w:w="4700" w:type="dxa"/>
            <w:vAlign w:val="bottom"/>
          </w:tcPr>
          <w:p>
            <w:pPr>
              <w:spacing w:after="0"/>
              <w:rPr>
                <w:sz w:val="24"/>
                <w:szCs w:val="24"/>
                <w:color w:val="auto"/>
              </w:rPr>
            </w:pP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Trading</w:t>
            </w:r>
          </w:p>
        </w:tc>
        <w:tc>
          <w:tcPr>
            <w:tcW w:w="4300" w:type="dxa"/>
            <w:vAlign w:val="bottom"/>
          </w:tcPr>
          <w:p>
            <w:pPr>
              <w:spacing w:after="0"/>
              <w:rPr>
                <w:sz w:val="24"/>
                <w:szCs w:val="24"/>
                <w:color w:val="auto"/>
              </w:rPr>
            </w:pPr>
          </w:p>
        </w:tc>
      </w:tr>
      <w:tr>
        <w:trPr>
          <w:trHeight w:val="234"/>
        </w:trPr>
        <w:tc>
          <w:tcPr>
            <w:tcW w:w="4700" w:type="dxa"/>
            <w:vAlign w:val="bottom"/>
            <w:tcBorders>
              <w:bottom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Symbol(s)</w:t>
            </w:r>
          </w:p>
        </w:tc>
        <w:tc>
          <w:tcPr>
            <w:tcW w:w="43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0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MRKR</w:t>
            </w:r>
          </w:p>
        </w:tc>
        <w:tc>
          <w:tcPr>
            <w:tcW w:w="43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previously reported, on February 16, 2022, 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received a notice from The Nasdaq Stock Market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that the Company was not in compliance with Nasdaq’s Listing Rule 5450(a)(1), as the minimum bid price of the Company’s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 been below $1.00 per share for 30 consecutive business days. The Company was granted 180 calendar days, or until August 15, 2022, to regain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the minimum bid price requirement. On August 16, 2022, Nasdaq approved the Company’s application to transfer to The Nasdaq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effective at the opening of business on August 18, 2022, and notified the Company that it had been granted an additional 180-calendar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period, or until February 13, 2023, to regain compliance with the minimum bid price requirement. As part of the transfer,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provided notice to Nasdaq that it intended to cure the bid price deficiency by effecting a reverse stock split, if necessary, prior to the end of the compliance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The Company’s failure to regain compliance during this period could result in delisting, which the Company could appeal to a Nasdaq hearings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panel.</w:t>
      </w:r>
    </w:p>
    <w:p>
      <w:pPr>
        <w:spacing w:after="0" w:line="207"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Company intends to actively monitor the bid price of its common stock and will consider available options, including a reverse stock split, to regain compliance with the listing requirements. There can be no assurance that the Company will be able to regain compliance with Nasdaq’s Listing Rule 5450(a)(1) or will otherwise be in compliance with other Nasdaq listing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Dated: August 19, 2022</w:t>
            </w: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Peter Hoang</w:t>
            </w:r>
          </w:p>
        </w:tc>
      </w:tr>
      <w:tr>
        <w:trPr>
          <w:trHeight w:val="189"/>
        </w:trPr>
        <w:tc>
          <w:tcPr>
            <w:tcW w:w="37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80" w:type="dxa"/>
            <w:vAlign w:val="bottom"/>
            <w:tcBorders>
              <w:top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Peter Hoang</w:t>
            </w:r>
          </w:p>
        </w:tc>
      </w:tr>
      <w:tr>
        <w:trPr>
          <w:trHeight w:val="236"/>
        </w:trPr>
        <w:tc>
          <w:tcPr>
            <w:tcW w:w="3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2022-08-19T07:32:31Z</dcterms:created>
  <dcterms:modified xsi:type="dcterms:W3CDTF">2022-08-19T07:32:31Z</dcterms:modified>
</cp:coreProperties>
</file>