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13D/A</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9)*</w:t>
      </w:r>
    </w:p>
    <w:p>
      <w:pPr>
        <w:spacing w:after="0" w:line="144"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189" w:lineRule="exact"/>
        <w:rPr>
          <w:sz w:val="24"/>
          <w:szCs w:val="24"/>
          <w:color w:val="auto"/>
        </w:rPr>
      </w:pPr>
    </w:p>
    <w:p>
      <w:pPr>
        <w:ind w:left="5340"/>
        <w:spacing w:after="0"/>
        <w:rPr>
          <w:sz w:val="20"/>
          <w:szCs w:val="20"/>
          <w:color w:val="auto"/>
        </w:rPr>
      </w:pPr>
      <w:r>
        <w:rPr>
          <w:rFonts w:ascii="Arial" w:cs="Arial" w:eastAsia="Arial" w:hAnsi="Arial"/>
          <w:sz w:val="16"/>
          <w:szCs w:val="16"/>
          <w:color w:val="auto"/>
        </w:rPr>
        <w:t>57055L107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ind w:left="5360"/>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ind w:left="1060"/>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8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October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712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740" w:right="320" w:hanging="789"/>
        <w:spacing w:after="0" w:line="235" w:lineRule="auto"/>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740" w:right="2480" w:hanging="789"/>
        <w:spacing w:after="0" w:line="219" w:lineRule="auto"/>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4160" w:hanging="411"/>
        <w:spacing w:after="0" w:line="189" w:lineRule="exact"/>
        <w:tabs>
          <w:tab w:leader="none" w:pos="4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4160" w:hanging="411"/>
        <w:spacing w:after="0" w:line="202" w:lineRule="exact"/>
        <w:tabs>
          <w:tab w:leader="none" w:pos="4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740" w:hanging="789"/>
        <w:spacing w:after="0"/>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740" w:hanging="789"/>
        <w:spacing w:after="0"/>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740" w:right="320" w:hanging="789"/>
        <w:spacing w:after="0" w:line="232" w:lineRule="auto"/>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7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740" w:hanging="789"/>
        <w:spacing w:after="0"/>
        <w:tabs>
          <w:tab w:leader="none" w:pos="3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5120" w:right="4340" w:hanging="238"/>
        <w:spacing w:after="0" w:line="336" w:lineRule="auto"/>
        <w:tabs>
          <w:tab w:leader="none" w:pos="5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5120" w:hanging="238"/>
        <w:spacing w:after="0"/>
        <w:tabs>
          <w:tab w:leader="none" w:pos="51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-130175</wp:posOffset>
            </wp:positionV>
            <wp:extent cx="43395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219"/>
        </w:trPr>
        <w:tc>
          <w:tcPr>
            <w:tcW w:w="4440" w:type="dxa"/>
            <w:vAlign w:val="bottom"/>
          </w:tcPr>
          <w:p>
            <w:pPr>
              <w:jc w:val="center"/>
              <w:ind w:right="130"/>
              <w:spacing w:after="0"/>
              <w:rPr>
                <w:sz w:val="20"/>
                <w:szCs w:val="20"/>
                <w:color w:val="auto"/>
              </w:rPr>
            </w:pPr>
            <w:r>
              <w:rPr>
                <w:rFonts w:ascii="Arial" w:cs="Arial" w:eastAsia="Arial" w:hAnsi="Arial"/>
                <w:sz w:val="18"/>
                <w:szCs w:val="18"/>
                <w:color w:val="auto"/>
                <w:w w:val="99"/>
              </w:rPr>
              <w:t>NUMBER OF SHARES BENEFICIALLY OWNED BY</w:t>
            </w:r>
          </w:p>
        </w:tc>
        <w:tc>
          <w:tcPr>
            <w:tcW w:w="6840" w:type="dxa"/>
            <w:vAlign w:val="bottom"/>
            <w:tcBorders>
              <w:bottom w:val="single" w:sz="8" w:color="auto"/>
            </w:tcBorders>
          </w:tcPr>
          <w:p>
            <w:pPr>
              <w:jc w:val="right"/>
              <w:ind w:right="5330"/>
              <w:spacing w:after="0"/>
              <w:rPr>
                <w:sz w:val="20"/>
                <w:szCs w:val="20"/>
                <w:color w:val="auto"/>
              </w:rPr>
            </w:pPr>
            <w:r>
              <w:rPr>
                <w:rFonts w:ascii="Arial" w:cs="Arial" w:eastAsia="Arial" w:hAnsi="Arial"/>
                <w:sz w:val="18"/>
                <w:szCs w:val="18"/>
                <w:b w:val="1"/>
                <w:bCs w:val="1"/>
                <w:color w:val="auto"/>
              </w:rPr>
              <w:t>5,300,002*</w:t>
            </w:r>
          </w:p>
        </w:tc>
      </w:tr>
      <w:tr>
        <w:trPr>
          <w:trHeight w:val="217"/>
        </w:trPr>
        <w:tc>
          <w:tcPr>
            <w:tcW w:w="4440" w:type="dxa"/>
            <w:vAlign w:val="bottom"/>
          </w:tcPr>
          <w:p>
            <w:pPr>
              <w:jc w:val="center"/>
              <w:ind w:right="130"/>
              <w:spacing w:after="0" w:line="189" w:lineRule="exact"/>
              <w:rPr>
                <w:sz w:val="20"/>
                <w:szCs w:val="20"/>
                <w:color w:val="auto"/>
              </w:rPr>
            </w:pPr>
            <w:r>
              <w:rPr>
                <w:rFonts w:ascii="Arial" w:cs="Arial" w:eastAsia="Arial" w:hAnsi="Arial"/>
                <w:sz w:val="18"/>
                <w:szCs w:val="18"/>
                <w:color w:val="auto"/>
                <w:w w:val="99"/>
              </w:rPr>
              <w:t>EACH REPORTING PERSON WITH</w:t>
            </w:r>
          </w:p>
        </w:tc>
        <w:tc>
          <w:tcPr>
            <w:tcW w:w="6840" w:type="dxa"/>
            <w:vAlign w:val="bottom"/>
          </w:tcPr>
          <w:p>
            <w:pPr>
              <w:jc w:val="right"/>
              <w:ind w:right="381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-0-</w:t>
      </w:r>
    </w:p>
    <w:p>
      <w:pPr>
        <w:ind w:left="5120" w:hanging="338"/>
        <w:spacing w:after="0"/>
        <w:tabs>
          <w:tab w:leader="none" w:pos="51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512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220" w:lineRule="exact"/>
        <w:rPr>
          <w:rFonts w:ascii="Arial" w:cs="Arial" w:eastAsia="Arial" w:hAnsi="Arial"/>
          <w:sz w:val="18"/>
          <w:szCs w:val="18"/>
          <w:color w:val="auto"/>
        </w:rPr>
      </w:pPr>
    </w:p>
    <w:p>
      <w:pPr>
        <w:ind w:left="3740" w:hanging="889"/>
        <w:spacing w:after="0"/>
        <w:tabs>
          <w:tab w:leader="none" w:pos="3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7" w:lineRule="exact"/>
        <w:rPr>
          <w:rFonts w:ascii="Arial" w:cs="Arial" w:eastAsia="Arial" w:hAnsi="Arial"/>
          <w:sz w:val="18"/>
          <w:szCs w:val="18"/>
          <w:color w:val="auto"/>
        </w:rPr>
      </w:pPr>
    </w:p>
    <w:p>
      <w:pPr>
        <w:ind w:left="3740" w:right="260" w:hanging="889"/>
        <w:spacing w:after="0" w:line="213" w:lineRule="exact"/>
        <w:tabs>
          <w:tab w:leader="none" w:pos="3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740" w:hanging="889"/>
        <w:spacing w:after="0"/>
        <w:tabs>
          <w:tab w:leader="none" w:pos="3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11.3%</w:t>
      </w:r>
    </w:p>
    <w:p>
      <w:pPr>
        <w:spacing w:after="0" w:line="17" w:lineRule="exact"/>
        <w:rPr>
          <w:rFonts w:ascii="Arial" w:cs="Arial" w:eastAsia="Arial" w:hAnsi="Arial"/>
          <w:sz w:val="18"/>
          <w:szCs w:val="18"/>
          <w:color w:val="auto"/>
        </w:rPr>
      </w:pPr>
    </w:p>
    <w:p>
      <w:pPr>
        <w:ind w:left="3740" w:hanging="889"/>
        <w:spacing w:after="0"/>
        <w:tabs>
          <w:tab w:leader="none" w:pos="37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-2793365</wp:posOffset>
            </wp:positionV>
            <wp:extent cx="43395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712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660" w:right="400" w:hanging="777"/>
        <w:spacing w:after="0" w:line="235" w:lineRule="auto"/>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660" w:right="2560" w:hanging="777"/>
        <w:spacing w:after="0" w:line="219" w:lineRule="auto"/>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4080" w:hanging="412"/>
        <w:spacing w:after="0" w:line="189" w:lineRule="exact"/>
        <w:tabs>
          <w:tab w:leader="none" w:pos="40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4080" w:hanging="412"/>
        <w:spacing w:after="0" w:line="202" w:lineRule="exact"/>
        <w:tabs>
          <w:tab w:leader="none" w:pos="40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660" w:hanging="777"/>
        <w:spacing w:after="0"/>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660" w:hanging="777"/>
        <w:spacing w:after="0"/>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660" w:right="400" w:hanging="777"/>
        <w:spacing w:after="0" w:line="232" w:lineRule="auto"/>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6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660" w:hanging="777"/>
        <w:spacing w:after="0"/>
        <w:tabs>
          <w:tab w:leader="none" w:pos="3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5040" w:right="4420" w:hanging="239"/>
        <w:spacing w:after="0" w:line="336" w:lineRule="auto"/>
        <w:tabs>
          <w:tab w:leader="none" w:pos="5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5040" w:hanging="239"/>
        <w:spacing w:after="0"/>
        <w:tabs>
          <w:tab w:leader="none" w:pos="504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2860675</wp:posOffset>
            </wp:positionH>
            <wp:positionV relativeFrom="paragraph">
              <wp:posOffset>-130175</wp:posOffset>
            </wp:positionV>
            <wp:extent cx="4391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91025" cy="8890"/>
                    </a:xfrm>
                    <a:prstGeom prst="rect">
                      <a:avLst/>
                    </a:prstGeom>
                    <a:noFill/>
                  </pic:spPr>
                </pic:pic>
              </a:graphicData>
            </a:graphic>
          </wp:anchor>
        </w:drawing>
      </w:r>
    </w:p>
    <w:p>
      <w:pPr>
        <w:spacing w:after="0" w:line="129" w:lineRule="exact"/>
        <w:rPr>
          <w:sz w:val="20"/>
          <w:szCs w:val="20"/>
          <w:color w:val="auto"/>
        </w:rPr>
      </w:pPr>
    </w:p>
    <w:tbl>
      <w:tblPr>
        <w:tblLayout w:type="fixed"/>
        <w:tblInd w:w="100" w:type="dxa"/>
        <w:tblCellMar>
          <w:top w:w="0" w:type="dxa"/>
          <w:left w:w="0" w:type="dxa"/>
          <w:bottom w:w="0" w:type="dxa"/>
          <w:right w:w="0" w:type="dxa"/>
        </w:tblCellMar>
      </w:tblPr>
      <w:tr>
        <w:trPr>
          <w:trHeight w:val="219"/>
        </w:trPr>
        <w:tc>
          <w:tcPr>
            <w:tcW w:w="4400" w:type="dxa"/>
            <w:vAlign w:val="bottom"/>
          </w:tcPr>
          <w:p>
            <w:pPr>
              <w:jc w:val="center"/>
              <w:ind w:right="90"/>
              <w:spacing w:after="0"/>
              <w:rPr>
                <w:sz w:val="20"/>
                <w:szCs w:val="20"/>
                <w:color w:val="auto"/>
              </w:rPr>
            </w:pPr>
            <w:r>
              <w:rPr>
                <w:rFonts w:ascii="Arial" w:cs="Arial" w:eastAsia="Arial" w:hAnsi="Arial"/>
                <w:sz w:val="18"/>
                <w:szCs w:val="18"/>
                <w:color w:val="auto"/>
                <w:w w:val="99"/>
              </w:rPr>
              <w:t>NUMBER OF SHARES BENEFICIALLY OWNED BY</w:t>
            </w:r>
          </w:p>
        </w:tc>
        <w:tc>
          <w:tcPr>
            <w:tcW w:w="6920" w:type="dxa"/>
            <w:vAlign w:val="bottom"/>
            <w:tcBorders>
              <w:bottom w:val="single" w:sz="8" w:color="auto"/>
            </w:tcBorders>
          </w:tcPr>
          <w:p>
            <w:pPr>
              <w:jc w:val="right"/>
              <w:ind w:right="5370"/>
              <w:spacing w:after="0"/>
              <w:rPr>
                <w:sz w:val="20"/>
                <w:szCs w:val="20"/>
                <w:color w:val="auto"/>
              </w:rPr>
            </w:pPr>
            <w:r>
              <w:rPr>
                <w:rFonts w:ascii="Arial" w:cs="Arial" w:eastAsia="Arial" w:hAnsi="Arial"/>
                <w:sz w:val="18"/>
                <w:szCs w:val="18"/>
                <w:b w:val="1"/>
                <w:bCs w:val="1"/>
                <w:color w:val="auto"/>
              </w:rPr>
              <w:t>5,300,002*</w:t>
            </w:r>
          </w:p>
        </w:tc>
      </w:tr>
      <w:tr>
        <w:trPr>
          <w:trHeight w:val="217"/>
        </w:trPr>
        <w:tc>
          <w:tcPr>
            <w:tcW w:w="440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9"/>
              </w:rPr>
              <w:t>EACH REPORTING PERSON WITH</w:t>
            </w:r>
          </w:p>
        </w:tc>
        <w:tc>
          <w:tcPr>
            <w:tcW w:w="6920" w:type="dxa"/>
            <w:vAlign w:val="bottom"/>
          </w:tcPr>
          <w:p>
            <w:pPr>
              <w:jc w:val="right"/>
              <w:ind w:right="389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-0-</w:t>
      </w:r>
    </w:p>
    <w:p>
      <w:pPr>
        <w:ind w:left="5040" w:hanging="339"/>
        <w:spacing w:after="0"/>
        <w:tabs>
          <w:tab w:leader="none" w:pos="50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220" w:lineRule="exact"/>
        <w:rPr>
          <w:rFonts w:ascii="Arial" w:cs="Arial" w:eastAsia="Arial" w:hAnsi="Arial"/>
          <w:sz w:val="18"/>
          <w:szCs w:val="18"/>
          <w:color w:val="auto"/>
        </w:rPr>
      </w:pPr>
    </w:p>
    <w:p>
      <w:pPr>
        <w:ind w:left="3660" w:hanging="877"/>
        <w:spacing w:after="0"/>
        <w:tabs>
          <w:tab w:leader="none" w:pos="3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7" w:lineRule="exact"/>
        <w:rPr>
          <w:rFonts w:ascii="Arial" w:cs="Arial" w:eastAsia="Arial" w:hAnsi="Arial"/>
          <w:sz w:val="18"/>
          <w:szCs w:val="18"/>
          <w:color w:val="auto"/>
        </w:rPr>
      </w:pPr>
    </w:p>
    <w:p>
      <w:pPr>
        <w:ind w:left="3660" w:right="340" w:hanging="877"/>
        <w:spacing w:after="0" w:line="213" w:lineRule="exact"/>
        <w:tabs>
          <w:tab w:leader="none" w:pos="3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660" w:hanging="877"/>
        <w:spacing w:after="0"/>
        <w:tabs>
          <w:tab w:leader="none" w:pos="3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11.3%</w:t>
      </w:r>
    </w:p>
    <w:p>
      <w:pPr>
        <w:spacing w:after="0" w:line="17" w:lineRule="exact"/>
        <w:rPr>
          <w:rFonts w:ascii="Arial" w:cs="Arial" w:eastAsia="Arial" w:hAnsi="Arial"/>
          <w:sz w:val="18"/>
          <w:szCs w:val="18"/>
          <w:color w:val="auto"/>
        </w:rPr>
      </w:pPr>
    </w:p>
    <w:p>
      <w:pPr>
        <w:ind w:left="3660" w:hanging="877"/>
        <w:spacing w:after="0"/>
        <w:tabs>
          <w:tab w:leader="none" w:pos="3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6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-2793365</wp:posOffset>
            </wp:positionV>
            <wp:extent cx="4391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91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p>
      <w:pPr>
        <w:spacing w:after="0"/>
        <w:tabs>
          <w:tab w:leader="none" w:pos="712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ind w:left="3560" w:right="520" w:hanging="771"/>
        <w:spacing w:after="0" w:line="235" w:lineRule="auto"/>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5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560" w:right="2680" w:hanging="771"/>
        <w:spacing w:after="0" w:line="219" w:lineRule="auto"/>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980" w:hanging="420"/>
        <w:spacing w:after="0" w:line="189" w:lineRule="exact"/>
        <w:tabs>
          <w:tab w:leader="none" w:pos="39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980" w:hanging="420"/>
        <w:spacing w:after="0" w:line="202" w:lineRule="exact"/>
        <w:tabs>
          <w:tab w:leader="none" w:pos="39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60" w:hanging="771"/>
        <w:spacing w:after="0"/>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560" w:hanging="771"/>
        <w:spacing w:after="0"/>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5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560" w:right="500" w:hanging="771"/>
        <w:spacing w:after="0" w:line="232" w:lineRule="auto"/>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5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560" w:hanging="771"/>
        <w:spacing w:after="0"/>
        <w:tabs>
          <w:tab w:leader="none" w:pos="3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5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920" w:right="4560" w:hanging="241"/>
        <w:spacing w:after="0" w:line="336" w:lineRule="auto"/>
        <w:tabs>
          <w:tab w:leader="none" w:pos="4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920" w:hanging="241"/>
        <w:spacing w:after="0"/>
        <w:tabs>
          <w:tab w:leader="none" w:pos="492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-130175</wp:posOffset>
            </wp:positionV>
            <wp:extent cx="44596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59605" cy="8890"/>
                    </a:xfrm>
                    <a:prstGeom prst="rect">
                      <a:avLst/>
                    </a:prstGeom>
                    <a:noFill/>
                  </pic:spPr>
                </pic:pic>
              </a:graphicData>
            </a:graphic>
          </wp:anchor>
        </w:drawing>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340" w:type="dxa"/>
            <w:vAlign w:val="bottom"/>
          </w:tcPr>
          <w:p>
            <w:pPr>
              <w:jc w:val="center"/>
              <w:ind w:right="50"/>
              <w:spacing w:after="0"/>
              <w:rPr>
                <w:sz w:val="20"/>
                <w:szCs w:val="20"/>
                <w:color w:val="auto"/>
              </w:rPr>
            </w:pPr>
            <w:r>
              <w:rPr>
                <w:rFonts w:ascii="Arial" w:cs="Arial" w:eastAsia="Arial" w:hAnsi="Arial"/>
                <w:sz w:val="18"/>
                <w:szCs w:val="18"/>
                <w:color w:val="auto"/>
                <w:w w:val="99"/>
              </w:rPr>
              <w:t>NUMBER OF SHARES BENEFICIALLY OWNED BY</w:t>
            </w:r>
          </w:p>
        </w:tc>
        <w:tc>
          <w:tcPr>
            <w:tcW w:w="7020" w:type="dxa"/>
            <w:vAlign w:val="bottom"/>
            <w:vMerge w:val="restart"/>
          </w:tcPr>
          <w:p>
            <w:pPr>
              <w:jc w:val="right"/>
              <w:ind w:right="5490"/>
              <w:spacing w:after="0"/>
              <w:rPr>
                <w:sz w:val="20"/>
                <w:szCs w:val="20"/>
                <w:color w:val="auto"/>
              </w:rPr>
            </w:pPr>
            <w:r>
              <w:rPr>
                <w:rFonts w:ascii="Arial" w:cs="Arial" w:eastAsia="Arial" w:hAnsi="Arial"/>
                <w:sz w:val="18"/>
                <w:szCs w:val="18"/>
                <w:b w:val="1"/>
                <w:bCs w:val="1"/>
                <w:color w:val="auto"/>
              </w:rPr>
              <w:t>5,300,002*</w:t>
            </w:r>
          </w:p>
        </w:tc>
        <w:tc>
          <w:tcPr>
            <w:tcW w:w="0" w:type="dxa"/>
            <w:vAlign w:val="bottom"/>
          </w:tcPr>
          <w:p>
            <w:pPr>
              <w:spacing w:after="0"/>
              <w:rPr>
                <w:sz w:val="1"/>
                <w:szCs w:val="1"/>
                <w:color w:val="auto"/>
              </w:rPr>
            </w:pPr>
          </w:p>
        </w:tc>
      </w:tr>
      <w:tr>
        <w:trPr>
          <w:trHeight w:val="114"/>
        </w:trPr>
        <w:tc>
          <w:tcPr>
            <w:tcW w:w="4340" w:type="dxa"/>
            <w:vAlign w:val="bottom"/>
            <w:vMerge w:val="restart"/>
          </w:tcPr>
          <w:p>
            <w:pPr>
              <w:jc w:val="center"/>
              <w:ind w:right="30"/>
              <w:spacing w:after="0"/>
              <w:rPr>
                <w:sz w:val="20"/>
                <w:szCs w:val="20"/>
                <w:color w:val="auto"/>
              </w:rPr>
            </w:pPr>
            <w:r>
              <w:rPr>
                <w:rFonts w:ascii="Arial" w:cs="Arial" w:eastAsia="Arial" w:hAnsi="Arial"/>
                <w:sz w:val="18"/>
                <w:szCs w:val="18"/>
                <w:color w:val="auto"/>
                <w:w w:val="99"/>
              </w:rPr>
              <w:t>EACH REPORTING PERSON WITH</w:t>
            </w:r>
          </w:p>
        </w:tc>
        <w:tc>
          <w:tcPr>
            <w:tcW w:w="70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340" w:type="dxa"/>
            <w:vAlign w:val="bottom"/>
            <w:vMerge w:val="continue"/>
          </w:tcPr>
          <w:p>
            <w:pPr>
              <w:spacing w:after="0"/>
              <w:rPr>
                <w:sz w:val="7"/>
                <w:szCs w:val="7"/>
                <w:color w:val="auto"/>
              </w:rPr>
            </w:pPr>
          </w:p>
        </w:tc>
        <w:tc>
          <w:tcPr>
            <w:tcW w:w="7020" w:type="dxa"/>
            <w:vAlign w:val="bottom"/>
            <w:vMerge w:val="restart"/>
          </w:tcPr>
          <w:p>
            <w:pPr>
              <w:jc w:val="right"/>
              <w:ind w:right="403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22"/>
        </w:trPr>
        <w:tc>
          <w:tcPr>
            <w:tcW w:w="4340" w:type="dxa"/>
            <w:vAlign w:val="bottom"/>
          </w:tcPr>
          <w:p>
            <w:pPr>
              <w:spacing w:after="0"/>
              <w:rPr>
                <w:sz w:val="10"/>
                <w:szCs w:val="10"/>
                <w:color w:val="auto"/>
              </w:rPr>
            </w:pPr>
          </w:p>
        </w:tc>
        <w:tc>
          <w:tcPr>
            <w:tcW w:w="7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-0-</w:t>
      </w:r>
    </w:p>
    <w:p>
      <w:pPr>
        <w:ind w:left="4920" w:hanging="341"/>
        <w:spacing w:after="0" w:line="219" w:lineRule="auto"/>
        <w:tabs>
          <w:tab w:leader="none" w:pos="4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960"/>
        <w:spacing w:after="0"/>
        <w:rPr>
          <w:rFonts w:ascii="Arial" w:cs="Arial" w:eastAsia="Arial" w:hAnsi="Arial"/>
          <w:sz w:val="18"/>
          <w:szCs w:val="18"/>
          <w:color w:val="auto"/>
        </w:rPr>
      </w:pPr>
      <w:r>
        <w:rPr>
          <w:rFonts w:ascii="Arial" w:cs="Arial" w:eastAsia="Arial" w:hAnsi="Arial"/>
          <w:sz w:val="18"/>
          <w:szCs w:val="18"/>
          <w:b w:val="1"/>
          <w:bCs w:val="1"/>
          <w:color w:val="auto"/>
        </w:rPr>
        <w:t>5,300,002*</w:t>
      </w:r>
    </w:p>
    <w:p>
      <w:pPr>
        <w:spacing w:after="0" w:line="198" w:lineRule="exact"/>
        <w:rPr>
          <w:rFonts w:ascii="Arial" w:cs="Arial" w:eastAsia="Arial" w:hAnsi="Arial"/>
          <w:sz w:val="18"/>
          <w:szCs w:val="18"/>
          <w:color w:val="auto"/>
        </w:rPr>
      </w:pPr>
    </w:p>
    <w:p>
      <w:pPr>
        <w:ind w:left="3560" w:hanging="871"/>
        <w:spacing w:after="0"/>
        <w:tabs>
          <w:tab w:leader="none" w:pos="3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-507365</wp:posOffset>
            </wp:positionV>
            <wp:extent cx="44596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59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5,300,002*</w:t>
      </w:r>
    </w:p>
    <w:p>
      <w:pPr>
        <w:spacing w:after="0" w:line="18" w:lineRule="exact"/>
        <w:rPr>
          <w:sz w:val="20"/>
          <w:szCs w:val="20"/>
          <w:color w:val="auto"/>
        </w:rPr>
      </w:pPr>
    </w:p>
    <w:p>
      <w:pPr>
        <w:ind w:left="3560" w:right="440" w:hanging="871"/>
        <w:spacing w:after="0" w:line="213" w:lineRule="exact"/>
        <w:tabs>
          <w:tab w:leader="none" w:pos="3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560" w:hanging="871"/>
        <w:spacing w:after="0"/>
        <w:tabs>
          <w:tab w:leader="none" w:pos="3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560"/>
        <w:spacing w:after="0"/>
        <w:rPr>
          <w:rFonts w:ascii="Arial" w:cs="Arial" w:eastAsia="Arial" w:hAnsi="Arial"/>
          <w:sz w:val="18"/>
          <w:szCs w:val="18"/>
          <w:color w:val="auto"/>
        </w:rPr>
      </w:pPr>
      <w:r>
        <w:rPr>
          <w:rFonts w:ascii="Arial" w:cs="Arial" w:eastAsia="Arial" w:hAnsi="Arial"/>
          <w:sz w:val="18"/>
          <w:szCs w:val="18"/>
          <w:b w:val="1"/>
          <w:bCs w:val="1"/>
          <w:color w:val="auto"/>
        </w:rPr>
        <w:t>11.3%</w:t>
      </w:r>
    </w:p>
    <w:p>
      <w:pPr>
        <w:spacing w:after="0" w:line="17" w:lineRule="exact"/>
        <w:rPr>
          <w:rFonts w:ascii="Arial" w:cs="Arial" w:eastAsia="Arial" w:hAnsi="Arial"/>
          <w:sz w:val="18"/>
          <w:szCs w:val="18"/>
          <w:color w:val="auto"/>
        </w:rPr>
      </w:pPr>
    </w:p>
    <w:p>
      <w:pPr>
        <w:ind w:left="3560" w:hanging="871"/>
        <w:spacing w:after="0"/>
        <w:tabs>
          <w:tab w:leader="none" w:pos="3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5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of the filing date and as described in Items 4, 5(a) and 5(b), Kenneth B. Dart beneficially owns 3,633,334 shares of Common Stock and 1,666,668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692" w:right="239" w:bottom="1440" w:gutter="0" w:footer="0" w:header="0"/>
        </w:sectPr>
      </w:pPr>
    </w:p>
    <w:bookmarkStart w:id="4" w:name="page5"/>
    <w:bookmarkEnd w:id="4"/>
    <w:p>
      <w:pPr>
        <w:spacing w:after="0"/>
        <w:tabs>
          <w:tab w:leader="none" w:pos="568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9 to Schedule 13D (the “Schedule 13D”) relates to the common stock (“Common Stock”) of Marker Therapeutics, Inc.</w:t>
      </w:r>
    </w:p>
    <w:p>
      <w:pPr>
        <w:spacing w:after="0"/>
        <w:rPr>
          <w:sz w:val="20"/>
          <w:szCs w:val="20"/>
          <w:color w:val="auto"/>
        </w:rPr>
      </w:pPr>
      <w:r>
        <w:rPr>
          <w:rFonts w:ascii="Arial" w:cs="Arial" w:eastAsia="Arial" w:hAnsi="Arial"/>
          <w:sz w:val="18"/>
          <w:szCs w:val="18"/>
          <w:color w:val="auto"/>
        </w:rPr>
        <w:t>(the “Issuer”), whose principal executive offices are located at 5 West Forsyth Street, Suite 200, Jacksonville, FL 32202, United States.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9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Mark R. VanDevelde, Alasdair J. Foster and Sharon M. Cornwell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Mark R. VanDevelde, 10 Market Street #771, Camana Bay, Grand Cayman, KY1-9006, Cayman Islands, a British Overseas Territory Citizen / Cayman Islands, is the Chief Executive Officer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Alasdair J. Foster, 10 Market Street #251, Camana Bay, Grand Cayman, KY1-9006, Cayman Islands, British Citizen, is President –.Active Investments of Dart Enterprises Ltd., Grand Cayman, Cayman Islands.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Sharon M. Cornwell, 10 Market Street #773, Camana Bay, Grand Cayman, KY1-9006, Cayman Islands, United States Citizen, is an Executive Vice President of Dart Management Services Ltd., Grand Cayman, Cayman Islands.</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1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ectPr>
          <w:pgSz w:w="11900" w:h="16838" w:orient="portrait"/>
          <w:cols w:equalWidth="0" w:num="1">
            <w:col w:w="11420"/>
          </w:cols>
          <w:pgMar w:left="240" w:top="895" w:right="239" w:bottom="1440" w:gutter="0" w:footer="0" w:header="0"/>
        </w:sectPr>
      </w:pPr>
    </w:p>
    <w:bookmarkStart w:id="5" w:name="page6"/>
    <w:bookmarkEnd w:id="5"/>
    <w:p>
      <w:pPr>
        <w:spacing w:after="0"/>
        <w:tabs>
          <w:tab w:leader="none" w:pos="568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 5(a)–(b)</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5,300,002 shares of the Issuer’s Common Stock, representing 11.3%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5,300,002 shares of the Issuer’s Common Stock, representing 11.3% of the Issuer’s outstanding Common Stock. Portfolio Services Ltd. has shared voting and dispositive power of the shares it beneficially owns.</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5,300,002 shares of the Issuer’s Common Stock, representing 11.3% of the Issuer’s outstanding Common Stock. Kenneth B. Dart has shared voting and dispositive power of the shares he beneficially owns.</w:t>
      </w:r>
    </w:p>
    <w:p>
      <w:pPr>
        <w:spacing w:after="0" w:line="11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percentage ownership noted in this Schedule 13D/A is based on 45,328,510 shares outstanding as of October 18, 2018 as reported in the Issuer’s Form 8-K filed with the U.S. Securities Exchange Commission on October 30, 2018, plus 1,666,668 shares of Common Stock that may be issued upon exercise of the Series A-1 Warrant, Series D-1 Warrant, Series E-1 Warrant or the Series F-1 Warrant held by the Reporting Persons.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Items 5(c)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have not effected any transactions in the Issuer’s common stock during the past sixty days.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Items 5(d) and 5(e) - 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Warrant Amendment Agreement and each Series A-1 Warrant, Series D-1 Warrant, Series E-1 Warrant and</w:t>
      </w:r>
    </w:p>
    <w:p>
      <w:pPr>
        <w:spacing w:after="0"/>
        <w:rPr>
          <w:sz w:val="20"/>
          <w:szCs w:val="20"/>
          <w:color w:val="auto"/>
        </w:rPr>
      </w:pPr>
      <w:r>
        <w:rPr>
          <w:rFonts w:ascii="Arial" w:cs="Arial" w:eastAsia="Arial" w:hAnsi="Arial"/>
          <w:sz w:val="18"/>
          <w:szCs w:val="18"/>
          <w:color w:val="auto"/>
        </w:rPr>
        <w:t>Series F-1 Warrant respectively and subsequent Reverse Stock Split: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is exercisable at an initial exercise price of $1.20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$9.00 per share, and will expire on the five year anniversary of September 9, 2015.</w:t>
      </w:r>
    </w:p>
    <w:p>
      <w:pPr>
        <w:spacing w:after="0" w:line="8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Each Series E-1 Warrant, as amended is exercisable at an initial exercise price of $15.00 per share, and will expire on the five year anniversary of June 16,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$7.20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Certificate of Change filed Pursuant to NRS 78.209 reflecting the Reverse Stock Split is included as Exhibit 3.1 to the Form 8-K filed by the Issuer with the U.S. Securities and Exchange Commission on September 15, 2016 and are incorporated by reference herein.</w:t>
      </w:r>
    </w:p>
    <w:p>
      <w:pPr>
        <w:sectPr>
          <w:pgSz w:w="11900" w:h="16838" w:orient="portrait"/>
          <w:cols w:equalWidth="0" w:num="1">
            <w:col w:w="11420"/>
          </w:cols>
          <w:pgMar w:left="240" w:top="827" w:right="239" w:bottom="1440" w:gutter="0" w:footer="0" w:header="0"/>
        </w:sectPr>
      </w:pPr>
    </w:p>
    <w:bookmarkStart w:id="6" w:name="page7"/>
    <w:bookmarkEnd w:id="6"/>
    <w:p>
      <w:pPr>
        <w:spacing w:after="0"/>
        <w:tabs>
          <w:tab w:leader="none" w:pos="532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2.1 Form of Amended Series A-1 Warrant to Purchase Common Stock (Incorporated herein by reference to Exhibit 4.6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Form of Amended Series E-1 Warrant to Purchase Common Stock (Incorporated herein by reference to Exhibit 4.8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2.4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4 – Form of Certificate of Change filed Pursuant to NRS 78.209 (Incorporated herein by reference to Exhibit 3.1 to the Issuer’s Form 8-K filed with the U.S. Securities and Exchange Commission on September 15, 2016)</w:t>
      </w:r>
    </w:p>
    <w:p>
      <w:pPr>
        <w:sectPr>
          <w:pgSz w:w="11900" w:h="16838" w:orient="portrait"/>
          <w:cols w:equalWidth="0" w:num="1">
            <w:col w:w="11420"/>
          </w:cols>
          <w:pgMar w:left="240" w:top="895" w:right="239" w:bottom="1440" w:gutter="0" w:footer="0" w:header="0"/>
        </w:sectPr>
      </w:pPr>
    </w:p>
    <w:bookmarkStart w:id="7" w:name="page8"/>
    <w:bookmarkEnd w:id="7"/>
    <w:p>
      <w:pPr>
        <w:spacing w:after="0"/>
        <w:tabs>
          <w:tab w:leader="none" w:pos="5840" w:val="left"/>
          <w:tab w:leader="none" w:pos="10480" w:val="left"/>
        </w:tabs>
        <w:rPr>
          <w:sz w:val="20"/>
          <w:szCs w:val="20"/>
          <w:color w:val="auto"/>
        </w:rPr>
      </w:pPr>
      <w:r>
        <w:rPr>
          <w:rFonts w:ascii="Arial" w:cs="Arial" w:eastAsia="Arial" w:hAnsi="Arial"/>
          <w:sz w:val="18"/>
          <w:szCs w:val="18"/>
          <w:color w:val="auto"/>
        </w:rPr>
        <w:t>CUSIP No. 57055L107</w:t>
      </w:r>
      <w:r>
        <w:rPr>
          <w:sz w:val="20"/>
          <w:szCs w:val="20"/>
          <w:color w:val="auto"/>
        </w:rPr>
        <w:tab/>
      </w:r>
      <w:r>
        <w:rPr>
          <w:rFonts w:ascii="Arial" w:cs="Arial" w:eastAsia="Arial" w:hAnsi="Arial"/>
          <w:sz w:val="18"/>
          <w:szCs w:val="18"/>
          <w:color w:val="auto"/>
        </w:rPr>
        <w:t>13D/A</w:t>
      </w:r>
      <w:r>
        <w:rPr>
          <w:sz w:val="20"/>
          <w:szCs w:val="20"/>
          <w:color w:val="auto"/>
        </w:rPr>
        <w:tab/>
      </w:r>
      <w:r>
        <w:rPr>
          <w:rFonts w:ascii="Arial" w:cs="Arial" w:eastAsia="Arial" w:hAnsi="Arial"/>
          <w:sz w:val="17"/>
          <w:szCs w:val="17"/>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827"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Marker Therapeutics,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84" w:right="299" w:bottom="1440" w:gutter="0" w:footer="0" w:header="0"/>
        </w:sectPr>
      </w:pPr>
    </w:p>
    <w:bookmarkStart w:id="9" w:name="page10"/>
    <w:bookmarkEnd w:id="9"/>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of Amended Series A-1 Warrant to Purchase Common Stock (Incorporated herein by reference to Exhibit 4.6 to the Issuer’s Form 8-K filed with the U.S. Securities and Exchange Commission on August 11, 2016)</w:t>
      </w:r>
    </w:p>
    <w:p>
      <w:pPr>
        <w:sectPr>
          <w:pgSz w:w="11900" w:h="16838" w:orient="portrait"/>
          <w:cols w:equalWidth="0" w:num="1">
            <w:col w:w="11420"/>
          </w:cols>
          <w:pgMar w:left="240" w:top="184" w:right="239" w:bottom="1440" w:gutter="0" w:footer="0" w:header="0"/>
        </w:sectPr>
      </w:pPr>
    </w:p>
    <w:bookmarkStart w:id="10" w:name="page11"/>
    <w:bookmarkEnd w:id="10"/>
    <w:p>
      <w:pPr>
        <w:spacing w:after="0"/>
        <w:tabs>
          <w:tab w:leader="none" w:pos="5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100"/>
          </w:cols>
          <w:pgMar w:left="240" w:top="184" w:right="559" w:bottom="1440" w:gutter="0" w:footer="0" w:header="0"/>
        </w:sectPr>
      </w:pPr>
    </w:p>
    <w:bookmarkStart w:id="11" w:name="page12"/>
    <w:bookmarkEnd w:id="11"/>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97155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E-1 Warrant to Purchase Common Stock (Incorporated herein by reference to Exhibit 4.8 to the Issuer’s Form 8-K filed with the U.S. Securities and Exchange Commission on August 11, 2016)</w:t>
      </w:r>
    </w:p>
    <w:p>
      <w:pPr>
        <w:sectPr>
          <w:pgSz w:w="11900" w:h="16838" w:orient="portrait"/>
          <w:cols w:equalWidth="0" w:num="1">
            <w:col w:w="11100"/>
          </w:cols>
          <w:pgMar w:left="240" w:top="184" w:right="55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7"/>
          <w:szCs w:val="17"/>
          <w:b w:val="1"/>
          <w:bCs w:val="1"/>
          <w:color w:val="auto"/>
        </w:rPr>
        <w:t>Exhibit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420"/>
          </w:cols>
          <w:pgMar w:left="240" w:top="184" w:right="239" w:bottom="1440" w:gutter="0" w:footer="0" w:header="0"/>
        </w:sectPr>
      </w:pPr>
    </w:p>
    <w:bookmarkStart w:id="13" w:name="page14"/>
    <w:bookmarkEnd w:id="13"/>
    <w:p>
      <w:pPr>
        <w:spacing w:after="0"/>
        <w:tabs>
          <w:tab w:leader="none" w:pos="5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p>
      <w:pPr>
        <w:sectPr>
          <w:pgSz w:w="11900" w:h="16838" w:orient="portrait"/>
          <w:cols w:equalWidth="0" w:num="1">
            <w:col w:w="10600"/>
          </w:cols>
          <w:pgMar w:left="240" w:top="184" w:right="1059" w:bottom="1440" w:gutter="0" w:footer="0" w:header="0"/>
        </w:sectPr>
      </w:pPr>
    </w:p>
    <w:bookmarkStart w:id="14" w:name="page15"/>
    <w:bookmarkEnd w:id="14"/>
    <w:p>
      <w:pPr>
        <w:spacing w:after="0"/>
        <w:tabs>
          <w:tab w:leader="none" w:pos="5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57055L107</w:t>
      </w:r>
      <w:r>
        <w:rPr>
          <w:sz w:val="20"/>
          <w:szCs w:val="20"/>
          <w:color w:val="auto"/>
        </w:rPr>
        <w:tab/>
      </w:r>
      <w:r>
        <w:rPr>
          <w:rFonts w:ascii="Arial" w:cs="Arial" w:eastAsia="Arial" w:hAnsi="Arial"/>
          <w:sz w:val="18"/>
          <w:szCs w:val="18"/>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84" w:right="339" w:bottom="1440" w:gutter="0" w:footer="0" w:header="0"/>
        </w:sectPr>
      </w:pPr>
    </w:p>
    <w:p>
      <w:pPr>
        <w:spacing w:after="0" w:line="193"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Certificate of Change filed Pursuant to NRS 78.209 (Incorporated herein by reference to Exhibit 3.1 to the Issuer’s Form 8-K filed with the U.S. Securities and Exchange Commission on September 15, 2016)</w:t>
      </w:r>
    </w:p>
    <w:sectPr>
      <w:pgSz w:w="11900" w:h="16838" w:orient="portrait"/>
      <w:cols w:equalWidth="0" w:num="1">
        <w:col w:w="11320"/>
      </w:cols>
      <w:pgMar w:left="240" w:top="1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2020-01-10T22:24:27Z</dcterms:created>
  <dcterms:modified xsi:type="dcterms:W3CDTF">2020-01-10T22:24:27Z</dcterms:modified>
</cp:coreProperties>
</file>